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rFonts w:ascii="Times New Roman" w:hAnsi="宋体" w:eastAsia="宋体" w:cs="Times New Roman"/>
          <w:sz w:val="28"/>
          <w:szCs w:val="28"/>
        </w:rPr>
      </w:pPr>
      <w:r>
        <w:rPr>
          <w:rFonts w:ascii="Times New Roman" w:hAnsi="宋体" w:eastAsia="宋体" w:cs="Times New Roman"/>
          <w:sz w:val="28"/>
          <w:szCs w:val="28"/>
        </w:rPr>
        <w:t>附件</w:t>
      </w:r>
      <w:r>
        <w:rPr>
          <w:rFonts w:hint="eastAsia" w:ascii="Times New Roman" w:hAnsi="宋体" w:eastAsia="宋体" w:cs="Times New Roman"/>
          <w:sz w:val="28"/>
          <w:szCs w:val="28"/>
        </w:rPr>
        <w:t>1农村</w:t>
      </w:r>
      <w:r>
        <w:rPr>
          <w:rFonts w:ascii="Times New Roman" w:hAnsi="宋体" w:eastAsia="宋体" w:cs="Times New Roman"/>
          <w:sz w:val="28"/>
          <w:szCs w:val="28"/>
        </w:rPr>
        <w:t>集体</w:t>
      </w:r>
      <w:r>
        <w:rPr>
          <w:rFonts w:hint="eastAsia" w:ascii="Times New Roman" w:hAnsi="宋体" w:eastAsia="宋体" w:cs="Times New Roman"/>
          <w:sz w:val="28"/>
          <w:szCs w:val="28"/>
        </w:rPr>
        <w:t>经济</w:t>
      </w:r>
      <w:r>
        <w:rPr>
          <w:rFonts w:ascii="Times New Roman" w:hAnsi="宋体" w:eastAsia="宋体" w:cs="Times New Roman"/>
          <w:sz w:val="28"/>
          <w:szCs w:val="28"/>
        </w:rPr>
        <w:t>组织登记证</w:t>
      </w:r>
    </w:p>
    <w:p>
      <w:pPr>
        <w:jc w:val="left"/>
        <w:rPr>
          <w:rFonts w:hAnsi="Times New Roman"/>
        </w:rPr>
      </w:pPr>
      <w:r>
        <w:rPr>
          <w:rFonts w:hAnsi="Times New Roman"/>
        </w:rPr>
        <w:drawing>
          <wp:inline distT="0" distB="0" distL="0" distR="0">
            <wp:extent cx="5504180" cy="7729855"/>
            <wp:effectExtent l="19050" t="0" r="898" b="0"/>
            <wp:docPr id="3" name="图片 3" descr="C:\Users\NINGMEI\AppData\Local\Temp\WeChat Files\9e7a5bdb62a28678509364cdaea3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NINGMEI\AppData\Local\Temp\WeChat Files\9e7a5bdb62a28678509364cdaea3b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83" t="7867" r="12989" b="71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04553" cy="772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color w:val="FF000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outlineLvl w:val="0"/>
        <w:rPr>
          <w:rFonts w:ascii="Times New Roman" w:hAnsi="Times New Roman" w:eastAsia="宋体" w:cs="Times New Roman"/>
          <w:sz w:val="28"/>
          <w:szCs w:val="28"/>
          <w:highlight w:val="none"/>
        </w:rPr>
      </w:pPr>
      <w:r>
        <w:rPr>
          <w:rFonts w:ascii="Times New Roman" w:hAnsi="宋体" w:eastAsia="宋体" w:cs="Times New Roman"/>
          <w:sz w:val="28"/>
          <w:szCs w:val="28"/>
          <w:highlight w:val="none"/>
        </w:rPr>
        <w:t>附件</w:t>
      </w:r>
      <w:r>
        <w:rPr>
          <w:rFonts w:hint="eastAsia" w:ascii="Times New Roman" w:hAnsi="Times New Roman" w:eastAsia="宋体" w:cs="Times New Roman"/>
          <w:sz w:val="28"/>
          <w:szCs w:val="28"/>
          <w:highlight w:val="none"/>
        </w:rPr>
        <w:t>2土地手续</w:t>
      </w:r>
    </w:p>
    <w:p>
      <w:pPr>
        <w:jc w:val="center"/>
        <w:rPr>
          <w:color w:val="FF0000"/>
          <w:sz w:val="28"/>
          <w:szCs w:val="28"/>
        </w:rPr>
      </w:pPr>
      <w:r>
        <w:rPr>
          <w:rFonts w:hint="eastAsia" w:ascii="Times New Roman" w:hAnsi="宋体" w:eastAsia="宋体" w:cs="Times New Roman"/>
          <w:color w:val="FF0000"/>
          <w:sz w:val="28"/>
          <w:szCs w:val="28"/>
          <w:lang w:eastAsia="zh-CN"/>
        </w:rPr>
        <w:drawing>
          <wp:inline distT="0" distB="0" distL="114300" distR="114300">
            <wp:extent cx="5505450" cy="8248015"/>
            <wp:effectExtent l="0" t="0" r="0" b="635"/>
            <wp:docPr id="2" name="图片 2" descr="4dfb1572714fc6b8bd87bac48cab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dfb1572714fc6b8bd87bac48cab0d6"/>
                    <pic:cNvPicPr>
                      <a:picLocks noChangeAspect="1"/>
                    </pic:cNvPicPr>
                  </pic:nvPicPr>
                  <pic:blipFill>
                    <a:blip r:embed="rId5"/>
                    <a:srcRect t="7490" r="-714" b="764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outlineLvl w:val="0"/>
        <w:rPr>
          <w:rFonts w:ascii="Times New Roman" w:cs="Times New Roman"/>
          <w:sz w:val="28"/>
          <w:szCs w:val="28"/>
        </w:rPr>
      </w:pPr>
      <w:r>
        <w:rPr>
          <w:rFonts w:hint="eastAsia" w:ascii="Times New Roman" w:cs="Times New Roman"/>
          <w:sz w:val="28"/>
          <w:szCs w:val="28"/>
        </w:rPr>
        <w:t>附件3燃料成分报告</w:t>
      </w:r>
    </w:p>
    <w:p>
      <w:pPr>
        <w:rPr>
          <w:color w:val="000000"/>
        </w:rPr>
      </w:pPr>
      <w:r>
        <w:rPr>
          <w:rFonts w:hint="eastAsia"/>
          <w:color w:val="000000"/>
        </w:rPr>
        <w:drawing>
          <wp:inline distT="0" distB="0" distL="114300" distR="114300">
            <wp:extent cx="5682615" cy="7825105"/>
            <wp:effectExtent l="19050" t="0" r="0" b="0"/>
            <wp:docPr id="49" name="图片 1" descr="97b4ca4e2969e9a4ac59ab842bdda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97b4ca4e2969e9a4ac59ab842bddab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2844" r="798" b="478"/>
                    <a:stretch>
                      <a:fillRect/>
                    </a:stretch>
                  </pic:blipFill>
                  <pic:spPr>
                    <a:xfrm>
                      <a:off x="0" y="0"/>
                      <a:ext cx="5683845" cy="782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ascii="Times New Roman" w:cs="Times New Roman"/>
          <w:sz w:val="28"/>
          <w:szCs w:val="28"/>
          <w:highlight w:val="yellow"/>
        </w:rPr>
      </w:pPr>
    </w:p>
    <w:p>
      <w:pPr>
        <w:outlineLvl w:val="0"/>
        <w:rPr>
          <w:rFonts w:ascii="Times New Roman" w:cs="Times New Roman"/>
          <w:sz w:val="28"/>
          <w:szCs w:val="28"/>
          <w:highlight w:val="none"/>
        </w:rPr>
      </w:pPr>
      <w:r>
        <w:rPr>
          <w:rFonts w:hint="eastAsia" w:ascii="Times New Roman" w:cs="Times New Roman"/>
          <w:sz w:val="28"/>
          <w:szCs w:val="28"/>
          <w:highlight w:val="none"/>
        </w:rPr>
        <w:t>附件4现状</w:t>
      </w:r>
      <w:r>
        <w:rPr>
          <w:rFonts w:ascii="Times New Roman" w:cs="Times New Roman"/>
          <w:sz w:val="28"/>
          <w:szCs w:val="28"/>
          <w:highlight w:val="none"/>
        </w:rPr>
        <w:t>检测报告</w:t>
      </w: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  <w:r>
        <w:drawing>
          <wp:inline distT="0" distB="0" distL="114300" distR="114300">
            <wp:extent cx="5269230" cy="7393940"/>
            <wp:effectExtent l="0" t="0" r="7620" b="165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  <w:r>
        <w:drawing>
          <wp:inline distT="0" distB="0" distL="114300" distR="114300">
            <wp:extent cx="5272405" cy="7107555"/>
            <wp:effectExtent l="0" t="0" r="4445" b="1714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  <w:r>
        <w:drawing>
          <wp:inline distT="0" distB="0" distL="114300" distR="114300">
            <wp:extent cx="5271135" cy="7316470"/>
            <wp:effectExtent l="0" t="0" r="5715" b="1778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  <w:r>
        <w:drawing>
          <wp:inline distT="0" distB="0" distL="114300" distR="114300">
            <wp:extent cx="5269230" cy="7385050"/>
            <wp:effectExtent l="0" t="0" r="7620" b="635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601970" cy="7955280"/>
            <wp:effectExtent l="0" t="0" r="17780" b="7620"/>
            <wp:docPr id="4" name="图片 1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5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Times New Roman" w:cs="Times New Roman"/>
          <w:color w:val="FF0000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615305" cy="8014970"/>
            <wp:effectExtent l="0" t="0" r="4445" b="5080"/>
            <wp:docPr id="5" name="图片 15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6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603875" cy="7883525"/>
            <wp:effectExtent l="0" t="0" r="15875" b="3175"/>
            <wp:docPr id="7" name="图片 1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7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612765" cy="7908925"/>
            <wp:effectExtent l="0" t="0" r="6985" b="15875"/>
            <wp:docPr id="8" name="图片 15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8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24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614670" cy="7999730"/>
            <wp:effectExtent l="0" t="0" r="5080" b="1270"/>
            <wp:docPr id="10" name="图片 15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9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Times New Roman" w:cs="Times New Roman"/>
          <w:sz w:val="28"/>
          <w:szCs w:val="28"/>
        </w:rPr>
      </w:pPr>
      <w:r>
        <w:rPr>
          <w:rFonts w:hint="eastAsia" w:ascii="Times New Roman" w:cs="Times New Roman"/>
          <w:sz w:val="28"/>
          <w:szCs w:val="28"/>
        </w:rPr>
        <w:t>附件5总量计算说明</w:t>
      </w:r>
    </w:p>
    <w:p>
      <w:pPr>
        <w:spacing w:line="360" w:lineRule="auto"/>
        <w:ind w:firstLine="643" w:firstLineChars="20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核定排放量计算说明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固体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/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液体燃料锅炉的废气污染物（颗粒物、二氧化硫、氮氧化物）年许可排放量按下列公式计算：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center"/>
        <w:rPr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E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vertAlign w:val="subscript"/>
          <w:lang w:val="en-US" w:eastAsia="zh-CN" w:bidi="ar"/>
        </w:rPr>
        <w:t>年许可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=</w:t>
      </w:r>
      <w:r>
        <w:rPr>
          <w:rFonts w:hint="default" w:ascii="Times New Roman" w:hAnsi="Times New Roman" w:eastAsia="宋体" w:cs="Times New Roman"/>
          <w:kern w:val="2"/>
          <w:position w:val="-6"/>
          <w:sz w:val="21"/>
          <w:szCs w:val="24"/>
          <w:lang w:val="en-US" w:eastAsia="zh-CN" w:bidi="ar"/>
        </w:rPr>
        <w:drawing>
          <wp:inline distT="0" distB="0" distL="114300" distR="114300">
            <wp:extent cx="438150" cy="180975"/>
            <wp:effectExtent l="0" t="0" r="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×V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i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×R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i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×</w:t>
      </w:r>
      <w:r>
        <w:rPr>
          <w:rFonts w:hint="default" w:ascii="Times New Roman" w:hAnsi="Times New Roman" w:eastAsia="宋体" w:cs="Times New Roman"/>
          <w:color w:val="000000"/>
          <w:kern w:val="2"/>
          <w:position w:val="-6"/>
          <w:sz w:val="24"/>
          <w:szCs w:val="24"/>
          <w:lang w:val="en-US" w:eastAsia="zh-CN" w:bidi="ar"/>
        </w:rPr>
        <w:drawing>
          <wp:inline distT="0" distB="0" distL="114300" distR="114300">
            <wp:extent cx="57150" cy="161925"/>
            <wp:effectExtent l="0" t="0" r="0" b="7620"/>
            <wp:docPr id="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i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×10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perscript"/>
          <w:lang w:val="en-US" w:eastAsia="zh-CN" w:bidi="ar"/>
        </w:rPr>
        <w:t>-6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式中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E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vertAlign w:val="subscript"/>
          <w:lang w:val="en-US" w:eastAsia="zh-CN" w:bidi="ar"/>
        </w:rPr>
        <w:t>年许可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锅炉排污单位污染物年许可排放量，吨；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C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i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第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i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个主要排放口污染物排放标准浓度限值，毫克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/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立方米；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V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i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第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i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个主要排放口基准烟气量，标立方米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/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千克或标立方米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/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立方米；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R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i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第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i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个主要排放口所对应的锅炉前三年年平均燃料使用量（未投运或投运不满一年的锅炉按照设计年燃料使用量进行选取，投运满一年但未满三年的锅炉按运行周期年平均燃料使用量选取，当前三年或周期年年平均燃料使用量超过设计燃料使用量时，按设计燃料使用量选取），吨或万立方米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δ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i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第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i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个主要排放口所对应的大气污染物许可排放量调整系数，按表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1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取值。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2" w:firstLineChars="200"/>
        <w:jc w:val="center"/>
        <w:rPr>
          <w:b/>
          <w:bCs/>
          <w:color w:val="000000"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4"/>
          <w:szCs w:val="24"/>
          <w:lang w:val="en-US" w:eastAsia="zh-CN" w:bidi="ar"/>
        </w:rPr>
        <w:t>表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4"/>
          <w:szCs w:val="24"/>
          <w:lang w:val="en-US" w:eastAsia="zh-CN" w:bidi="ar"/>
        </w:rPr>
        <w:t>1</w:t>
      </w: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4"/>
          <w:szCs w:val="24"/>
          <w:lang w:val="en-US" w:eastAsia="zh-CN" w:bidi="ar"/>
        </w:rPr>
        <w:t>大气污染物许可排放量调整系数取值表</w:t>
      </w:r>
    </w:p>
    <w:tbl>
      <w:tblPr>
        <w:tblStyle w:val="8"/>
        <w:tblW w:w="0" w:type="auto"/>
        <w:jc w:val="center"/>
        <w:tblBorders>
          <w:top w:val="single" w:color="auto" w:sz="12" w:space="0"/>
          <w:left w:val="none" w:color="auto" w:sz="6" w:space="0"/>
          <w:bottom w:val="single" w:color="auto" w:sz="12" w:space="0"/>
          <w:right w:val="none" w:color="auto" w:sz="6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3980"/>
        <w:gridCol w:w="1417"/>
        <w:gridCol w:w="1135"/>
        <w:gridCol w:w="901"/>
      </w:tblGrid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0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3150" w:firstLineChars="150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pict>
                <v:shape id="_x0000_s2052" o:spid="_x0000_s2052" o:spt="32" type="#_x0000_t32" style="position:absolute;left:0pt;margin-left:-4.5pt;margin-top:1.55pt;height:23.35pt;width:251.85pt;z-index:251659264;mso-width-relative:page;mso-height-relative:page;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污染物项目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锅炉排污单位执行标准</w:t>
            </w:r>
          </w:p>
        </w:tc>
        <w:tc>
          <w:tcPr>
            <w:tcW w:w="1417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二氧化硫</w:t>
            </w:r>
          </w:p>
        </w:tc>
        <w:tc>
          <w:tcPr>
            <w:tcW w:w="113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氮氧化物</w:t>
            </w:r>
          </w:p>
        </w:tc>
        <w:tc>
          <w:tcPr>
            <w:tcW w:w="901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颗粒物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center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GB13271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0.8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vMerge w:val="restart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地方标准</w:t>
            </w:r>
          </w:p>
        </w:tc>
        <w:tc>
          <w:tcPr>
            <w:tcW w:w="3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标准限值＞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0.8</w:t>
            </w: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倍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GB13271</w:t>
            </w: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特别排放限值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0.8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12" w:space="0"/>
            <w:left w:val="none" w:color="auto" w:sz="6" w:space="0"/>
            <w:bottom w:val="single" w:color="auto" w:sz="12" w:space="0"/>
            <w:right w:val="none" w:color="auto" w:sz="6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9" w:type="dxa"/>
            <w:vMerge w:val="continue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Calibri" w:hAnsi="Calibri" w:cs="Times New Roman"/>
                <w:kern w:val="2"/>
                <w:sz w:val="21"/>
                <w:szCs w:val="22"/>
              </w:rPr>
            </w:pPr>
          </w:p>
        </w:tc>
        <w:tc>
          <w:tcPr>
            <w:tcW w:w="3981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标准限值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≤0.8</w:t>
            </w: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倍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GB13271</w:t>
            </w: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特别排放限值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901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both"/>
              <w:rPr>
                <w:rFonts w:hint="default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本项目生物质热水锅炉污染物核定总量：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1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）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C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为废气污染物许可排放浓度限值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本项目锅炉执行《锅炉大气污染物排放标准》（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GB 13271-2014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）表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4"/>
          <w:szCs w:val="24"/>
          <w:lang w:val="en-US" w:eastAsia="zh-CN" w:bidi="ar"/>
        </w:rPr>
        <w:t>燃煤锅炉大气污染物排放浓度限值要求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，因此取值为颗粒物：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50mg/m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，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SO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300mg/m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，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NO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X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300mg/m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（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）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V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为基准烟气量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根据《排污许可证申请与核发技术规范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锅炉》（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HJ953-2018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）中基准烟气量理论公式计算，公式如下：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2" w:firstLineChars="200"/>
        <w:jc w:val="center"/>
        <w:rPr>
          <w:b/>
          <w:bCs w:val="0"/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2743200" cy="552450"/>
            <wp:effectExtent l="0" t="0" r="0" b="0"/>
            <wp:docPr id="1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式中：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V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0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理论空气量，标立方米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/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千克，计算得出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1.90m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/kg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 xml:space="preserve">      V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gy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基准烟气量，标立方米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/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千克；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b/>
          <w:bCs w:val="0"/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 xml:space="preserve">      C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ar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收到基碳含量，百分比，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%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，根据燃料检测报告取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38.82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b/>
          <w:bCs w:val="0"/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 xml:space="preserve">      S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ar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收到基硫含量，百分比，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%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，根据燃料检测报告取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0.07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b/>
          <w:bCs w:val="0"/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 xml:space="preserve">      N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ar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收到基氮含量，百分比，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%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，根据燃料检测报告取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0.27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b/>
          <w:bCs w:val="0"/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 xml:space="preserve">      H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ar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收到基氢含量，百分比，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%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，根据燃料检测报告取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4.38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b/>
          <w:bCs w:val="0"/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 xml:space="preserve">      O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bscript"/>
          <w:lang w:val="en-US" w:eastAsia="zh-CN" w:bidi="ar"/>
        </w:rPr>
        <w:t>ar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收到基氧含量，百分比，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%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，根据燃料检测报告取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33.13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1132" w:firstLineChars="472"/>
        <w:jc w:val="both"/>
        <w:rPr>
          <w:color w:val="000000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α—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过量空气系数，燃料燃烧时实际空气供给量与理论空气需要量之比值，燃煤锅炉、燃生物质锅炉和燃油锅炉的过量空气系数分别为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1.75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、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1.75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、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1.2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，对应基准氧含量分别为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9%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、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9%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、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3.5%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。本次评价取值为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1.75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color w:val="000000"/>
          <w:sz w:val="24"/>
          <w:szCs w:val="24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经计算，基准烟气量为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6.13m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宋体" w:cs="Times New Roman"/>
          <w:color w:val="000000"/>
          <w:kern w:val="2"/>
          <w:sz w:val="24"/>
          <w:szCs w:val="24"/>
          <w:lang w:val="en-US" w:eastAsia="zh-CN" w:bidi="ar"/>
        </w:rPr>
        <w:t>/kg</w:t>
      </w:r>
      <w:r>
        <w:rPr>
          <w:rFonts w:hint="eastAsia" w:ascii="Times New Roman" w:hAnsi="Times New Roman" w:eastAsia="宋体" w:cs="宋体"/>
          <w:color w:val="000000"/>
          <w:kern w:val="2"/>
          <w:sz w:val="24"/>
          <w:szCs w:val="24"/>
          <w:lang w:val="en-US" w:eastAsia="zh-CN" w:bidi="ar"/>
        </w:rPr>
        <w:t>。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hint="eastAsia" w:ascii="Times New Roman" w:hAnsi="Times New Roman" w:cs="Times New Roman"/>
          <w:color w:val="000000"/>
          <w:sz w:val="24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sz w:val="24"/>
          <w:lang w:val="en-US" w:eastAsia="zh-CN"/>
        </w:rPr>
        <w:t>3</w:t>
      </w:r>
      <w:r>
        <w:rPr>
          <w:rFonts w:hint="eastAsia" w:ascii="Times New Roman" w:hAnsi="Times New Roman" w:cs="Times New Roman"/>
          <w:color w:val="000000"/>
          <w:sz w:val="24"/>
          <w:lang w:eastAsia="zh-CN"/>
        </w:rPr>
        <w:t>）</w:t>
      </w:r>
      <w:r>
        <w:rPr>
          <w:rFonts w:ascii="Times New Roman" w:hAnsi="Times New Roman" w:cs="Times New Roman"/>
          <w:color w:val="000000"/>
          <w:sz w:val="24"/>
        </w:rPr>
        <w:t>R</w:t>
      </w:r>
      <w:r>
        <w:rPr>
          <w:rFonts w:ascii="Times New Roman" w:cs="Times New Roman"/>
          <w:color w:val="000000"/>
          <w:sz w:val="24"/>
        </w:rPr>
        <w:t>为设计燃料用量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cs="Times New Roman"/>
          <w:color w:val="000000"/>
          <w:sz w:val="24"/>
        </w:rPr>
        <w:t>本项目设计全年生物质成型颗粒使用量为</w:t>
      </w:r>
      <w:r>
        <w:rPr>
          <w:rFonts w:hint="eastAsia" w:ascii="Times New Roman" w:hAnsi="Times New Roman" w:cs="Times New Roman"/>
          <w:color w:val="000000"/>
          <w:sz w:val="24"/>
          <w:lang w:val="en-US" w:eastAsia="zh-CN"/>
        </w:rPr>
        <w:t>1049</w:t>
      </w:r>
      <w:r>
        <w:rPr>
          <w:rFonts w:ascii="Times New Roman" w:hAnsi="Times New Roman" w:cs="Times New Roman"/>
          <w:color w:val="000000"/>
          <w:sz w:val="24"/>
        </w:rPr>
        <w:t>t/a</w:t>
      </w:r>
      <w:r>
        <w:rPr>
          <w:rFonts w:ascii="Times New Roman" w:cs="Times New Roman"/>
          <w:color w:val="000000"/>
          <w:sz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cs="Times New Roman"/>
          <w:color w:val="000000"/>
          <w:sz w:val="24"/>
        </w:rPr>
        <w:t>因此污染物核定量计算过程如下：</w:t>
      </w:r>
    </w:p>
    <w:p>
      <w:pPr>
        <w:spacing w:line="360" w:lineRule="auto"/>
        <w:ind w:firstLine="482" w:firstLineChars="200"/>
        <w:jc w:val="left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cs="Times New Roman"/>
          <w:b/>
          <w:color w:val="000000"/>
          <w:sz w:val="24"/>
        </w:rPr>
        <w:t>颗粒物</w:t>
      </w:r>
      <w:r>
        <w:rPr>
          <w:rFonts w:ascii="Times New Roman" w:hAnsi="Times New Roman" w:cs="Times New Roman"/>
          <w:b/>
          <w:color w:val="000000"/>
          <w:sz w:val="24"/>
        </w:rPr>
        <w:t>=</w:t>
      </w:r>
      <w:r>
        <w:rPr>
          <w:rFonts w:hint="eastAsia" w:ascii="Times New Roman" w:hAnsi="Times New Roman" w:cs="Times New Roman"/>
          <w:b/>
          <w:color w:val="000000"/>
          <w:sz w:val="24"/>
        </w:rPr>
        <w:t>50</w:t>
      </w:r>
      <w:r>
        <w:rPr>
          <w:rFonts w:ascii="Times New Roman" w:hAnsi="Times New Roman" w:cs="Times New Roman"/>
          <w:b/>
          <w:color w:val="000000"/>
          <w:sz w:val="24"/>
        </w:rPr>
        <w:t>×</w:t>
      </w:r>
      <w:r>
        <w:rPr>
          <w:rFonts w:hint="eastAsia" w:ascii="Times New Roman" w:hAnsi="Times New Roman" w:cs="Times New Roman"/>
          <w:b/>
          <w:color w:val="000000"/>
          <w:sz w:val="24"/>
        </w:rPr>
        <w:t>6.</w:t>
      </w:r>
      <w:r>
        <w:rPr>
          <w:rFonts w:hint="eastAsia" w:ascii="Times New Roman" w:hAnsi="Times New Roman" w:cs="Times New Roman"/>
          <w:b/>
          <w:color w:val="000000"/>
          <w:sz w:val="24"/>
          <w:lang w:val="en-US" w:eastAsia="zh-CN"/>
        </w:rPr>
        <w:t>13</w:t>
      </w:r>
      <w:r>
        <w:rPr>
          <w:rFonts w:ascii="Times New Roman" w:hAnsi="Times New Roman" w:cs="Times New Roman"/>
          <w:b/>
          <w:color w:val="000000"/>
          <w:sz w:val="24"/>
        </w:rPr>
        <w:t>×</w:t>
      </w:r>
      <w:r>
        <w:rPr>
          <w:rFonts w:hint="eastAsia" w:ascii="Times New Roman" w:hAnsi="Times New Roman" w:cs="Times New Roman"/>
          <w:b/>
          <w:color w:val="000000"/>
          <w:sz w:val="24"/>
          <w:lang w:val="en-US" w:eastAsia="zh-CN"/>
        </w:rPr>
        <w:t>1049</w:t>
      </w:r>
      <w:r>
        <w:rPr>
          <w:rFonts w:ascii="Times New Roman" w:hAnsi="Times New Roman" w:cs="Times New Roman"/>
          <w:b/>
          <w:color w:val="000000"/>
          <w:sz w:val="24"/>
        </w:rPr>
        <w:t>×1×10</w:t>
      </w:r>
      <w:r>
        <w:rPr>
          <w:rFonts w:ascii="Times New Roman" w:hAnsi="Times New Roman" w:cs="Times New Roman"/>
          <w:b/>
          <w:color w:val="000000"/>
          <w:sz w:val="24"/>
          <w:vertAlign w:val="superscript"/>
        </w:rPr>
        <w:t>-6</w:t>
      </w:r>
      <w:r>
        <w:rPr>
          <w:rFonts w:ascii="Times New Roman" w:hAnsi="Times New Roman" w:cs="Times New Roman"/>
          <w:b/>
          <w:color w:val="000000"/>
          <w:sz w:val="24"/>
        </w:rPr>
        <w:t>=0.</w:t>
      </w:r>
      <w:r>
        <w:rPr>
          <w:rFonts w:hint="eastAsia" w:ascii="Times New Roman" w:hAnsi="Times New Roman" w:cs="Times New Roman"/>
          <w:b/>
          <w:color w:val="000000"/>
          <w:sz w:val="24"/>
          <w:lang w:val="en-US" w:eastAsia="zh-CN"/>
        </w:rPr>
        <w:t>322</w:t>
      </w:r>
      <w:r>
        <w:rPr>
          <w:rFonts w:ascii="Times New Roman" w:hAnsi="Times New Roman" w:cs="Times New Roman"/>
          <w:b/>
          <w:color w:val="000000"/>
          <w:sz w:val="24"/>
        </w:rPr>
        <w:t>t/a</w:t>
      </w:r>
    </w:p>
    <w:p>
      <w:pPr>
        <w:spacing w:line="360" w:lineRule="auto"/>
        <w:ind w:firstLine="482" w:firstLineChars="200"/>
        <w:jc w:val="left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SO</w:t>
      </w:r>
      <w:r>
        <w:rPr>
          <w:rFonts w:ascii="Times New Roman" w:hAnsi="Times New Roman" w:cs="Times New Roman"/>
          <w:b/>
          <w:color w:val="000000"/>
          <w:sz w:val="24"/>
          <w:vertAlign w:val="subscript"/>
        </w:rPr>
        <w:t>2</w:t>
      </w:r>
      <w:r>
        <w:rPr>
          <w:rFonts w:ascii="Times New Roman" w:hAnsi="Times New Roman" w:cs="Times New Roman"/>
          <w:b/>
          <w:color w:val="000000"/>
          <w:sz w:val="24"/>
        </w:rPr>
        <w:t>=</w:t>
      </w:r>
      <w:r>
        <w:rPr>
          <w:rFonts w:hint="eastAsia" w:ascii="Times New Roman" w:hAnsi="Times New Roman" w:cs="Times New Roman"/>
          <w:b/>
          <w:color w:val="000000"/>
          <w:sz w:val="24"/>
        </w:rPr>
        <w:t>3</w:t>
      </w:r>
      <w:r>
        <w:rPr>
          <w:rFonts w:ascii="Times New Roman" w:hAnsi="Times New Roman" w:cs="Times New Roman"/>
          <w:b/>
          <w:color w:val="000000"/>
          <w:sz w:val="24"/>
        </w:rPr>
        <w:t>00×</w:t>
      </w:r>
      <w:r>
        <w:rPr>
          <w:rFonts w:hint="eastAsia" w:ascii="Times New Roman" w:hAnsi="Times New Roman" w:cs="Times New Roman"/>
          <w:b/>
          <w:color w:val="000000"/>
          <w:sz w:val="24"/>
        </w:rPr>
        <w:t>6.</w:t>
      </w:r>
      <w:r>
        <w:rPr>
          <w:rFonts w:hint="eastAsia" w:ascii="Times New Roman" w:hAnsi="Times New Roman" w:cs="Times New Roman"/>
          <w:b/>
          <w:color w:val="000000"/>
          <w:sz w:val="24"/>
          <w:lang w:val="en-US" w:eastAsia="zh-CN"/>
        </w:rPr>
        <w:t>13</w:t>
      </w:r>
      <w:r>
        <w:rPr>
          <w:rFonts w:ascii="Times New Roman" w:hAnsi="Times New Roman" w:cs="Times New Roman"/>
          <w:b/>
          <w:color w:val="000000"/>
          <w:sz w:val="24"/>
        </w:rPr>
        <w:t>×</w:t>
      </w:r>
      <w:r>
        <w:rPr>
          <w:rFonts w:hint="eastAsia" w:ascii="Times New Roman" w:hAnsi="Times New Roman" w:cs="Times New Roman"/>
          <w:b/>
          <w:color w:val="000000"/>
          <w:sz w:val="24"/>
          <w:lang w:val="en-US" w:eastAsia="zh-CN"/>
        </w:rPr>
        <w:t>1049</w:t>
      </w:r>
      <w:r>
        <w:rPr>
          <w:rFonts w:ascii="Times New Roman" w:hAnsi="Times New Roman" w:cs="Times New Roman"/>
          <w:b/>
          <w:color w:val="000000"/>
          <w:sz w:val="24"/>
        </w:rPr>
        <w:t>×0.8×10</w:t>
      </w:r>
      <w:r>
        <w:rPr>
          <w:rFonts w:ascii="Times New Roman" w:hAnsi="Times New Roman" w:cs="Times New Roman"/>
          <w:b/>
          <w:color w:val="000000"/>
          <w:sz w:val="24"/>
          <w:vertAlign w:val="superscript"/>
        </w:rPr>
        <w:t>-6</w:t>
      </w:r>
      <w:r>
        <w:rPr>
          <w:rFonts w:ascii="Times New Roman" w:hAnsi="Times New Roman" w:cs="Times New Roman"/>
          <w:b/>
          <w:color w:val="000000"/>
          <w:sz w:val="24"/>
        </w:rPr>
        <w:t>=</w:t>
      </w:r>
      <w:r>
        <w:rPr>
          <w:rFonts w:hint="eastAsia" w:ascii="Times New Roman" w:hAnsi="Times New Roman" w:cs="Times New Roman"/>
          <w:b/>
          <w:color w:val="000000"/>
          <w:sz w:val="24"/>
          <w:lang w:val="en-US" w:eastAsia="zh-CN"/>
        </w:rPr>
        <w:t>1.543</w:t>
      </w:r>
      <w:r>
        <w:rPr>
          <w:rFonts w:ascii="Times New Roman" w:hAnsi="Times New Roman" w:cs="Times New Roman"/>
          <w:b/>
          <w:color w:val="000000"/>
          <w:sz w:val="24"/>
        </w:rPr>
        <w:t>t/a</w:t>
      </w:r>
    </w:p>
    <w:p>
      <w:pPr>
        <w:spacing w:line="360" w:lineRule="auto"/>
        <w:ind w:firstLine="482" w:firstLineChars="200"/>
        <w:jc w:val="left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NO</w:t>
      </w:r>
      <w:r>
        <w:rPr>
          <w:rFonts w:ascii="Times New Roman" w:hAnsi="Times New Roman" w:cs="Times New Roman"/>
          <w:b/>
          <w:color w:val="000000"/>
          <w:sz w:val="24"/>
          <w:vertAlign w:val="subscript"/>
        </w:rPr>
        <w:t>X</w:t>
      </w:r>
      <w:r>
        <w:rPr>
          <w:rFonts w:ascii="Times New Roman" w:hAnsi="Times New Roman" w:cs="Times New Roman"/>
          <w:b/>
          <w:color w:val="000000"/>
          <w:sz w:val="24"/>
        </w:rPr>
        <w:t>=</w:t>
      </w:r>
      <w:r>
        <w:rPr>
          <w:rFonts w:hint="eastAsia" w:ascii="Times New Roman" w:hAnsi="Times New Roman" w:cs="Times New Roman"/>
          <w:b/>
          <w:color w:val="000000"/>
          <w:sz w:val="24"/>
        </w:rPr>
        <w:t>3</w:t>
      </w:r>
      <w:r>
        <w:rPr>
          <w:rFonts w:ascii="Times New Roman" w:hAnsi="Times New Roman" w:cs="Times New Roman"/>
          <w:b/>
          <w:color w:val="000000"/>
          <w:sz w:val="24"/>
        </w:rPr>
        <w:t>00×</w:t>
      </w:r>
      <w:r>
        <w:rPr>
          <w:rFonts w:hint="eastAsia" w:ascii="Times New Roman" w:hAnsi="Times New Roman" w:cs="Times New Roman"/>
          <w:b/>
          <w:color w:val="000000"/>
          <w:sz w:val="24"/>
        </w:rPr>
        <w:t>6.</w:t>
      </w:r>
      <w:r>
        <w:rPr>
          <w:rFonts w:hint="eastAsia" w:ascii="Times New Roman" w:hAnsi="Times New Roman" w:cs="Times New Roman"/>
          <w:b/>
          <w:color w:val="000000"/>
          <w:sz w:val="24"/>
          <w:lang w:val="en-US" w:eastAsia="zh-CN"/>
        </w:rPr>
        <w:t>13</w:t>
      </w:r>
      <w:r>
        <w:rPr>
          <w:rFonts w:ascii="Times New Roman" w:hAnsi="Times New Roman" w:cs="Times New Roman"/>
          <w:b/>
          <w:color w:val="000000"/>
          <w:sz w:val="24"/>
        </w:rPr>
        <w:t>×</w:t>
      </w:r>
      <w:r>
        <w:rPr>
          <w:rFonts w:hint="eastAsia" w:ascii="Times New Roman" w:hAnsi="Times New Roman" w:cs="Times New Roman"/>
          <w:b/>
          <w:color w:val="000000"/>
          <w:sz w:val="24"/>
          <w:lang w:val="en-US" w:eastAsia="zh-CN"/>
        </w:rPr>
        <w:t>1049</w:t>
      </w:r>
      <w:r>
        <w:rPr>
          <w:rFonts w:ascii="Times New Roman" w:hAnsi="Times New Roman" w:cs="Times New Roman"/>
          <w:b/>
          <w:color w:val="000000"/>
          <w:sz w:val="24"/>
        </w:rPr>
        <w:t>×1×10</w:t>
      </w:r>
      <w:r>
        <w:rPr>
          <w:rFonts w:ascii="Times New Roman" w:hAnsi="Times New Roman" w:cs="Times New Roman"/>
          <w:b/>
          <w:color w:val="000000"/>
          <w:sz w:val="24"/>
          <w:vertAlign w:val="superscript"/>
        </w:rPr>
        <w:t>-6</w:t>
      </w:r>
      <w:r>
        <w:rPr>
          <w:rFonts w:ascii="Times New Roman" w:hAnsi="Times New Roman" w:cs="Times New Roman"/>
          <w:b/>
          <w:color w:val="000000"/>
          <w:sz w:val="24"/>
        </w:rPr>
        <w:t>=</w:t>
      </w:r>
      <w:r>
        <w:rPr>
          <w:rFonts w:hint="eastAsia" w:ascii="Times New Roman" w:hAnsi="Times New Roman" w:cs="Times New Roman"/>
          <w:b/>
          <w:color w:val="000000"/>
          <w:sz w:val="24"/>
          <w:lang w:val="en-US" w:eastAsia="zh-CN"/>
        </w:rPr>
        <w:t>1.929</w:t>
      </w:r>
      <w:r>
        <w:rPr>
          <w:rFonts w:ascii="Times New Roman" w:hAnsi="Times New Roman" w:cs="Times New Roman"/>
          <w:b/>
          <w:color w:val="000000"/>
          <w:sz w:val="24"/>
        </w:rPr>
        <w:t>t/a</w:t>
      </w:r>
    </w:p>
    <w:p>
      <w:pPr>
        <w:spacing w:line="360" w:lineRule="auto"/>
        <w:ind w:firstLine="482" w:firstLineChars="200"/>
        <w:jc w:val="left"/>
        <w:rPr>
          <w:rFonts w:hint="default" w:ascii="Times New Roman" w:hAnsi="Times New Roman" w:cs="Times New Roman" w:eastAsiaTheme="minorEastAsia"/>
          <w:b/>
          <w:bCs w:val="0"/>
          <w:color w:val="000000"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color w:val="000000"/>
          <w:sz w:val="24"/>
          <w:lang w:val="en-US" w:eastAsia="zh-CN"/>
        </w:rPr>
        <w:t>根据工程分析，无组织颗粒物排放量为0.006t/a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（2）废水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根据</w:t>
      </w:r>
      <w:r>
        <w:rPr>
          <w:rFonts w:ascii="Times New Roman" w:hAnsi="Times New Roman" w:eastAsia="宋体" w:cs="Times New Roman"/>
          <w:sz w:val="24"/>
          <w:szCs w:val="24"/>
        </w:rPr>
        <w:t>工程分析，本项目废水量为</w:t>
      </w:r>
      <w:r>
        <w:rPr>
          <w:rFonts w:hint="eastAsia" w:ascii="Times New Roman" w:hAnsi="Times New Roman" w:eastAsia="宋体" w:cs="Times New Roman"/>
          <w:sz w:val="24"/>
          <w:szCs w:val="24"/>
        </w:rPr>
        <w:t>2226.68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t/a</w:t>
      </w:r>
      <w:r>
        <w:rPr>
          <w:rFonts w:hint="eastAsia" w:ascii="Times New Roman" w:hAnsi="Times New Roman" w:eastAsia="宋体" w:cs="Times New Roman"/>
          <w:sz w:val="24"/>
          <w:szCs w:val="24"/>
        </w:rPr>
        <w:t>，氨氮排放浓度为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26.78</w:t>
      </w:r>
      <w:r>
        <w:rPr>
          <w:rFonts w:hint="eastAsia" w:ascii="Times New Roman" w:hAnsi="Times New Roman" w:eastAsia="宋体" w:cs="Times New Roman"/>
          <w:sz w:val="24"/>
          <w:szCs w:val="24"/>
        </w:rPr>
        <w:t>mg/L，COD排放标准为500mg/L</w:t>
      </w:r>
      <w:r>
        <w:rPr>
          <w:rFonts w:ascii="Times New Roman" w:hAnsi="Times New Roman" w:eastAsia="宋体" w:cs="Times New Roman"/>
          <w:sz w:val="24"/>
          <w:szCs w:val="24"/>
        </w:rPr>
        <w:t>。</w:t>
      </w:r>
    </w:p>
    <w:p>
      <w:pPr>
        <w:spacing w:line="360" w:lineRule="auto"/>
        <w:ind w:firstLine="482" w:firstLineChars="200"/>
        <w:jc w:val="left"/>
        <w:rPr>
          <w:rFonts w:ascii="Times New Roman" w:hAnsi="Times New Roman" w:eastAsia="宋体" w:cs="Times New Roman"/>
          <w:b/>
          <w:bCs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 w:val="0"/>
          <w:sz w:val="24"/>
          <w:szCs w:val="24"/>
        </w:rPr>
        <w:t>COD =</w:t>
      </w:r>
      <w:r>
        <w:rPr>
          <w:rFonts w:hint="eastAsia" w:ascii="Times New Roman" w:hAnsi="Times New Roman" w:eastAsia="宋体" w:cs="Times New Roman"/>
          <w:b/>
          <w:bCs w:val="0"/>
          <w:sz w:val="24"/>
          <w:szCs w:val="24"/>
        </w:rPr>
        <w:t>2226.68</w:t>
      </w:r>
      <w:r>
        <w:rPr>
          <w:rFonts w:ascii="Times New Roman" w:hAnsi="Times New Roman" w:eastAsia="宋体" w:cs="Times New Roman"/>
          <w:b/>
          <w:bCs w:val="0"/>
          <w:sz w:val="24"/>
          <w:szCs w:val="24"/>
        </w:rPr>
        <w:t>×500×10</w:t>
      </w:r>
      <w:r>
        <w:rPr>
          <w:rFonts w:ascii="Times New Roman" w:hAnsi="Times New Roman" w:eastAsia="宋体" w:cs="Times New Roman"/>
          <w:b/>
          <w:bCs w:val="0"/>
          <w:sz w:val="24"/>
          <w:szCs w:val="24"/>
          <w:vertAlign w:val="superscript"/>
        </w:rPr>
        <w:t>-6</w:t>
      </w:r>
      <w:r>
        <w:rPr>
          <w:rFonts w:ascii="Times New Roman" w:hAnsi="Times New Roman" w:eastAsia="宋体" w:cs="Times New Roman"/>
          <w:b/>
          <w:bCs w:val="0"/>
          <w:sz w:val="24"/>
          <w:szCs w:val="24"/>
        </w:rPr>
        <w:t xml:space="preserve"> =</w:t>
      </w:r>
      <w:r>
        <w:rPr>
          <w:rFonts w:hint="eastAsia" w:ascii="Times New Roman" w:hAnsi="Times New Roman" w:eastAsia="宋体" w:cs="Times New Roman"/>
          <w:b/>
          <w:bCs w:val="0"/>
          <w:sz w:val="24"/>
          <w:szCs w:val="24"/>
          <w:lang w:val="en-US" w:eastAsia="zh-CN"/>
        </w:rPr>
        <w:t>1.113</w:t>
      </w:r>
      <w:r>
        <w:rPr>
          <w:rFonts w:ascii="Times New Roman" w:hAnsi="Times New Roman" w:eastAsia="宋体" w:cs="Times New Roman"/>
          <w:b/>
          <w:bCs w:val="0"/>
          <w:sz w:val="24"/>
          <w:szCs w:val="24"/>
        </w:rPr>
        <w:t>t/a</w:t>
      </w:r>
    </w:p>
    <w:p>
      <w:pPr>
        <w:spacing w:line="360" w:lineRule="auto"/>
        <w:ind w:firstLine="482" w:firstLineChars="200"/>
        <w:jc w:val="left"/>
        <w:rPr>
          <w:rFonts w:ascii="Times New Roman" w:hAnsi="Times New Roman" w:eastAsia="宋体" w:cs="Times New Roman"/>
          <w:b/>
          <w:bCs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 w:val="0"/>
          <w:sz w:val="24"/>
          <w:szCs w:val="24"/>
        </w:rPr>
        <w:t>氨氮</w:t>
      </w:r>
      <w:r>
        <w:rPr>
          <w:rFonts w:ascii="Times New Roman" w:hAnsi="Times New Roman" w:eastAsia="宋体" w:cs="Times New Roman"/>
          <w:b/>
          <w:bCs w:val="0"/>
          <w:sz w:val="24"/>
          <w:szCs w:val="24"/>
        </w:rPr>
        <w:t xml:space="preserve"> =</w:t>
      </w:r>
      <w:r>
        <w:rPr>
          <w:rFonts w:hint="eastAsia" w:ascii="Times New Roman" w:hAnsi="Times New Roman" w:eastAsia="宋体" w:cs="Times New Roman"/>
          <w:b/>
          <w:bCs w:val="0"/>
          <w:sz w:val="24"/>
          <w:szCs w:val="24"/>
        </w:rPr>
        <w:t>2226.68</w:t>
      </w:r>
      <w:r>
        <w:rPr>
          <w:rFonts w:ascii="Times New Roman" w:hAnsi="Times New Roman" w:eastAsia="宋体" w:cs="Times New Roman"/>
          <w:b/>
          <w:bCs w:val="0"/>
          <w:sz w:val="24"/>
          <w:szCs w:val="24"/>
        </w:rPr>
        <w:t>×</w:t>
      </w:r>
      <w:r>
        <w:rPr>
          <w:rFonts w:hint="eastAsia" w:ascii="Times New Roman" w:hAnsi="Times New Roman" w:eastAsia="宋体" w:cs="Times New Roman"/>
          <w:b/>
          <w:bCs w:val="0"/>
          <w:sz w:val="24"/>
          <w:szCs w:val="24"/>
          <w:lang w:val="en-US" w:eastAsia="zh-CN"/>
        </w:rPr>
        <w:t>26.78</w:t>
      </w:r>
      <w:r>
        <w:rPr>
          <w:rFonts w:ascii="Times New Roman" w:hAnsi="Times New Roman" w:eastAsia="宋体" w:cs="Times New Roman"/>
          <w:b/>
          <w:bCs w:val="0"/>
          <w:sz w:val="24"/>
          <w:szCs w:val="24"/>
        </w:rPr>
        <w:t>×10</w:t>
      </w:r>
      <w:r>
        <w:rPr>
          <w:rFonts w:ascii="Times New Roman" w:hAnsi="Times New Roman" w:eastAsia="宋体" w:cs="Times New Roman"/>
          <w:b/>
          <w:bCs w:val="0"/>
          <w:sz w:val="24"/>
          <w:szCs w:val="24"/>
          <w:vertAlign w:val="superscript"/>
        </w:rPr>
        <w:t>-6</w:t>
      </w:r>
      <w:r>
        <w:rPr>
          <w:rFonts w:ascii="Times New Roman" w:hAnsi="Times New Roman" w:eastAsia="宋体" w:cs="Times New Roman"/>
          <w:b/>
          <w:bCs w:val="0"/>
          <w:sz w:val="24"/>
          <w:szCs w:val="24"/>
        </w:rPr>
        <w:t xml:space="preserve"> =</w:t>
      </w:r>
      <w:r>
        <w:rPr>
          <w:rFonts w:hint="eastAsia" w:ascii="Times New Roman" w:hAnsi="Times New Roman" w:eastAsia="宋体" w:cs="Times New Roman"/>
          <w:b/>
          <w:bCs w:val="0"/>
          <w:sz w:val="24"/>
          <w:szCs w:val="24"/>
        </w:rPr>
        <w:t>0.0</w:t>
      </w:r>
      <w:r>
        <w:rPr>
          <w:rFonts w:hint="eastAsia" w:ascii="Times New Roman" w:hAnsi="Times New Roman" w:eastAsia="宋体" w:cs="Times New Roman"/>
          <w:b/>
          <w:bCs w:val="0"/>
          <w:sz w:val="24"/>
          <w:szCs w:val="24"/>
          <w:lang w:val="en-US" w:eastAsia="zh-CN"/>
        </w:rPr>
        <w:t>6</w:t>
      </w:r>
      <w:r>
        <w:rPr>
          <w:rFonts w:ascii="Times New Roman" w:hAnsi="Times New Roman" w:eastAsia="宋体" w:cs="Times New Roman"/>
          <w:b/>
          <w:bCs w:val="0"/>
          <w:sz w:val="24"/>
          <w:szCs w:val="24"/>
        </w:rPr>
        <w:t>t/a</w:t>
      </w:r>
    </w:p>
    <w:p>
      <w:pPr>
        <w:spacing w:line="360" w:lineRule="auto"/>
        <w:ind w:firstLine="482" w:firstLineChars="200"/>
        <w:jc w:val="left"/>
        <w:rPr>
          <w:rFonts w:hint="eastAsia" w:ascii="Times New Roman" w:hAnsi="Times New Roman" w:cs="Times New Roman"/>
          <w:b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因此本项目核定总量颗粒物为0.328t/a，</w:t>
      </w:r>
      <w:r>
        <w:rPr>
          <w:rFonts w:ascii="Times New Roman" w:hAnsi="Times New Roman" w:cs="Times New Roman"/>
          <w:b/>
          <w:color w:val="000000"/>
          <w:sz w:val="24"/>
        </w:rPr>
        <w:t>SO</w:t>
      </w:r>
      <w:r>
        <w:rPr>
          <w:rFonts w:ascii="Times New Roman" w:hAnsi="Times New Roman" w:cs="Times New Roman"/>
          <w:b/>
          <w:color w:val="000000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b/>
          <w:color w:val="000000"/>
          <w:sz w:val="24"/>
          <w:vertAlign w:val="baseline"/>
          <w:lang w:val="en-US" w:eastAsia="zh-CN"/>
        </w:rPr>
        <w:t>为1.543t/a，</w:t>
      </w:r>
      <w:r>
        <w:rPr>
          <w:rFonts w:ascii="Times New Roman" w:hAnsi="Times New Roman" w:cs="Times New Roman"/>
          <w:b/>
          <w:color w:val="000000"/>
          <w:sz w:val="24"/>
        </w:rPr>
        <w:t>NO</w:t>
      </w:r>
      <w:r>
        <w:rPr>
          <w:rFonts w:ascii="Times New Roman" w:hAnsi="Times New Roman" w:cs="Times New Roman"/>
          <w:b/>
          <w:color w:val="000000"/>
          <w:sz w:val="24"/>
          <w:vertAlign w:val="subscript"/>
        </w:rPr>
        <w:t>X</w:t>
      </w:r>
      <w:r>
        <w:rPr>
          <w:rFonts w:hint="eastAsia" w:ascii="Times New Roman" w:hAnsi="Times New Roman" w:cs="Times New Roman"/>
          <w:b/>
          <w:color w:val="000000"/>
          <w:sz w:val="24"/>
          <w:vertAlign w:val="baseline"/>
          <w:lang w:val="en-US" w:eastAsia="zh-CN"/>
        </w:rPr>
        <w:t>为1.929t/a，COD为1.113t/a，氨氮为0.06t/a。</w:t>
      </w:r>
    </w:p>
    <w:p>
      <w:pPr>
        <w:spacing w:line="360" w:lineRule="auto"/>
        <w:ind w:firstLine="482" w:firstLineChars="200"/>
        <w:jc w:val="left"/>
        <w:rPr>
          <w:rFonts w:hint="eastAsia" w:ascii="Times New Roman" w:hAnsi="Times New Roman" w:cs="Times New Roman"/>
          <w:b/>
          <w:color w:val="000000"/>
          <w:sz w:val="24"/>
          <w:vertAlign w:val="baseline"/>
          <w:lang w:val="en-US" w:eastAsia="zh-CN"/>
        </w:rPr>
      </w:pPr>
    </w:p>
    <w:p>
      <w:pPr>
        <w:spacing w:line="360" w:lineRule="auto"/>
        <w:ind w:firstLine="482" w:firstLineChars="200"/>
        <w:jc w:val="left"/>
        <w:rPr>
          <w:rFonts w:hint="eastAsia" w:ascii="Times New Roman" w:hAnsi="Times New Roman" w:cs="Times New Roman"/>
          <w:b/>
          <w:color w:val="000000"/>
          <w:sz w:val="24"/>
          <w:vertAlign w:val="baseline"/>
          <w:lang w:val="en-US" w:eastAsia="zh-CN"/>
        </w:rPr>
      </w:pPr>
    </w:p>
    <w:p>
      <w:pPr>
        <w:spacing w:line="360" w:lineRule="auto"/>
        <w:ind w:firstLine="482" w:firstLineChars="200"/>
        <w:jc w:val="left"/>
        <w:rPr>
          <w:rFonts w:hint="eastAsia" w:ascii="Times New Roman" w:hAnsi="Times New Roman" w:cs="Times New Roman"/>
          <w:b/>
          <w:color w:val="000000"/>
          <w:sz w:val="24"/>
          <w:vertAlign w:val="baseline"/>
          <w:lang w:val="en-US" w:eastAsia="zh-CN"/>
        </w:rPr>
      </w:pPr>
    </w:p>
    <w:p>
      <w:pPr>
        <w:outlineLvl w:val="0"/>
        <w:rPr>
          <w:rFonts w:hint="eastAsia" w:asci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cs="Times New Roman"/>
          <w:sz w:val="28"/>
          <w:szCs w:val="28"/>
          <w:lang w:val="en-US" w:eastAsia="zh-CN"/>
        </w:rPr>
        <w:t>附件6生态环境分区管控分析报告</w:t>
      </w:r>
    </w:p>
    <w:p>
      <w:pPr>
        <w:outlineLvl w:val="9"/>
      </w:pPr>
      <w:r>
        <w:drawing>
          <wp:inline distT="0" distB="0" distL="114300" distR="114300">
            <wp:extent cx="5439410" cy="3840480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  <w:r>
        <w:drawing>
          <wp:inline distT="0" distB="0" distL="114300" distR="114300">
            <wp:extent cx="5293360" cy="1726565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rcRect t="15095" r="-422" b="28681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</w:p>
    <w:p>
      <w:pPr>
        <w:outlineLvl w:val="9"/>
      </w:pPr>
      <w:r>
        <w:drawing>
          <wp:inline distT="0" distB="0" distL="114300" distR="114300">
            <wp:extent cx="5256530" cy="1786890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rcRect t="6515" r="301" b="3546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  <w:r>
        <w:drawing>
          <wp:inline distT="0" distB="0" distL="114300" distR="114300">
            <wp:extent cx="5293360" cy="622300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rcRect t="10134" r="-422" b="69347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  <w:r>
        <w:drawing>
          <wp:inline distT="0" distB="0" distL="114300" distR="114300">
            <wp:extent cx="5212715" cy="661035"/>
            <wp:effectExtent l="0" t="0" r="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rcRect t="7995" r="1144" b="70773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  <w:r>
        <w:drawing>
          <wp:inline distT="0" distB="0" distL="114300" distR="114300">
            <wp:extent cx="5095240" cy="707390"/>
            <wp:effectExtent l="0" t="0" r="0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rcRect t="10971" r="3255" b="66355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</w:p>
    <w:p>
      <w:pPr>
        <w:outlineLvl w:val="9"/>
      </w:pPr>
      <w:r>
        <w:drawing>
          <wp:inline distT="0" distB="0" distL="114300" distR="114300">
            <wp:extent cx="5139690" cy="615950"/>
            <wp:effectExtent l="0" t="0" r="0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rcRect t="8304" r="2447" b="71659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  <w:r>
        <w:drawing>
          <wp:inline distT="0" distB="0" distL="114300" distR="114300">
            <wp:extent cx="5272405" cy="2590165"/>
            <wp:effectExtent l="0" t="0" r="444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  <w:r>
        <w:drawing>
          <wp:inline distT="0" distB="0" distL="114300" distR="114300">
            <wp:extent cx="5755005" cy="671195"/>
            <wp:effectExtent l="0" t="0" r="0" b="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rcRect t="8273" r="4399" b="72963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  <w:r>
        <w:drawing>
          <wp:inline distT="0" distB="0" distL="114300" distR="114300">
            <wp:extent cx="5709285" cy="2966085"/>
            <wp:effectExtent l="0" t="0" r="5715" b="571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  <w:r>
        <w:drawing>
          <wp:inline distT="0" distB="0" distL="114300" distR="114300">
            <wp:extent cx="5266690" cy="2755900"/>
            <wp:effectExtent l="0" t="0" r="10160" b="635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  <w:r>
        <w:drawing>
          <wp:inline distT="0" distB="0" distL="114300" distR="114300">
            <wp:extent cx="5256530" cy="1601470"/>
            <wp:effectExtent l="0" t="0" r="0" b="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rcRect t="11407" r="277" b="3609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  <w:r>
        <w:drawing>
          <wp:inline distT="0" distB="0" distL="114300" distR="114300">
            <wp:extent cx="5351780" cy="1712595"/>
            <wp:effectExtent l="0" t="0" r="0" b="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rcRect t="9830" r="-1616" b="34938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</w:pPr>
    </w:p>
    <w:p>
      <w:pPr>
        <w:outlineLvl w:val="9"/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9"/>
        <w:rPr>
          <w:rFonts w:hint="default"/>
          <w:lang w:val="en-US" w:eastAsia="zh-CN"/>
        </w:rPr>
      </w:pPr>
    </w:p>
    <w:p>
      <w:pPr>
        <w:outlineLvl w:val="0"/>
        <w:rPr>
          <w:rFonts w:hint="default" w:asci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cs="Times New Roman"/>
          <w:sz w:val="28"/>
          <w:szCs w:val="28"/>
          <w:lang w:val="en-US" w:eastAsia="zh-CN"/>
        </w:rPr>
        <w:t>附件7关于对海伦市海北村调味食品加工建设项目“未批先建”违法行为不予处罚的说明</w:t>
      </w:r>
    </w:p>
    <w:p>
      <w:pPr>
        <w:jc w:val="center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25340" cy="7934960"/>
            <wp:effectExtent l="0" t="0" r="3810" b="8890"/>
            <wp:docPr id="28" name="图片 28" descr="ebea66536ccda26e7a6a96ffdefb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bea66536ccda26e7a6a96ffdefb783"/>
                    <pic:cNvPicPr>
                      <a:picLocks noChangeAspect="1"/>
                    </pic:cNvPicPr>
                  </pic:nvPicPr>
                  <pic:blipFill>
                    <a:blip r:embed="rId32"/>
                    <a:srcRect t="3587" r="89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71110" cy="8757920"/>
            <wp:effectExtent l="0" t="0" r="15240" b="5080"/>
            <wp:docPr id="29" name="图片 29" descr="9632464b8d6c0034c96925d92cc0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632464b8d6c0034c96925d92cc016a"/>
                    <pic:cNvPicPr>
                      <a:picLocks noChangeAspect="1"/>
                    </pic:cNvPicPr>
                  </pic:nvPicPr>
                  <pic:blipFill>
                    <a:blip r:embed="rId33"/>
                    <a:srcRect t="2375" r="-497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2"/>
  </w:compat>
  <w:docVars>
    <w:docVar w:name="commondata" w:val="eyJoZGlkIjoiM2M1ZjZmYzQxMmRmYWJmZTg5MTczMzMxY2IyMTRlYWUifQ=="/>
  </w:docVars>
  <w:rsids>
    <w:rsidRoot w:val="000269A3"/>
    <w:rsid w:val="000007A2"/>
    <w:rsid w:val="00002EF5"/>
    <w:rsid w:val="00005331"/>
    <w:rsid w:val="0000562E"/>
    <w:rsid w:val="000158D6"/>
    <w:rsid w:val="000269A3"/>
    <w:rsid w:val="00044AC7"/>
    <w:rsid w:val="0005699E"/>
    <w:rsid w:val="000605BF"/>
    <w:rsid w:val="00072AAB"/>
    <w:rsid w:val="000738C7"/>
    <w:rsid w:val="000761CE"/>
    <w:rsid w:val="000844AE"/>
    <w:rsid w:val="00090693"/>
    <w:rsid w:val="000941F8"/>
    <w:rsid w:val="000B0AC6"/>
    <w:rsid w:val="000B24FB"/>
    <w:rsid w:val="000B5255"/>
    <w:rsid w:val="000C2875"/>
    <w:rsid w:val="000D55CA"/>
    <w:rsid w:val="000F0D8D"/>
    <w:rsid w:val="000F2CDF"/>
    <w:rsid w:val="00100BF4"/>
    <w:rsid w:val="001022B9"/>
    <w:rsid w:val="00103590"/>
    <w:rsid w:val="001074E1"/>
    <w:rsid w:val="00115A66"/>
    <w:rsid w:val="001228A5"/>
    <w:rsid w:val="001232C0"/>
    <w:rsid w:val="00124F2B"/>
    <w:rsid w:val="00132534"/>
    <w:rsid w:val="0014445F"/>
    <w:rsid w:val="00154AC0"/>
    <w:rsid w:val="00156FAE"/>
    <w:rsid w:val="001615B0"/>
    <w:rsid w:val="001867A4"/>
    <w:rsid w:val="00195F8B"/>
    <w:rsid w:val="001966C6"/>
    <w:rsid w:val="001A267D"/>
    <w:rsid w:val="001A3421"/>
    <w:rsid w:val="001A59C4"/>
    <w:rsid w:val="001B6362"/>
    <w:rsid w:val="001B7647"/>
    <w:rsid w:val="001D119E"/>
    <w:rsid w:val="001E7F0D"/>
    <w:rsid w:val="001F3DC9"/>
    <w:rsid w:val="0020248A"/>
    <w:rsid w:val="00203169"/>
    <w:rsid w:val="002155AB"/>
    <w:rsid w:val="00221CA7"/>
    <w:rsid w:val="00223356"/>
    <w:rsid w:val="002503C3"/>
    <w:rsid w:val="00270C2D"/>
    <w:rsid w:val="00281893"/>
    <w:rsid w:val="00281D5D"/>
    <w:rsid w:val="00284546"/>
    <w:rsid w:val="0028631A"/>
    <w:rsid w:val="00292715"/>
    <w:rsid w:val="00293744"/>
    <w:rsid w:val="002950AE"/>
    <w:rsid w:val="002A23BB"/>
    <w:rsid w:val="002D407C"/>
    <w:rsid w:val="002E0BA3"/>
    <w:rsid w:val="002E1B91"/>
    <w:rsid w:val="002E2CBB"/>
    <w:rsid w:val="00300ED0"/>
    <w:rsid w:val="003018A4"/>
    <w:rsid w:val="00301B0D"/>
    <w:rsid w:val="00301BE1"/>
    <w:rsid w:val="00303F8D"/>
    <w:rsid w:val="00307338"/>
    <w:rsid w:val="003136A4"/>
    <w:rsid w:val="00323AB4"/>
    <w:rsid w:val="00324C24"/>
    <w:rsid w:val="00331D0C"/>
    <w:rsid w:val="003327B5"/>
    <w:rsid w:val="003379E5"/>
    <w:rsid w:val="00360009"/>
    <w:rsid w:val="00360208"/>
    <w:rsid w:val="0038449B"/>
    <w:rsid w:val="003850EE"/>
    <w:rsid w:val="0038592C"/>
    <w:rsid w:val="00393455"/>
    <w:rsid w:val="00395DCD"/>
    <w:rsid w:val="003A15F0"/>
    <w:rsid w:val="003A3FD6"/>
    <w:rsid w:val="003A64FB"/>
    <w:rsid w:val="003B3720"/>
    <w:rsid w:val="003B3BF6"/>
    <w:rsid w:val="003B3C7E"/>
    <w:rsid w:val="003B5074"/>
    <w:rsid w:val="003B70C7"/>
    <w:rsid w:val="003C58A1"/>
    <w:rsid w:val="003D7149"/>
    <w:rsid w:val="003E46D8"/>
    <w:rsid w:val="004004FB"/>
    <w:rsid w:val="004106E9"/>
    <w:rsid w:val="00412328"/>
    <w:rsid w:val="00415EA0"/>
    <w:rsid w:val="00433E66"/>
    <w:rsid w:val="0044451E"/>
    <w:rsid w:val="0045188E"/>
    <w:rsid w:val="004554CA"/>
    <w:rsid w:val="00457F74"/>
    <w:rsid w:val="00463702"/>
    <w:rsid w:val="004747BF"/>
    <w:rsid w:val="004831C5"/>
    <w:rsid w:val="004A0BF7"/>
    <w:rsid w:val="004A1B8C"/>
    <w:rsid w:val="004B3201"/>
    <w:rsid w:val="004C066D"/>
    <w:rsid w:val="004D288F"/>
    <w:rsid w:val="004D512B"/>
    <w:rsid w:val="004F4E7A"/>
    <w:rsid w:val="004F6043"/>
    <w:rsid w:val="00501945"/>
    <w:rsid w:val="005067DA"/>
    <w:rsid w:val="0053046F"/>
    <w:rsid w:val="005519E6"/>
    <w:rsid w:val="00562B9D"/>
    <w:rsid w:val="005740AD"/>
    <w:rsid w:val="005916BD"/>
    <w:rsid w:val="005C3673"/>
    <w:rsid w:val="005E7E1C"/>
    <w:rsid w:val="005F329F"/>
    <w:rsid w:val="005F5649"/>
    <w:rsid w:val="005F6362"/>
    <w:rsid w:val="00601109"/>
    <w:rsid w:val="00601F4C"/>
    <w:rsid w:val="00602E39"/>
    <w:rsid w:val="00606353"/>
    <w:rsid w:val="006117CC"/>
    <w:rsid w:val="0061195B"/>
    <w:rsid w:val="00624659"/>
    <w:rsid w:val="00630BD3"/>
    <w:rsid w:val="00637422"/>
    <w:rsid w:val="00641E95"/>
    <w:rsid w:val="00645781"/>
    <w:rsid w:val="0068309A"/>
    <w:rsid w:val="0069023E"/>
    <w:rsid w:val="006A3355"/>
    <w:rsid w:val="006B3B7D"/>
    <w:rsid w:val="006D6376"/>
    <w:rsid w:val="006E077A"/>
    <w:rsid w:val="007012C3"/>
    <w:rsid w:val="00702053"/>
    <w:rsid w:val="00707527"/>
    <w:rsid w:val="00757735"/>
    <w:rsid w:val="00774FB3"/>
    <w:rsid w:val="007A1A94"/>
    <w:rsid w:val="007A2D38"/>
    <w:rsid w:val="007A653C"/>
    <w:rsid w:val="007B2D34"/>
    <w:rsid w:val="007B6608"/>
    <w:rsid w:val="007C275C"/>
    <w:rsid w:val="007C2D39"/>
    <w:rsid w:val="007C548B"/>
    <w:rsid w:val="007E0EDC"/>
    <w:rsid w:val="007F01C3"/>
    <w:rsid w:val="007F5030"/>
    <w:rsid w:val="007F51FD"/>
    <w:rsid w:val="007F7A3A"/>
    <w:rsid w:val="00806E21"/>
    <w:rsid w:val="00831DBA"/>
    <w:rsid w:val="0083796F"/>
    <w:rsid w:val="008423EC"/>
    <w:rsid w:val="00850461"/>
    <w:rsid w:val="00854902"/>
    <w:rsid w:val="00866632"/>
    <w:rsid w:val="008764D6"/>
    <w:rsid w:val="00880FFD"/>
    <w:rsid w:val="00884FDB"/>
    <w:rsid w:val="00890B36"/>
    <w:rsid w:val="00897065"/>
    <w:rsid w:val="008A2C77"/>
    <w:rsid w:val="008B5AAE"/>
    <w:rsid w:val="008C4FDE"/>
    <w:rsid w:val="008C7805"/>
    <w:rsid w:val="008D2856"/>
    <w:rsid w:val="008D4B3C"/>
    <w:rsid w:val="008D5923"/>
    <w:rsid w:val="008D63D0"/>
    <w:rsid w:val="008E1399"/>
    <w:rsid w:val="008E3A03"/>
    <w:rsid w:val="008E525B"/>
    <w:rsid w:val="008F4530"/>
    <w:rsid w:val="008F759F"/>
    <w:rsid w:val="0090102E"/>
    <w:rsid w:val="009031C8"/>
    <w:rsid w:val="0090756E"/>
    <w:rsid w:val="00914D03"/>
    <w:rsid w:val="00921C13"/>
    <w:rsid w:val="00925123"/>
    <w:rsid w:val="009402B3"/>
    <w:rsid w:val="00941EEB"/>
    <w:rsid w:val="00946BCD"/>
    <w:rsid w:val="0095036C"/>
    <w:rsid w:val="009525AB"/>
    <w:rsid w:val="00955255"/>
    <w:rsid w:val="0096098B"/>
    <w:rsid w:val="0096284D"/>
    <w:rsid w:val="009663BC"/>
    <w:rsid w:val="0097659F"/>
    <w:rsid w:val="00983052"/>
    <w:rsid w:val="009840F6"/>
    <w:rsid w:val="009A7573"/>
    <w:rsid w:val="009C1049"/>
    <w:rsid w:val="009C41F5"/>
    <w:rsid w:val="009D2EEA"/>
    <w:rsid w:val="009D40C2"/>
    <w:rsid w:val="009D7D25"/>
    <w:rsid w:val="009E2139"/>
    <w:rsid w:val="009E4E26"/>
    <w:rsid w:val="00A00C1C"/>
    <w:rsid w:val="00A0565C"/>
    <w:rsid w:val="00A07FBA"/>
    <w:rsid w:val="00A112D0"/>
    <w:rsid w:val="00A14B31"/>
    <w:rsid w:val="00A150CE"/>
    <w:rsid w:val="00A20224"/>
    <w:rsid w:val="00A446CD"/>
    <w:rsid w:val="00A52C7E"/>
    <w:rsid w:val="00A53F15"/>
    <w:rsid w:val="00A56BDF"/>
    <w:rsid w:val="00A64942"/>
    <w:rsid w:val="00A650B3"/>
    <w:rsid w:val="00A67436"/>
    <w:rsid w:val="00A7739B"/>
    <w:rsid w:val="00A83F09"/>
    <w:rsid w:val="00A84C72"/>
    <w:rsid w:val="00A87195"/>
    <w:rsid w:val="00A91E17"/>
    <w:rsid w:val="00A94388"/>
    <w:rsid w:val="00AA72EA"/>
    <w:rsid w:val="00AB0174"/>
    <w:rsid w:val="00AC45EF"/>
    <w:rsid w:val="00AC4AAD"/>
    <w:rsid w:val="00AF451A"/>
    <w:rsid w:val="00B10A20"/>
    <w:rsid w:val="00B10D90"/>
    <w:rsid w:val="00B10FAE"/>
    <w:rsid w:val="00B13225"/>
    <w:rsid w:val="00B13251"/>
    <w:rsid w:val="00B32B38"/>
    <w:rsid w:val="00B3486B"/>
    <w:rsid w:val="00B365A2"/>
    <w:rsid w:val="00B5018D"/>
    <w:rsid w:val="00B53C25"/>
    <w:rsid w:val="00B56C2A"/>
    <w:rsid w:val="00B56D15"/>
    <w:rsid w:val="00B6249E"/>
    <w:rsid w:val="00B64A81"/>
    <w:rsid w:val="00B64ADC"/>
    <w:rsid w:val="00B660B1"/>
    <w:rsid w:val="00B662EB"/>
    <w:rsid w:val="00B704EE"/>
    <w:rsid w:val="00B70D57"/>
    <w:rsid w:val="00B7593B"/>
    <w:rsid w:val="00B809CF"/>
    <w:rsid w:val="00B94AA2"/>
    <w:rsid w:val="00BB6A10"/>
    <w:rsid w:val="00BC20A2"/>
    <w:rsid w:val="00BD3980"/>
    <w:rsid w:val="00BD4457"/>
    <w:rsid w:val="00BF1DA4"/>
    <w:rsid w:val="00BF1EF5"/>
    <w:rsid w:val="00C00510"/>
    <w:rsid w:val="00C15062"/>
    <w:rsid w:val="00C210B3"/>
    <w:rsid w:val="00C33AF6"/>
    <w:rsid w:val="00C42DD5"/>
    <w:rsid w:val="00C50281"/>
    <w:rsid w:val="00C60BBE"/>
    <w:rsid w:val="00C61D21"/>
    <w:rsid w:val="00C64647"/>
    <w:rsid w:val="00C766C3"/>
    <w:rsid w:val="00C7752F"/>
    <w:rsid w:val="00C94FBB"/>
    <w:rsid w:val="00CB1DD6"/>
    <w:rsid w:val="00CB54C5"/>
    <w:rsid w:val="00CD234D"/>
    <w:rsid w:val="00CE5A59"/>
    <w:rsid w:val="00CF268B"/>
    <w:rsid w:val="00D02AA4"/>
    <w:rsid w:val="00D10F60"/>
    <w:rsid w:val="00D24481"/>
    <w:rsid w:val="00D26D29"/>
    <w:rsid w:val="00D317DE"/>
    <w:rsid w:val="00D3588C"/>
    <w:rsid w:val="00D42DDB"/>
    <w:rsid w:val="00D6692F"/>
    <w:rsid w:val="00D75925"/>
    <w:rsid w:val="00D85198"/>
    <w:rsid w:val="00D96051"/>
    <w:rsid w:val="00DA1C35"/>
    <w:rsid w:val="00DB189C"/>
    <w:rsid w:val="00DC1636"/>
    <w:rsid w:val="00DD13B9"/>
    <w:rsid w:val="00E0321F"/>
    <w:rsid w:val="00E11C6F"/>
    <w:rsid w:val="00E201D4"/>
    <w:rsid w:val="00E214EE"/>
    <w:rsid w:val="00E22F66"/>
    <w:rsid w:val="00E35B7D"/>
    <w:rsid w:val="00E80492"/>
    <w:rsid w:val="00E87D3B"/>
    <w:rsid w:val="00E934E9"/>
    <w:rsid w:val="00E94AC2"/>
    <w:rsid w:val="00E965C4"/>
    <w:rsid w:val="00EA3E06"/>
    <w:rsid w:val="00EA5BAC"/>
    <w:rsid w:val="00EB2A7C"/>
    <w:rsid w:val="00EB486F"/>
    <w:rsid w:val="00EC1460"/>
    <w:rsid w:val="00ED5355"/>
    <w:rsid w:val="00EE42D4"/>
    <w:rsid w:val="00F20D82"/>
    <w:rsid w:val="00F52D61"/>
    <w:rsid w:val="00F547AF"/>
    <w:rsid w:val="00F67F34"/>
    <w:rsid w:val="00F86418"/>
    <w:rsid w:val="00F869BE"/>
    <w:rsid w:val="00F93F5C"/>
    <w:rsid w:val="00F949CB"/>
    <w:rsid w:val="00FA6389"/>
    <w:rsid w:val="00FA799C"/>
    <w:rsid w:val="00FB5753"/>
    <w:rsid w:val="00FB7E17"/>
    <w:rsid w:val="00FD01CF"/>
    <w:rsid w:val="00FD11E7"/>
    <w:rsid w:val="00FD2E63"/>
    <w:rsid w:val="00FD6CB1"/>
    <w:rsid w:val="00FD7042"/>
    <w:rsid w:val="00FE344D"/>
    <w:rsid w:val="014930A4"/>
    <w:rsid w:val="02277A32"/>
    <w:rsid w:val="08F5767A"/>
    <w:rsid w:val="0E5441C0"/>
    <w:rsid w:val="11CE5360"/>
    <w:rsid w:val="120418FA"/>
    <w:rsid w:val="1482537C"/>
    <w:rsid w:val="17086790"/>
    <w:rsid w:val="17913E52"/>
    <w:rsid w:val="195426DB"/>
    <w:rsid w:val="1D386BFA"/>
    <w:rsid w:val="1E1F13B9"/>
    <w:rsid w:val="226A46FC"/>
    <w:rsid w:val="280478D6"/>
    <w:rsid w:val="2BB66521"/>
    <w:rsid w:val="2F3377B4"/>
    <w:rsid w:val="312A57A7"/>
    <w:rsid w:val="313A7EC4"/>
    <w:rsid w:val="3C4A7386"/>
    <w:rsid w:val="3F324032"/>
    <w:rsid w:val="46AE449A"/>
    <w:rsid w:val="4BD55531"/>
    <w:rsid w:val="4C0A3983"/>
    <w:rsid w:val="4C812148"/>
    <w:rsid w:val="4F676A0B"/>
    <w:rsid w:val="53BE4541"/>
    <w:rsid w:val="541F1F05"/>
    <w:rsid w:val="5630245D"/>
    <w:rsid w:val="57506775"/>
    <w:rsid w:val="62AA682B"/>
    <w:rsid w:val="62CC7787"/>
    <w:rsid w:val="69591C34"/>
    <w:rsid w:val="69F478AE"/>
    <w:rsid w:val="6AFF7398"/>
    <w:rsid w:val="6FF076B7"/>
    <w:rsid w:val="7B03511C"/>
    <w:rsid w:val="7FB31A8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52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autoRedefine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39"/>
    <w:pPr>
      <w:ind w:left="420" w:leftChars="200"/>
    </w:pPr>
    <w:rPr>
      <w:rFonts w:ascii="Calibri" w:hAnsi="Calibri" w:eastAsia="宋体" w:cs="Times New Roman"/>
      <w:sz w:val="24"/>
      <w:szCs w:val="24"/>
    </w:rPr>
  </w:style>
  <w:style w:type="paragraph" w:styleId="3">
    <w:name w:val="Document Map"/>
    <w:basedOn w:val="1"/>
    <w:link w:val="13"/>
    <w:autoRedefine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4">
    <w:name w:val="annotation text"/>
    <w:basedOn w:val="1"/>
    <w:autoRedefine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annotation reference"/>
    <w:basedOn w:val="10"/>
    <w:autoRedefine/>
    <w:semiHidden/>
    <w:unhideWhenUsed/>
    <w:qFormat/>
    <w:uiPriority w:val="99"/>
    <w:rPr>
      <w:sz w:val="21"/>
      <w:szCs w:val="21"/>
    </w:rPr>
  </w:style>
  <w:style w:type="character" w:customStyle="1" w:styleId="12">
    <w:name w:val="批注框文本 Char"/>
    <w:basedOn w:val="10"/>
    <w:link w:val="5"/>
    <w:autoRedefine/>
    <w:semiHidden/>
    <w:qFormat/>
    <w:uiPriority w:val="99"/>
    <w:rPr>
      <w:sz w:val="18"/>
      <w:szCs w:val="18"/>
    </w:rPr>
  </w:style>
  <w:style w:type="character" w:customStyle="1" w:styleId="13">
    <w:name w:val="文档结构图 Char"/>
    <w:basedOn w:val="10"/>
    <w:link w:val="3"/>
    <w:autoRedefine/>
    <w:semiHidden/>
    <w:qFormat/>
    <w:uiPriority w:val="99"/>
    <w:rPr>
      <w:rFonts w:ascii="宋体" w:eastAsia="宋体"/>
      <w:sz w:val="18"/>
      <w:szCs w:val="18"/>
    </w:rPr>
  </w:style>
  <w:style w:type="character" w:customStyle="1" w:styleId="14">
    <w:name w:val="页眉 Char"/>
    <w:basedOn w:val="10"/>
    <w:link w:val="7"/>
    <w:autoRedefine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autoRedefine/>
    <w:semiHidden/>
    <w:qFormat/>
    <w:uiPriority w:val="99"/>
    <w:rPr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7">
    <w:name w:val="【正文】 Char"/>
    <w:link w:val="18"/>
    <w:autoRedefine/>
    <w:qFormat/>
    <w:locked/>
    <w:uiPriority w:val="0"/>
    <w:rPr>
      <w:sz w:val="24"/>
      <w:szCs w:val="24"/>
    </w:rPr>
  </w:style>
  <w:style w:type="paragraph" w:customStyle="1" w:styleId="18">
    <w:name w:val="【正文】"/>
    <w:basedOn w:val="1"/>
    <w:link w:val="17"/>
    <w:autoRedefine/>
    <w:qFormat/>
    <w:uiPriority w:val="0"/>
    <w:pPr>
      <w:spacing w:line="360" w:lineRule="auto"/>
      <w:ind w:firstLine="480" w:firstLineChars="200"/>
    </w:pPr>
    <w:rPr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D9793F-E5CC-4C4A-83FB-7D68E48D51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20</Pages>
  <Words>1020</Words>
  <Characters>1402</Characters>
  <Lines>13</Lines>
  <Paragraphs>3</Paragraphs>
  <TotalTime>2</TotalTime>
  <ScaleCrop>false</ScaleCrop>
  <LinksUpToDate>false</LinksUpToDate>
  <CharactersWithSpaces>1444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2019-01-02T07:43:00Z</dcterms:created>
  <dc:creator>123</dc:creator>
  <cp:lastModifiedBy>张三胖儿</cp:lastModifiedBy>
  <cp:lastPrinted>2021-03-30T06:37:00Z</cp:lastPrinted>
  <dcterms:modified xsi:type="dcterms:W3CDTF">2024-05-28T04:20:04Z</dcterms:modified>
  <cp:revision>190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224675927A564A4391866EA4848C1932</vt:lpwstr>
  </property>
</Properties>
</file>