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rPr>
          <w:color w:val="auto"/>
          <w:sz w:val="36"/>
          <w:szCs w:val="36"/>
        </w:rPr>
      </w:pPr>
      <w:r>
        <w:rPr>
          <w:rFonts w:hint="eastAsia" w:eastAsia="宋体"/>
          <w:color w:val="auto"/>
          <w:sz w:val="36"/>
          <w:szCs w:val="36"/>
          <w:lang w:eastAsia="zh-CN"/>
        </w:rPr>
        <w:drawing>
          <wp:anchor distT="0" distB="0" distL="114300" distR="114300" simplePos="0" relativeHeight="251667456" behindDoc="0" locked="0" layoutInCell="1" allowOverlap="1">
            <wp:simplePos x="0" y="0"/>
            <wp:positionH relativeFrom="column">
              <wp:posOffset>-972185</wp:posOffset>
            </wp:positionH>
            <wp:positionV relativeFrom="paragraph">
              <wp:posOffset>-1077595</wp:posOffset>
            </wp:positionV>
            <wp:extent cx="7560310" cy="10650220"/>
            <wp:effectExtent l="0" t="0" r="13970" b="2540"/>
            <wp:wrapNone/>
            <wp:docPr id="34" name="图片 34" descr="170700785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707007856966"/>
                    <pic:cNvPicPr>
                      <a:picLocks noChangeAspect="1"/>
                    </pic:cNvPicPr>
                  </pic:nvPicPr>
                  <pic:blipFill>
                    <a:blip r:embed="rId9"/>
                    <a:stretch>
                      <a:fillRect/>
                    </a:stretch>
                  </pic:blipFill>
                  <pic:spPr>
                    <a:xfrm>
                      <a:off x="0" y="0"/>
                      <a:ext cx="7560310" cy="10650220"/>
                    </a:xfrm>
                    <a:prstGeom prst="rect">
                      <a:avLst/>
                    </a:prstGeom>
                  </pic:spPr>
                </pic:pic>
              </a:graphicData>
            </a:graphic>
          </wp:anchor>
        </w:drawing>
      </w:r>
    </w:p>
    <w:p>
      <w:pPr>
        <w:shd w:val="clear"/>
        <w:rPr>
          <w:color w:val="auto"/>
          <w:sz w:val="36"/>
          <w:szCs w:val="36"/>
        </w:rPr>
      </w:pPr>
    </w:p>
    <w:p>
      <w:pPr>
        <w:shd w:val="clear"/>
        <w:rPr>
          <w:color w:val="auto"/>
          <w:sz w:val="36"/>
          <w:szCs w:val="36"/>
        </w:rPr>
      </w:pPr>
    </w:p>
    <w:p>
      <w:pPr>
        <w:shd w:val="clear"/>
        <w:rPr>
          <w:color w:val="auto"/>
          <w:sz w:val="36"/>
          <w:szCs w:val="36"/>
        </w:rPr>
      </w:pPr>
    </w:p>
    <w:p>
      <w:pPr>
        <w:shd w:val="clear"/>
        <w:rPr>
          <w:rFonts w:hint="eastAsia" w:eastAsia="宋体"/>
          <w:color w:val="auto"/>
          <w:sz w:val="36"/>
          <w:szCs w:val="36"/>
          <w:lang w:eastAsia="zh-CN"/>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sz w:val="36"/>
          <w:szCs w:val="36"/>
        </w:rPr>
      </w:pPr>
    </w:p>
    <w:p>
      <w:pPr>
        <w:shd w:val="clear"/>
        <w:rPr>
          <w:color w:val="auto"/>
        </w:rPr>
      </w:pPr>
      <w:bookmarkStart w:id="21" w:name="_GoBack"/>
      <w:r>
        <w:rPr>
          <w:color w:val="auto"/>
        </w:rPr>
        <w:drawing>
          <wp:anchor distT="0" distB="0" distL="114300" distR="114300" simplePos="0" relativeHeight="251666432" behindDoc="0" locked="0" layoutInCell="1" allowOverlap="1">
            <wp:simplePos x="0" y="0"/>
            <wp:positionH relativeFrom="column">
              <wp:posOffset>-982980</wp:posOffset>
            </wp:positionH>
            <wp:positionV relativeFrom="paragraph">
              <wp:posOffset>-1059180</wp:posOffset>
            </wp:positionV>
            <wp:extent cx="7549515" cy="10636250"/>
            <wp:effectExtent l="0" t="0" r="9525" b="1270"/>
            <wp:wrapNone/>
            <wp:docPr id="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8"/>
                    <pic:cNvPicPr>
                      <a:picLocks noChangeAspect="1"/>
                    </pic:cNvPicPr>
                  </pic:nvPicPr>
                  <pic:blipFill>
                    <a:blip r:embed="rId10"/>
                    <a:stretch>
                      <a:fillRect/>
                    </a:stretch>
                  </pic:blipFill>
                  <pic:spPr>
                    <a:xfrm>
                      <a:off x="0" y="0"/>
                      <a:ext cx="7549515" cy="10636250"/>
                    </a:xfrm>
                    <a:prstGeom prst="rect">
                      <a:avLst/>
                    </a:prstGeom>
                    <a:noFill/>
                    <a:ln>
                      <a:noFill/>
                    </a:ln>
                  </pic:spPr>
                </pic:pic>
              </a:graphicData>
            </a:graphic>
          </wp:anchor>
        </w:drawing>
      </w:r>
      <w:bookmarkEnd w:id="21"/>
    </w:p>
    <w:p>
      <w:pPr>
        <w:pStyle w:val="9"/>
        <w:shd w:val="clear"/>
        <w:rPr>
          <w:color w:val="auto"/>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23"/>
        <w:shd w:val="clear"/>
        <w:jc w:val="center"/>
        <w:outlineLvl w:val="0"/>
        <w:rPr>
          <w:rFonts w:ascii="Times New Roman" w:hAnsi="Times New Roman" w:eastAsia="黑体"/>
          <w:snapToGrid w:val="0"/>
          <w:color w:val="auto"/>
          <w:sz w:val="30"/>
          <w:szCs w:val="30"/>
        </w:rPr>
      </w:pPr>
      <w:bookmarkStart w:id="0" w:name="_Toc28019"/>
      <w:r>
        <w:rPr>
          <w:rFonts w:hint="eastAsia" w:ascii="Times New Roman" w:hAnsi="Times New Roman" w:eastAsia="黑体"/>
          <w:snapToGrid w:val="0"/>
          <w:color w:val="auto"/>
          <w:sz w:val="30"/>
          <w:szCs w:val="30"/>
        </w:rPr>
        <w:t>目录</w:t>
      </w:r>
      <w:bookmarkEnd w:id="0"/>
    </w:p>
    <w:p>
      <w:pPr>
        <w:pStyle w:val="19"/>
        <w:shd w:val="clear"/>
        <w:tabs>
          <w:tab w:val="right" w:leader="dot" w:pos="8844"/>
        </w:tabs>
        <w:spacing w:line="360" w:lineRule="auto"/>
        <w:rPr>
          <w:b/>
          <w:bCs/>
          <w:color w:val="auto"/>
          <w:sz w:val="24"/>
        </w:rPr>
      </w:pPr>
      <w:r>
        <w:rPr>
          <w:rFonts w:hint="eastAsia" w:eastAsia="黑体"/>
          <w:b/>
          <w:bCs/>
          <w:snapToGrid w:val="0"/>
          <w:color w:val="auto"/>
          <w:sz w:val="30"/>
          <w:szCs w:val="30"/>
        </w:rPr>
        <w:fldChar w:fldCharType="begin"/>
      </w:r>
      <w:r>
        <w:rPr>
          <w:rFonts w:hint="eastAsia" w:eastAsia="黑体"/>
          <w:b/>
          <w:bCs/>
          <w:snapToGrid w:val="0"/>
          <w:color w:val="auto"/>
          <w:sz w:val="30"/>
          <w:szCs w:val="30"/>
        </w:rPr>
        <w:instrText xml:space="preserve">TOC \o "1-1" \h \u </w:instrText>
      </w:r>
      <w:r>
        <w:rPr>
          <w:rFonts w:hint="eastAsia" w:eastAsia="黑体"/>
          <w:b/>
          <w:bCs/>
          <w:snapToGrid w:val="0"/>
          <w:color w:val="auto"/>
          <w:sz w:val="30"/>
          <w:szCs w:val="30"/>
        </w:rPr>
        <w:fldChar w:fldCharType="separate"/>
      </w:r>
      <w:r>
        <w:rPr>
          <w:color w:val="auto"/>
        </w:rPr>
        <w:fldChar w:fldCharType="begin"/>
      </w:r>
      <w:r>
        <w:rPr>
          <w:color w:val="auto"/>
        </w:rPr>
        <w:instrText xml:space="preserve"> HYPERLINK \l "_Toc16271" </w:instrText>
      </w:r>
      <w:r>
        <w:rPr>
          <w:color w:val="auto"/>
        </w:rPr>
        <w:fldChar w:fldCharType="separate"/>
      </w:r>
      <w:r>
        <w:rPr>
          <w:b/>
          <w:bCs/>
          <w:snapToGrid w:val="0"/>
          <w:color w:val="auto"/>
          <w:sz w:val="24"/>
        </w:rPr>
        <w:t>一、建设项目基本情况</w:t>
      </w:r>
      <w:r>
        <w:rPr>
          <w:b/>
          <w:bCs/>
          <w:color w:val="auto"/>
          <w:sz w:val="24"/>
        </w:rPr>
        <w:tab/>
      </w:r>
      <w:r>
        <w:rPr>
          <w:b/>
          <w:bCs/>
          <w:color w:val="auto"/>
          <w:sz w:val="24"/>
        </w:rPr>
        <w:fldChar w:fldCharType="begin"/>
      </w:r>
      <w:r>
        <w:rPr>
          <w:b/>
          <w:bCs/>
          <w:color w:val="auto"/>
          <w:sz w:val="24"/>
        </w:rPr>
        <w:instrText xml:space="preserve"> PAGEREF _Toc16271 \h </w:instrText>
      </w:r>
      <w:r>
        <w:rPr>
          <w:b/>
          <w:bCs/>
          <w:color w:val="auto"/>
          <w:sz w:val="24"/>
        </w:rPr>
        <w:fldChar w:fldCharType="separate"/>
      </w:r>
      <w:r>
        <w:rPr>
          <w:b/>
          <w:bCs/>
          <w:color w:val="auto"/>
          <w:sz w:val="24"/>
        </w:rPr>
        <w:t>1</w:t>
      </w:r>
      <w:r>
        <w:rPr>
          <w:b/>
          <w:bCs/>
          <w:color w:val="auto"/>
          <w:sz w:val="24"/>
        </w:rPr>
        <w:fldChar w:fldCharType="end"/>
      </w:r>
      <w:r>
        <w:rPr>
          <w:b/>
          <w:bCs/>
          <w:color w:val="auto"/>
          <w:sz w:val="24"/>
        </w:rPr>
        <w:fldChar w:fldCharType="end"/>
      </w:r>
    </w:p>
    <w:p>
      <w:pPr>
        <w:pStyle w:val="19"/>
        <w:shd w:val="clear"/>
        <w:tabs>
          <w:tab w:val="right" w:leader="dot" w:pos="8844"/>
        </w:tabs>
        <w:spacing w:line="360" w:lineRule="auto"/>
        <w:rPr>
          <w:b/>
          <w:bCs/>
          <w:color w:val="auto"/>
          <w:sz w:val="24"/>
        </w:rPr>
      </w:pPr>
      <w:r>
        <w:rPr>
          <w:color w:val="auto"/>
        </w:rPr>
        <w:fldChar w:fldCharType="begin"/>
      </w:r>
      <w:r>
        <w:rPr>
          <w:color w:val="auto"/>
        </w:rPr>
        <w:instrText xml:space="preserve"> HYPERLINK \l "_Toc2599" </w:instrText>
      </w:r>
      <w:r>
        <w:rPr>
          <w:color w:val="auto"/>
        </w:rPr>
        <w:fldChar w:fldCharType="separate"/>
      </w:r>
      <w:r>
        <w:rPr>
          <w:b/>
          <w:bCs/>
          <w:snapToGrid w:val="0"/>
          <w:color w:val="auto"/>
          <w:sz w:val="24"/>
        </w:rPr>
        <w:t>二、建设项目工程分析</w:t>
      </w:r>
      <w:r>
        <w:rPr>
          <w:b/>
          <w:bCs/>
          <w:color w:val="auto"/>
          <w:sz w:val="24"/>
        </w:rPr>
        <w:tab/>
      </w:r>
      <w:r>
        <w:rPr>
          <w:b/>
          <w:bCs/>
          <w:color w:val="auto"/>
          <w:sz w:val="24"/>
        </w:rPr>
        <w:fldChar w:fldCharType="begin"/>
      </w:r>
      <w:r>
        <w:rPr>
          <w:b/>
          <w:bCs/>
          <w:color w:val="auto"/>
          <w:sz w:val="24"/>
        </w:rPr>
        <w:instrText xml:space="preserve"> PAGEREF _Toc2599 \h </w:instrText>
      </w:r>
      <w:r>
        <w:rPr>
          <w:b/>
          <w:bCs/>
          <w:color w:val="auto"/>
          <w:sz w:val="24"/>
        </w:rPr>
        <w:fldChar w:fldCharType="separate"/>
      </w:r>
      <w:r>
        <w:rPr>
          <w:b/>
          <w:bCs/>
          <w:color w:val="auto"/>
          <w:sz w:val="24"/>
        </w:rPr>
        <w:t>8</w:t>
      </w:r>
      <w:r>
        <w:rPr>
          <w:b/>
          <w:bCs/>
          <w:color w:val="auto"/>
          <w:sz w:val="24"/>
        </w:rPr>
        <w:fldChar w:fldCharType="end"/>
      </w:r>
      <w:r>
        <w:rPr>
          <w:b/>
          <w:bCs/>
          <w:color w:val="auto"/>
          <w:sz w:val="24"/>
        </w:rPr>
        <w:fldChar w:fldCharType="end"/>
      </w:r>
    </w:p>
    <w:p>
      <w:pPr>
        <w:pStyle w:val="19"/>
        <w:shd w:val="clear"/>
        <w:tabs>
          <w:tab w:val="right" w:leader="dot" w:pos="8844"/>
        </w:tabs>
        <w:spacing w:line="360" w:lineRule="auto"/>
        <w:rPr>
          <w:b/>
          <w:bCs/>
          <w:color w:val="auto"/>
          <w:sz w:val="24"/>
        </w:rPr>
      </w:pPr>
      <w:r>
        <w:rPr>
          <w:color w:val="auto"/>
        </w:rPr>
        <w:fldChar w:fldCharType="begin"/>
      </w:r>
      <w:r>
        <w:rPr>
          <w:color w:val="auto"/>
        </w:rPr>
        <w:instrText xml:space="preserve"> HYPERLINK \l "_Toc19405" </w:instrText>
      </w:r>
      <w:r>
        <w:rPr>
          <w:color w:val="auto"/>
        </w:rPr>
        <w:fldChar w:fldCharType="separate"/>
      </w:r>
      <w:r>
        <w:rPr>
          <w:b/>
          <w:bCs/>
          <w:snapToGrid w:val="0"/>
          <w:color w:val="auto"/>
          <w:sz w:val="24"/>
        </w:rPr>
        <w:t>三、区域环境质量现状、环境保护目标及评价标准</w:t>
      </w:r>
      <w:r>
        <w:rPr>
          <w:b/>
          <w:bCs/>
          <w:color w:val="auto"/>
          <w:sz w:val="24"/>
        </w:rPr>
        <w:tab/>
      </w:r>
      <w:r>
        <w:rPr>
          <w:b/>
          <w:bCs/>
          <w:color w:val="auto"/>
          <w:sz w:val="24"/>
        </w:rPr>
        <w:fldChar w:fldCharType="begin"/>
      </w:r>
      <w:r>
        <w:rPr>
          <w:b/>
          <w:bCs/>
          <w:color w:val="auto"/>
          <w:sz w:val="24"/>
        </w:rPr>
        <w:instrText xml:space="preserve"> PAGEREF _Toc19405 \h </w:instrText>
      </w:r>
      <w:r>
        <w:rPr>
          <w:b/>
          <w:bCs/>
          <w:color w:val="auto"/>
          <w:sz w:val="24"/>
        </w:rPr>
        <w:fldChar w:fldCharType="separate"/>
      </w:r>
      <w:r>
        <w:rPr>
          <w:b/>
          <w:bCs/>
          <w:color w:val="auto"/>
          <w:sz w:val="24"/>
        </w:rPr>
        <w:t>19</w:t>
      </w:r>
      <w:r>
        <w:rPr>
          <w:b/>
          <w:bCs/>
          <w:color w:val="auto"/>
          <w:sz w:val="24"/>
        </w:rPr>
        <w:fldChar w:fldCharType="end"/>
      </w:r>
      <w:r>
        <w:rPr>
          <w:b/>
          <w:bCs/>
          <w:color w:val="auto"/>
          <w:sz w:val="24"/>
        </w:rPr>
        <w:fldChar w:fldCharType="end"/>
      </w:r>
    </w:p>
    <w:p>
      <w:pPr>
        <w:pStyle w:val="19"/>
        <w:shd w:val="clear"/>
        <w:tabs>
          <w:tab w:val="right" w:leader="dot" w:pos="8844"/>
        </w:tabs>
        <w:spacing w:line="360" w:lineRule="auto"/>
        <w:rPr>
          <w:b/>
          <w:bCs/>
          <w:color w:val="auto"/>
          <w:sz w:val="24"/>
        </w:rPr>
      </w:pPr>
      <w:r>
        <w:rPr>
          <w:color w:val="auto"/>
        </w:rPr>
        <w:fldChar w:fldCharType="begin"/>
      </w:r>
      <w:r>
        <w:rPr>
          <w:color w:val="auto"/>
        </w:rPr>
        <w:instrText xml:space="preserve"> HYPERLINK \l "_Toc13824" </w:instrText>
      </w:r>
      <w:r>
        <w:rPr>
          <w:color w:val="auto"/>
        </w:rPr>
        <w:fldChar w:fldCharType="separate"/>
      </w:r>
      <w:r>
        <w:rPr>
          <w:b/>
          <w:bCs/>
          <w:snapToGrid w:val="0"/>
          <w:color w:val="auto"/>
          <w:sz w:val="24"/>
        </w:rPr>
        <w:t>四、主要环境影响和保护措施</w:t>
      </w:r>
      <w:r>
        <w:rPr>
          <w:b/>
          <w:bCs/>
          <w:color w:val="auto"/>
          <w:sz w:val="24"/>
        </w:rPr>
        <w:tab/>
      </w:r>
      <w:r>
        <w:rPr>
          <w:b/>
          <w:bCs/>
          <w:color w:val="auto"/>
          <w:sz w:val="24"/>
        </w:rPr>
        <w:fldChar w:fldCharType="begin"/>
      </w:r>
      <w:r>
        <w:rPr>
          <w:b/>
          <w:bCs/>
          <w:color w:val="auto"/>
          <w:sz w:val="24"/>
        </w:rPr>
        <w:instrText xml:space="preserve"> PAGEREF _Toc13824 \h </w:instrText>
      </w:r>
      <w:r>
        <w:rPr>
          <w:b/>
          <w:bCs/>
          <w:color w:val="auto"/>
          <w:sz w:val="24"/>
        </w:rPr>
        <w:fldChar w:fldCharType="separate"/>
      </w:r>
      <w:r>
        <w:rPr>
          <w:b/>
          <w:bCs/>
          <w:color w:val="auto"/>
          <w:sz w:val="24"/>
        </w:rPr>
        <w:t>26</w:t>
      </w:r>
      <w:r>
        <w:rPr>
          <w:b/>
          <w:bCs/>
          <w:color w:val="auto"/>
          <w:sz w:val="24"/>
        </w:rPr>
        <w:fldChar w:fldCharType="end"/>
      </w:r>
      <w:r>
        <w:rPr>
          <w:b/>
          <w:bCs/>
          <w:color w:val="auto"/>
          <w:sz w:val="24"/>
        </w:rPr>
        <w:fldChar w:fldCharType="end"/>
      </w:r>
    </w:p>
    <w:p>
      <w:pPr>
        <w:pStyle w:val="19"/>
        <w:shd w:val="clear"/>
        <w:tabs>
          <w:tab w:val="right" w:leader="dot" w:pos="8844"/>
        </w:tabs>
        <w:spacing w:line="360" w:lineRule="auto"/>
        <w:rPr>
          <w:b/>
          <w:bCs/>
          <w:color w:val="auto"/>
          <w:sz w:val="24"/>
        </w:rPr>
      </w:pPr>
      <w:r>
        <w:rPr>
          <w:color w:val="auto"/>
        </w:rPr>
        <w:fldChar w:fldCharType="begin"/>
      </w:r>
      <w:r>
        <w:rPr>
          <w:color w:val="auto"/>
        </w:rPr>
        <w:instrText xml:space="preserve"> HYPERLINK \l "_Toc7617" </w:instrText>
      </w:r>
      <w:r>
        <w:rPr>
          <w:color w:val="auto"/>
        </w:rPr>
        <w:fldChar w:fldCharType="separate"/>
      </w:r>
      <w:r>
        <w:rPr>
          <w:b/>
          <w:bCs/>
          <w:snapToGrid w:val="0"/>
          <w:color w:val="auto"/>
          <w:sz w:val="24"/>
        </w:rPr>
        <w:t>五、环境保护措施监督检查清单</w:t>
      </w:r>
      <w:r>
        <w:rPr>
          <w:b/>
          <w:bCs/>
          <w:color w:val="auto"/>
          <w:sz w:val="24"/>
        </w:rPr>
        <w:tab/>
      </w:r>
      <w:r>
        <w:rPr>
          <w:b/>
          <w:bCs/>
          <w:color w:val="auto"/>
          <w:sz w:val="24"/>
        </w:rPr>
        <w:fldChar w:fldCharType="begin"/>
      </w:r>
      <w:r>
        <w:rPr>
          <w:b/>
          <w:bCs/>
          <w:color w:val="auto"/>
          <w:sz w:val="24"/>
        </w:rPr>
        <w:instrText xml:space="preserve"> PAGEREF _Toc7617 \h </w:instrText>
      </w:r>
      <w:r>
        <w:rPr>
          <w:b/>
          <w:bCs/>
          <w:color w:val="auto"/>
          <w:sz w:val="24"/>
        </w:rPr>
        <w:fldChar w:fldCharType="separate"/>
      </w:r>
      <w:r>
        <w:rPr>
          <w:b/>
          <w:bCs/>
          <w:color w:val="auto"/>
          <w:sz w:val="24"/>
        </w:rPr>
        <w:t>44</w:t>
      </w:r>
      <w:r>
        <w:rPr>
          <w:b/>
          <w:bCs/>
          <w:color w:val="auto"/>
          <w:sz w:val="24"/>
        </w:rPr>
        <w:fldChar w:fldCharType="end"/>
      </w:r>
      <w:r>
        <w:rPr>
          <w:b/>
          <w:bCs/>
          <w:color w:val="auto"/>
          <w:sz w:val="24"/>
        </w:rPr>
        <w:fldChar w:fldCharType="end"/>
      </w:r>
    </w:p>
    <w:p>
      <w:pPr>
        <w:pStyle w:val="19"/>
        <w:shd w:val="clear"/>
        <w:tabs>
          <w:tab w:val="right" w:leader="dot" w:pos="8844"/>
        </w:tabs>
        <w:spacing w:line="360" w:lineRule="auto"/>
        <w:rPr>
          <w:b/>
          <w:bCs/>
          <w:color w:val="auto"/>
          <w:sz w:val="24"/>
        </w:rPr>
      </w:pPr>
      <w:r>
        <w:rPr>
          <w:color w:val="auto"/>
        </w:rPr>
        <w:fldChar w:fldCharType="begin"/>
      </w:r>
      <w:r>
        <w:rPr>
          <w:color w:val="auto"/>
        </w:rPr>
        <w:instrText xml:space="preserve"> HYPERLINK \l "_Toc25559" </w:instrText>
      </w:r>
      <w:r>
        <w:rPr>
          <w:color w:val="auto"/>
        </w:rPr>
        <w:fldChar w:fldCharType="separate"/>
      </w:r>
      <w:r>
        <w:rPr>
          <w:b/>
          <w:bCs/>
          <w:snapToGrid w:val="0"/>
          <w:color w:val="auto"/>
          <w:sz w:val="24"/>
        </w:rPr>
        <w:t>六、结论</w:t>
      </w:r>
      <w:r>
        <w:rPr>
          <w:b/>
          <w:bCs/>
          <w:color w:val="auto"/>
          <w:sz w:val="24"/>
        </w:rPr>
        <w:tab/>
      </w:r>
      <w:r>
        <w:rPr>
          <w:b/>
          <w:bCs/>
          <w:color w:val="auto"/>
          <w:sz w:val="24"/>
        </w:rPr>
        <w:fldChar w:fldCharType="begin"/>
      </w:r>
      <w:r>
        <w:rPr>
          <w:b/>
          <w:bCs/>
          <w:color w:val="auto"/>
          <w:sz w:val="24"/>
        </w:rPr>
        <w:instrText xml:space="preserve"> PAGEREF _Toc25559 \h </w:instrText>
      </w:r>
      <w:r>
        <w:rPr>
          <w:b/>
          <w:bCs/>
          <w:color w:val="auto"/>
          <w:sz w:val="24"/>
        </w:rPr>
        <w:fldChar w:fldCharType="separate"/>
      </w:r>
      <w:r>
        <w:rPr>
          <w:b/>
          <w:bCs/>
          <w:color w:val="auto"/>
          <w:sz w:val="24"/>
        </w:rPr>
        <w:t>46</w:t>
      </w:r>
      <w:r>
        <w:rPr>
          <w:b/>
          <w:bCs/>
          <w:color w:val="auto"/>
          <w:sz w:val="24"/>
        </w:rPr>
        <w:fldChar w:fldCharType="end"/>
      </w:r>
      <w:r>
        <w:rPr>
          <w:b/>
          <w:bCs/>
          <w:color w:val="auto"/>
          <w:sz w:val="24"/>
        </w:rPr>
        <w:fldChar w:fldCharType="end"/>
      </w:r>
    </w:p>
    <w:p>
      <w:pPr>
        <w:pStyle w:val="19"/>
        <w:shd w:val="clear"/>
        <w:tabs>
          <w:tab w:val="right" w:leader="dot" w:pos="8844"/>
        </w:tabs>
        <w:spacing w:line="360" w:lineRule="auto"/>
        <w:rPr>
          <w:b/>
          <w:bCs/>
          <w:color w:val="auto"/>
          <w:sz w:val="24"/>
        </w:rPr>
      </w:pPr>
      <w:r>
        <w:rPr>
          <w:color w:val="auto"/>
        </w:rPr>
        <w:fldChar w:fldCharType="begin"/>
      </w:r>
      <w:r>
        <w:rPr>
          <w:color w:val="auto"/>
        </w:rPr>
        <w:instrText xml:space="preserve"> HYPERLINK \l "_Toc20547" </w:instrText>
      </w:r>
      <w:r>
        <w:rPr>
          <w:color w:val="auto"/>
        </w:rPr>
        <w:fldChar w:fldCharType="separate"/>
      </w:r>
      <w:r>
        <w:rPr>
          <w:b/>
          <w:bCs/>
          <w:snapToGrid w:val="0"/>
          <w:color w:val="auto"/>
          <w:sz w:val="24"/>
        </w:rPr>
        <w:t>附表</w:t>
      </w:r>
      <w:r>
        <w:rPr>
          <w:b/>
          <w:bCs/>
          <w:color w:val="auto"/>
          <w:sz w:val="24"/>
        </w:rPr>
        <w:tab/>
      </w:r>
      <w:r>
        <w:rPr>
          <w:b/>
          <w:bCs/>
          <w:color w:val="auto"/>
          <w:sz w:val="24"/>
        </w:rPr>
        <w:fldChar w:fldCharType="begin"/>
      </w:r>
      <w:r>
        <w:rPr>
          <w:b/>
          <w:bCs/>
          <w:color w:val="auto"/>
          <w:sz w:val="24"/>
        </w:rPr>
        <w:instrText xml:space="preserve"> PAGEREF _Toc20547 \h </w:instrText>
      </w:r>
      <w:r>
        <w:rPr>
          <w:b/>
          <w:bCs/>
          <w:color w:val="auto"/>
          <w:sz w:val="24"/>
        </w:rPr>
        <w:fldChar w:fldCharType="separate"/>
      </w:r>
      <w:r>
        <w:rPr>
          <w:b/>
          <w:bCs/>
          <w:color w:val="auto"/>
          <w:sz w:val="24"/>
        </w:rPr>
        <w:t>47</w:t>
      </w:r>
      <w:r>
        <w:rPr>
          <w:b/>
          <w:bCs/>
          <w:color w:val="auto"/>
          <w:sz w:val="24"/>
        </w:rPr>
        <w:fldChar w:fldCharType="end"/>
      </w:r>
      <w:r>
        <w:rPr>
          <w:b/>
          <w:bCs/>
          <w:color w:val="auto"/>
          <w:sz w:val="24"/>
        </w:rPr>
        <w:fldChar w:fldCharType="end"/>
      </w:r>
    </w:p>
    <w:p>
      <w:pPr>
        <w:pStyle w:val="19"/>
        <w:shd w:val="clear"/>
        <w:tabs>
          <w:tab w:val="right" w:leader="dot" w:pos="8844"/>
        </w:tabs>
        <w:spacing w:line="360" w:lineRule="auto"/>
        <w:rPr>
          <w:b/>
          <w:bCs/>
          <w:color w:val="auto"/>
          <w:sz w:val="24"/>
        </w:rPr>
      </w:pPr>
      <w:r>
        <w:rPr>
          <w:color w:val="auto"/>
        </w:rPr>
        <w:fldChar w:fldCharType="begin"/>
      </w:r>
      <w:r>
        <w:rPr>
          <w:color w:val="auto"/>
        </w:rPr>
        <w:instrText xml:space="preserve"> HYPERLINK \l "_Toc10470" </w:instrText>
      </w:r>
      <w:r>
        <w:rPr>
          <w:color w:val="auto"/>
        </w:rPr>
        <w:fldChar w:fldCharType="separate"/>
      </w:r>
      <w:r>
        <w:rPr>
          <w:b/>
          <w:bCs/>
          <w:snapToGrid w:val="0"/>
          <w:color w:val="auto"/>
          <w:sz w:val="24"/>
        </w:rPr>
        <w:t>建设项目污染物排放量汇总表</w:t>
      </w:r>
      <w:r>
        <w:rPr>
          <w:b/>
          <w:bCs/>
          <w:color w:val="auto"/>
          <w:sz w:val="24"/>
        </w:rPr>
        <w:tab/>
      </w:r>
      <w:r>
        <w:rPr>
          <w:b/>
          <w:bCs/>
          <w:color w:val="auto"/>
          <w:sz w:val="24"/>
        </w:rPr>
        <w:fldChar w:fldCharType="begin"/>
      </w:r>
      <w:r>
        <w:rPr>
          <w:b/>
          <w:bCs/>
          <w:color w:val="auto"/>
          <w:sz w:val="24"/>
        </w:rPr>
        <w:instrText xml:space="preserve"> PAGEREF _Toc10470 \h </w:instrText>
      </w:r>
      <w:r>
        <w:rPr>
          <w:b/>
          <w:bCs/>
          <w:color w:val="auto"/>
          <w:sz w:val="24"/>
        </w:rPr>
        <w:fldChar w:fldCharType="separate"/>
      </w:r>
      <w:r>
        <w:rPr>
          <w:b/>
          <w:bCs/>
          <w:color w:val="auto"/>
          <w:sz w:val="24"/>
        </w:rPr>
        <w:t>47</w:t>
      </w:r>
      <w:r>
        <w:rPr>
          <w:b/>
          <w:bCs/>
          <w:color w:val="auto"/>
          <w:sz w:val="24"/>
        </w:rPr>
        <w:fldChar w:fldCharType="end"/>
      </w:r>
      <w:r>
        <w:rPr>
          <w:b/>
          <w:bCs/>
          <w:color w:val="auto"/>
          <w:sz w:val="24"/>
        </w:rPr>
        <w:fldChar w:fldCharType="end"/>
      </w:r>
    </w:p>
    <w:p>
      <w:pPr>
        <w:pStyle w:val="19"/>
        <w:shd w:val="clear"/>
        <w:tabs>
          <w:tab w:val="right" w:leader="dot" w:pos="8844"/>
        </w:tabs>
        <w:spacing w:line="360" w:lineRule="auto"/>
        <w:rPr>
          <w:b/>
          <w:bCs/>
          <w:snapToGrid w:val="0"/>
          <w:color w:val="auto"/>
          <w:sz w:val="24"/>
        </w:rPr>
      </w:pPr>
      <w:r>
        <w:rPr>
          <w:rFonts w:hint="eastAsia" w:eastAsia="黑体"/>
          <w:b/>
          <w:bCs/>
          <w:snapToGrid w:val="0"/>
          <w:color w:val="auto"/>
          <w:szCs w:val="30"/>
        </w:rPr>
        <w:fldChar w:fldCharType="end"/>
      </w:r>
      <w:r>
        <w:rPr>
          <w:b/>
          <w:bCs/>
          <w:snapToGrid w:val="0"/>
          <w:color w:val="auto"/>
          <w:sz w:val="24"/>
        </w:rPr>
        <w:t>附图：</w:t>
      </w:r>
    </w:p>
    <w:p>
      <w:pPr>
        <w:pStyle w:val="19"/>
        <w:shd w:val="clear"/>
        <w:tabs>
          <w:tab w:val="right" w:leader="dot" w:pos="8844"/>
        </w:tabs>
        <w:spacing w:line="360" w:lineRule="auto"/>
        <w:rPr>
          <w:b/>
          <w:bCs/>
          <w:snapToGrid w:val="0"/>
          <w:color w:val="auto"/>
          <w:sz w:val="24"/>
        </w:rPr>
      </w:pPr>
      <w:r>
        <w:rPr>
          <w:b/>
          <w:bCs/>
          <w:snapToGrid w:val="0"/>
          <w:color w:val="auto"/>
          <w:sz w:val="24"/>
        </w:rPr>
        <w:t>附图1：</w:t>
      </w:r>
      <w:r>
        <w:rPr>
          <w:rFonts w:hint="eastAsia"/>
          <w:b/>
          <w:bCs/>
          <w:snapToGrid w:val="0"/>
          <w:color w:val="auto"/>
          <w:sz w:val="24"/>
          <w:lang w:val="en-US" w:eastAsia="zh-CN"/>
        </w:rPr>
        <w:t>本</w:t>
      </w:r>
      <w:r>
        <w:rPr>
          <w:b/>
          <w:bCs/>
          <w:snapToGrid w:val="0"/>
          <w:color w:val="auto"/>
          <w:sz w:val="24"/>
        </w:rPr>
        <w:t>项目地理位置图</w:t>
      </w:r>
    </w:p>
    <w:p>
      <w:pPr>
        <w:pStyle w:val="19"/>
        <w:shd w:val="clear"/>
        <w:tabs>
          <w:tab w:val="right" w:leader="dot" w:pos="8844"/>
        </w:tabs>
        <w:spacing w:line="360" w:lineRule="auto"/>
        <w:rPr>
          <w:b/>
          <w:bCs/>
          <w:snapToGrid w:val="0"/>
          <w:color w:val="auto"/>
          <w:sz w:val="24"/>
        </w:rPr>
      </w:pPr>
      <w:r>
        <w:rPr>
          <w:b/>
          <w:bCs/>
          <w:snapToGrid w:val="0"/>
          <w:color w:val="auto"/>
          <w:sz w:val="24"/>
        </w:rPr>
        <w:t>附图2：总平面布置图</w:t>
      </w:r>
    </w:p>
    <w:p>
      <w:pPr>
        <w:pStyle w:val="19"/>
        <w:shd w:val="clear"/>
        <w:tabs>
          <w:tab w:val="right" w:leader="dot" w:pos="8844"/>
        </w:tabs>
        <w:spacing w:line="360" w:lineRule="auto"/>
        <w:rPr>
          <w:b/>
          <w:bCs/>
          <w:snapToGrid w:val="0"/>
          <w:color w:val="auto"/>
          <w:sz w:val="24"/>
        </w:rPr>
      </w:pPr>
      <w:r>
        <w:rPr>
          <w:b/>
          <w:bCs/>
          <w:snapToGrid w:val="0"/>
          <w:color w:val="auto"/>
          <w:sz w:val="24"/>
        </w:rPr>
        <w:t>附图3：敏感目标分布图</w:t>
      </w:r>
    </w:p>
    <w:p>
      <w:pPr>
        <w:pStyle w:val="36"/>
        <w:shd w:val="clear"/>
        <w:autoSpaceDE/>
        <w:autoSpaceDN/>
        <w:adjustRightInd/>
        <w:spacing w:after="120" w:afterLines="50"/>
        <w:jc w:val="left"/>
        <w:outlineLvl w:val="0"/>
        <w:rPr>
          <w:rFonts w:ascii="Times New Roman" w:hAnsi="Times New Roman" w:eastAsia="宋体" w:cs="Times New Roman"/>
          <w:b/>
          <w:color w:val="auto"/>
          <w:highlight w:val="none"/>
        </w:rPr>
      </w:pPr>
      <w:r>
        <w:rPr>
          <w:b/>
          <w:bCs/>
          <w:snapToGrid w:val="0"/>
          <w:color w:val="auto"/>
          <w:sz w:val="24"/>
        </w:rPr>
        <w:t>附图4：</w:t>
      </w:r>
      <w:r>
        <w:rPr>
          <w:rFonts w:hint="eastAsia" w:ascii="Times New Roman" w:hAnsi="Times New Roman" w:eastAsia="宋体" w:cs="Times New Roman"/>
          <w:b/>
          <w:color w:val="auto"/>
          <w:highlight w:val="none"/>
        </w:rPr>
        <w:t>绥化市</w:t>
      </w:r>
      <w:r>
        <w:rPr>
          <w:rFonts w:ascii="Times New Roman" w:hAnsi="Times New Roman" w:eastAsia="宋体" w:cs="Times New Roman"/>
          <w:b/>
          <w:color w:val="auto"/>
          <w:highlight w:val="none"/>
        </w:rPr>
        <w:t>重点管控</w:t>
      </w:r>
      <w:r>
        <w:rPr>
          <w:rFonts w:hint="eastAsia" w:ascii="Times New Roman" w:hAnsi="Times New Roman" w:eastAsia="宋体" w:cs="Times New Roman"/>
          <w:b/>
          <w:color w:val="auto"/>
          <w:highlight w:val="none"/>
        </w:rPr>
        <w:t>单元</w:t>
      </w:r>
      <w:r>
        <w:rPr>
          <w:rFonts w:ascii="Times New Roman" w:hAnsi="Times New Roman" w:eastAsia="宋体" w:cs="Times New Roman"/>
          <w:b/>
          <w:color w:val="auto"/>
          <w:highlight w:val="none"/>
        </w:rPr>
        <w:t>图</w:t>
      </w:r>
    </w:p>
    <w:p>
      <w:pPr>
        <w:pStyle w:val="19"/>
        <w:shd w:val="clear"/>
        <w:tabs>
          <w:tab w:val="right" w:leader="dot" w:pos="8844"/>
        </w:tabs>
        <w:spacing w:line="360" w:lineRule="auto"/>
        <w:rPr>
          <w:b/>
          <w:bCs/>
          <w:snapToGrid w:val="0"/>
          <w:color w:val="auto"/>
          <w:sz w:val="24"/>
        </w:rPr>
      </w:pPr>
      <w:r>
        <w:rPr>
          <w:b/>
          <w:bCs/>
          <w:snapToGrid w:val="0"/>
          <w:color w:val="auto"/>
          <w:sz w:val="24"/>
        </w:rPr>
        <w:t>附图5：项目</w:t>
      </w:r>
      <w:r>
        <w:rPr>
          <w:rFonts w:hint="eastAsia"/>
          <w:b/>
          <w:bCs/>
          <w:snapToGrid w:val="0"/>
          <w:color w:val="auto"/>
          <w:sz w:val="24"/>
          <w:lang w:val="en-US" w:eastAsia="zh-CN"/>
        </w:rPr>
        <w:t>周边</w:t>
      </w:r>
      <w:r>
        <w:rPr>
          <w:b/>
          <w:bCs/>
          <w:snapToGrid w:val="0"/>
          <w:color w:val="auto"/>
          <w:sz w:val="24"/>
        </w:rPr>
        <w:t>照片</w:t>
      </w:r>
    </w:p>
    <w:p>
      <w:pPr>
        <w:pStyle w:val="19"/>
        <w:shd w:val="clear"/>
        <w:tabs>
          <w:tab w:val="right" w:leader="dot" w:pos="8844"/>
        </w:tabs>
        <w:spacing w:line="360" w:lineRule="auto"/>
        <w:rPr>
          <w:b/>
          <w:bCs/>
          <w:snapToGrid w:val="0"/>
          <w:color w:val="auto"/>
          <w:sz w:val="24"/>
        </w:rPr>
      </w:pPr>
      <w:r>
        <w:rPr>
          <w:b/>
          <w:bCs/>
          <w:snapToGrid w:val="0"/>
          <w:color w:val="auto"/>
          <w:sz w:val="24"/>
        </w:rPr>
        <w:t>附件：</w:t>
      </w:r>
    </w:p>
    <w:p>
      <w:pPr>
        <w:pStyle w:val="19"/>
        <w:shd w:val="clear"/>
        <w:tabs>
          <w:tab w:val="right" w:leader="dot" w:pos="8844"/>
        </w:tabs>
        <w:spacing w:line="360" w:lineRule="auto"/>
        <w:rPr>
          <w:b/>
          <w:bCs/>
          <w:snapToGrid w:val="0"/>
          <w:color w:val="auto"/>
          <w:sz w:val="24"/>
        </w:rPr>
      </w:pPr>
      <w:r>
        <w:rPr>
          <w:b/>
          <w:bCs/>
          <w:snapToGrid w:val="0"/>
          <w:color w:val="auto"/>
          <w:sz w:val="24"/>
        </w:rPr>
        <w:t>附件1：营业执照</w:t>
      </w:r>
    </w:p>
    <w:p>
      <w:pPr>
        <w:pStyle w:val="19"/>
        <w:shd w:val="clear"/>
        <w:tabs>
          <w:tab w:val="right" w:leader="dot" w:pos="8844"/>
        </w:tabs>
        <w:spacing w:line="360" w:lineRule="auto"/>
        <w:rPr>
          <w:rFonts w:hint="eastAsia" w:eastAsia="宋体"/>
          <w:b/>
          <w:bCs/>
          <w:snapToGrid w:val="0"/>
          <w:color w:val="auto"/>
          <w:sz w:val="24"/>
          <w:lang w:eastAsia="zh-CN"/>
        </w:rPr>
      </w:pPr>
      <w:r>
        <w:rPr>
          <w:b/>
          <w:bCs/>
          <w:snapToGrid w:val="0"/>
          <w:color w:val="auto"/>
          <w:sz w:val="24"/>
        </w:rPr>
        <w:t>附件2：</w:t>
      </w:r>
      <w:r>
        <w:rPr>
          <w:rFonts w:hint="eastAsia"/>
          <w:b/>
          <w:bCs/>
          <w:snapToGrid w:val="0"/>
          <w:color w:val="auto"/>
          <w:sz w:val="24"/>
          <w:lang w:val="en-US" w:eastAsia="zh-CN"/>
        </w:rPr>
        <w:t>用地手续</w:t>
      </w:r>
    </w:p>
    <w:p>
      <w:pPr>
        <w:pStyle w:val="19"/>
        <w:shd w:val="clear"/>
        <w:tabs>
          <w:tab w:val="right" w:leader="dot" w:pos="8844"/>
        </w:tabs>
        <w:spacing w:line="360" w:lineRule="auto"/>
        <w:rPr>
          <w:b/>
          <w:bCs/>
          <w:snapToGrid w:val="0"/>
          <w:color w:val="auto"/>
          <w:sz w:val="24"/>
        </w:rPr>
      </w:pPr>
      <w:r>
        <w:rPr>
          <w:b/>
          <w:bCs/>
          <w:snapToGrid w:val="0"/>
          <w:color w:val="auto"/>
          <w:sz w:val="24"/>
        </w:rPr>
        <w:t>附件</w:t>
      </w:r>
      <w:r>
        <w:rPr>
          <w:rFonts w:hint="eastAsia"/>
          <w:b/>
          <w:bCs/>
          <w:snapToGrid w:val="0"/>
          <w:color w:val="auto"/>
          <w:sz w:val="24"/>
        </w:rPr>
        <w:t>3：</w:t>
      </w:r>
      <w:r>
        <w:rPr>
          <w:rFonts w:hint="eastAsia" w:ascii="Times New Roman" w:hAnsi="Times New Roman" w:eastAsia="宋体" w:cs="Times New Roman"/>
          <w:b/>
          <w:color w:val="auto"/>
          <w:kern w:val="0"/>
          <w:sz w:val="24"/>
          <w:szCs w:val="24"/>
          <w:lang w:val="en-US" w:eastAsia="zh-CN" w:bidi="ar-SA"/>
        </w:rPr>
        <w:t>建设项目审批申请表</w:t>
      </w:r>
    </w:p>
    <w:p>
      <w:pPr>
        <w:pStyle w:val="19"/>
        <w:shd w:val="clear"/>
        <w:tabs>
          <w:tab w:val="right" w:leader="dot" w:pos="8844"/>
        </w:tabs>
        <w:spacing w:line="360" w:lineRule="auto"/>
        <w:rPr>
          <w:b/>
          <w:bCs/>
          <w:snapToGrid w:val="0"/>
          <w:color w:val="auto"/>
          <w:sz w:val="24"/>
        </w:rPr>
      </w:pPr>
      <w:r>
        <w:rPr>
          <w:b/>
          <w:bCs/>
          <w:snapToGrid w:val="0"/>
          <w:color w:val="auto"/>
          <w:sz w:val="24"/>
        </w:rPr>
        <w:t>附件4：</w:t>
      </w:r>
      <w:r>
        <w:rPr>
          <w:b/>
          <w:bCs/>
          <w:color w:val="auto"/>
          <w:sz w:val="24"/>
        </w:rPr>
        <w:t>生物质燃料分析报告</w:t>
      </w:r>
    </w:p>
    <w:p>
      <w:pPr>
        <w:pStyle w:val="19"/>
        <w:shd w:val="clear"/>
        <w:tabs>
          <w:tab w:val="right" w:leader="dot" w:pos="8844"/>
        </w:tabs>
        <w:spacing w:line="360" w:lineRule="auto"/>
        <w:rPr>
          <w:rFonts w:hint="eastAsia"/>
          <w:b/>
          <w:bCs/>
          <w:snapToGrid w:val="0"/>
          <w:color w:val="auto"/>
          <w:sz w:val="24"/>
        </w:rPr>
      </w:pPr>
      <w:r>
        <w:rPr>
          <w:b/>
          <w:bCs/>
          <w:snapToGrid w:val="0"/>
          <w:color w:val="auto"/>
          <w:sz w:val="24"/>
        </w:rPr>
        <w:t>附</w:t>
      </w:r>
      <w:r>
        <w:rPr>
          <w:rFonts w:hint="eastAsia"/>
          <w:b/>
          <w:bCs/>
          <w:snapToGrid w:val="0"/>
          <w:color w:val="auto"/>
          <w:sz w:val="24"/>
        </w:rPr>
        <w:t>件5：</w:t>
      </w:r>
      <w:r>
        <w:rPr>
          <w:b/>
          <w:bCs/>
          <w:color w:val="auto"/>
          <w:sz w:val="24"/>
        </w:rPr>
        <w:t>核定总量计算说明</w:t>
      </w:r>
    </w:p>
    <w:p>
      <w:pPr>
        <w:pStyle w:val="19"/>
        <w:shd w:val="clear"/>
        <w:tabs>
          <w:tab w:val="right" w:leader="dot" w:pos="8844"/>
        </w:tabs>
        <w:spacing w:line="360" w:lineRule="auto"/>
        <w:rPr>
          <w:rFonts w:hint="eastAsia" w:eastAsia="宋体"/>
          <w:b/>
          <w:bCs/>
          <w:snapToGrid w:val="0"/>
          <w:color w:val="auto"/>
          <w:sz w:val="24"/>
          <w:lang w:val="en-US" w:eastAsia="zh-CN"/>
        </w:rPr>
      </w:pPr>
      <w:r>
        <w:rPr>
          <w:rFonts w:hint="eastAsia"/>
          <w:b/>
          <w:bCs/>
          <w:snapToGrid w:val="0"/>
          <w:color w:val="auto"/>
          <w:sz w:val="24"/>
        </w:rPr>
        <w:t>附件6：</w:t>
      </w:r>
      <w:r>
        <w:rPr>
          <w:rFonts w:hint="eastAsia"/>
          <w:b/>
          <w:bCs/>
          <w:snapToGrid w:val="0"/>
          <w:color w:val="auto"/>
          <w:sz w:val="24"/>
          <w:lang w:val="en-US" w:eastAsia="zh-CN"/>
        </w:rPr>
        <w:t>检测报告</w:t>
      </w:r>
    </w:p>
    <w:p>
      <w:pPr>
        <w:pStyle w:val="19"/>
        <w:shd w:val="clear"/>
        <w:tabs>
          <w:tab w:val="right" w:leader="dot" w:pos="8844"/>
        </w:tabs>
        <w:spacing w:line="360" w:lineRule="auto"/>
        <w:rPr>
          <w:rFonts w:hint="eastAsia"/>
          <w:b/>
          <w:bCs/>
          <w:snapToGrid w:val="0"/>
          <w:color w:val="auto"/>
          <w:sz w:val="24"/>
        </w:rPr>
      </w:pPr>
    </w:p>
    <w:p>
      <w:pPr>
        <w:pStyle w:val="23"/>
        <w:shd w:val="clear"/>
        <w:jc w:val="both"/>
        <w:outlineLvl w:val="0"/>
        <w:rPr>
          <w:rFonts w:ascii="Times New Roman" w:hAnsi="Times New Roman" w:eastAsia="黑体"/>
          <w:snapToGrid w:val="0"/>
          <w:color w:val="auto"/>
          <w:szCs w:val="30"/>
        </w:rPr>
      </w:pPr>
    </w:p>
    <w:p>
      <w:pPr>
        <w:pStyle w:val="23"/>
        <w:shd w:val="clear"/>
        <w:jc w:val="center"/>
        <w:outlineLvl w:val="0"/>
        <w:rPr>
          <w:rFonts w:ascii="Times New Roman" w:hAnsi="Times New Roman" w:eastAsia="黑体"/>
          <w:snapToGrid w:val="0"/>
          <w:color w:val="auto"/>
          <w:szCs w:val="30"/>
        </w:rPr>
      </w:pPr>
    </w:p>
    <w:p>
      <w:pPr>
        <w:pStyle w:val="23"/>
        <w:shd w:val="clear"/>
        <w:jc w:val="center"/>
        <w:outlineLvl w:val="0"/>
        <w:rPr>
          <w:rFonts w:ascii="Times New Roman" w:hAnsi="Times New Roman" w:eastAsia="黑体"/>
          <w:snapToGrid w:val="0"/>
          <w:color w:val="auto"/>
          <w:szCs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19"/>
        <w:shd w:val="clear"/>
        <w:tabs>
          <w:tab w:val="right" w:leader="dot" w:pos="8844"/>
        </w:tabs>
        <w:spacing w:after="240" w:afterLines="100"/>
        <w:jc w:val="center"/>
        <w:outlineLvl w:val="0"/>
        <w:rPr>
          <w:rFonts w:eastAsia="黑体"/>
          <w:snapToGrid w:val="0"/>
          <w:color w:val="auto"/>
          <w:sz w:val="30"/>
          <w:szCs w:val="30"/>
        </w:rPr>
      </w:pPr>
      <w:bookmarkStart w:id="1" w:name="_Toc16271"/>
      <w:r>
        <w:rPr>
          <w:rFonts w:eastAsia="黑体"/>
          <w:snapToGrid w:val="0"/>
          <w:color w:val="auto"/>
          <w:sz w:val="30"/>
          <w:szCs w:val="30"/>
        </w:rPr>
        <w:t>一、建设项目基本情况</w:t>
      </w:r>
      <w:bookmarkEnd w:id="1"/>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81"/>
        <w:gridCol w:w="1876"/>
        <w:gridCol w:w="1577"/>
        <w:gridCol w:w="373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96" w:hRule="atLeast"/>
          <w:jc w:val="center"/>
        </w:trPr>
        <w:tc>
          <w:tcPr>
            <w:tcW w:w="1681" w:type="dxa"/>
            <w:tcMar>
              <w:top w:w="16" w:type="dxa"/>
              <w:left w:w="16" w:type="dxa"/>
              <w:right w:w="16" w:type="dxa"/>
            </w:tcMar>
            <w:vAlign w:val="center"/>
          </w:tcPr>
          <w:p>
            <w:pPr>
              <w:shd w:val="clear"/>
              <w:adjustRightInd w:val="0"/>
              <w:snapToGrid w:val="0"/>
              <w:jc w:val="center"/>
              <w:rPr>
                <w:color w:val="auto"/>
                <w:sz w:val="24"/>
              </w:rPr>
            </w:pPr>
            <w:r>
              <w:rPr>
                <w:color w:val="auto"/>
                <w:sz w:val="24"/>
              </w:rPr>
              <w:t>建设项目名称</w:t>
            </w:r>
          </w:p>
        </w:tc>
        <w:tc>
          <w:tcPr>
            <w:tcW w:w="7189" w:type="dxa"/>
            <w:gridSpan w:val="3"/>
            <w:vAlign w:val="center"/>
          </w:tcPr>
          <w:p>
            <w:pPr>
              <w:shd w:val="clear"/>
              <w:adjustRightInd w:val="0"/>
              <w:snapToGrid w:val="0"/>
              <w:jc w:val="center"/>
              <w:rPr>
                <w:color w:val="auto"/>
                <w:sz w:val="24"/>
              </w:rPr>
            </w:pPr>
            <w:r>
              <w:rPr>
                <w:rFonts w:hint="eastAsia"/>
                <w:color w:val="auto"/>
                <w:sz w:val="24"/>
                <w:lang w:val="en-US" w:eastAsia="zh-CN"/>
              </w:rPr>
              <w:t>黑龙江省绥化市海伦市关东王豆制品有限公司鲜食玉米加工项目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1" w:type="dxa"/>
            <w:tcMar>
              <w:top w:w="16" w:type="dxa"/>
              <w:left w:w="16" w:type="dxa"/>
              <w:right w:w="16" w:type="dxa"/>
            </w:tcMar>
            <w:vAlign w:val="center"/>
          </w:tcPr>
          <w:p>
            <w:pPr>
              <w:shd w:val="clear"/>
              <w:adjustRightInd w:val="0"/>
              <w:snapToGrid w:val="0"/>
              <w:jc w:val="center"/>
              <w:rPr>
                <w:color w:val="auto"/>
                <w:sz w:val="24"/>
              </w:rPr>
            </w:pPr>
            <w:r>
              <w:rPr>
                <w:color w:val="auto"/>
                <w:sz w:val="24"/>
              </w:rPr>
              <w:t>项目代码</w:t>
            </w:r>
          </w:p>
        </w:tc>
        <w:tc>
          <w:tcPr>
            <w:tcW w:w="7189" w:type="dxa"/>
            <w:gridSpan w:val="3"/>
            <w:vAlign w:val="center"/>
          </w:tcPr>
          <w:p>
            <w:pPr>
              <w:shd w:val="clear"/>
              <w:adjustRightInd w:val="0"/>
              <w:snapToGrid w:val="0"/>
              <w:jc w:val="center"/>
              <w:rPr>
                <w:color w:val="auto"/>
                <w:sz w:val="24"/>
              </w:rPr>
            </w:pPr>
            <w:r>
              <w:rPr>
                <w:rFonts w:hint="eastAsia"/>
                <w:color w:val="auto"/>
                <w:sz w:val="24"/>
              </w:rPr>
              <w:t>2308-231283-04-01-947915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1" w:type="dxa"/>
            <w:tcMar>
              <w:top w:w="16" w:type="dxa"/>
              <w:left w:w="16" w:type="dxa"/>
              <w:right w:w="16" w:type="dxa"/>
            </w:tcMar>
            <w:vAlign w:val="center"/>
          </w:tcPr>
          <w:p>
            <w:pPr>
              <w:shd w:val="clear"/>
              <w:adjustRightInd w:val="0"/>
              <w:snapToGrid w:val="0"/>
              <w:jc w:val="center"/>
              <w:rPr>
                <w:color w:val="auto"/>
                <w:sz w:val="24"/>
              </w:rPr>
            </w:pPr>
            <w:r>
              <w:rPr>
                <w:color w:val="auto"/>
                <w:sz w:val="24"/>
              </w:rPr>
              <w:t>建设单位联系人</w:t>
            </w:r>
          </w:p>
        </w:tc>
        <w:tc>
          <w:tcPr>
            <w:tcW w:w="1876" w:type="dxa"/>
            <w:vAlign w:val="center"/>
          </w:tcPr>
          <w:p>
            <w:pPr>
              <w:shd w:val="clear"/>
              <w:adjustRightInd w:val="0"/>
              <w:snapToGrid w:val="0"/>
              <w:jc w:val="center"/>
              <w:rPr>
                <w:rFonts w:hint="default" w:eastAsia="宋体"/>
                <w:color w:val="auto"/>
                <w:sz w:val="24"/>
                <w:lang w:val="en-US" w:eastAsia="zh-CN"/>
              </w:rPr>
            </w:pPr>
            <w:r>
              <w:rPr>
                <w:rFonts w:hint="eastAsia"/>
                <w:color w:val="auto"/>
                <w:sz w:val="24"/>
                <w:lang w:val="en-US" w:eastAsia="zh-CN"/>
              </w:rPr>
              <w:t>李凯</w:t>
            </w:r>
          </w:p>
        </w:tc>
        <w:tc>
          <w:tcPr>
            <w:tcW w:w="1577" w:type="dxa"/>
            <w:vAlign w:val="center"/>
          </w:tcPr>
          <w:p>
            <w:pPr>
              <w:shd w:val="clear"/>
              <w:adjustRightInd w:val="0"/>
              <w:snapToGrid w:val="0"/>
              <w:jc w:val="center"/>
              <w:rPr>
                <w:rFonts w:hint="eastAsia"/>
                <w:color w:val="auto"/>
                <w:sz w:val="24"/>
                <w:lang w:val="en-US" w:eastAsia="zh-CN"/>
              </w:rPr>
            </w:pPr>
            <w:r>
              <w:rPr>
                <w:rFonts w:hint="eastAsia"/>
                <w:color w:val="auto"/>
                <w:sz w:val="24"/>
                <w:lang w:val="en-US" w:eastAsia="zh-CN"/>
              </w:rPr>
              <w:t>联系方式</w:t>
            </w:r>
          </w:p>
        </w:tc>
        <w:tc>
          <w:tcPr>
            <w:tcW w:w="3736" w:type="dxa"/>
            <w:vAlign w:val="center"/>
          </w:tcPr>
          <w:p>
            <w:pPr>
              <w:shd w:val="clear"/>
              <w:adjustRightInd w:val="0"/>
              <w:snapToGrid w:val="0"/>
              <w:jc w:val="center"/>
              <w:rPr>
                <w:rFonts w:hint="eastAsia"/>
                <w:color w:val="auto"/>
                <w:sz w:val="24"/>
                <w:lang w:val="en-US" w:eastAsia="zh-CN"/>
              </w:rPr>
            </w:pPr>
            <w:r>
              <w:rPr>
                <w:rFonts w:hint="eastAsia"/>
                <w:color w:val="auto"/>
                <w:sz w:val="24"/>
                <w:lang w:val="en-US" w:eastAsia="zh-CN"/>
              </w:rPr>
              <w:t>18970465555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1" w:type="dxa"/>
            <w:tcMar>
              <w:top w:w="16" w:type="dxa"/>
              <w:left w:w="16" w:type="dxa"/>
              <w:right w:w="16" w:type="dxa"/>
            </w:tcMar>
            <w:vAlign w:val="center"/>
          </w:tcPr>
          <w:p>
            <w:pPr>
              <w:shd w:val="clear"/>
              <w:adjustRightInd w:val="0"/>
              <w:snapToGrid w:val="0"/>
              <w:jc w:val="center"/>
              <w:rPr>
                <w:color w:val="auto"/>
                <w:sz w:val="24"/>
              </w:rPr>
            </w:pPr>
            <w:r>
              <w:rPr>
                <w:color w:val="auto"/>
                <w:sz w:val="24"/>
              </w:rPr>
              <w:t>建设地点</w:t>
            </w:r>
          </w:p>
        </w:tc>
        <w:tc>
          <w:tcPr>
            <w:tcW w:w="7189" w:type="dxa"/>
            <w:gridSpan w:val="3"/>
            <w:vAlign w:val="center"/>
          </w:tcPr>
          <w:p>
            <w:pPr>
              <w:shd w:val="clear"/>
              <w:adjustRightInd w:val="0"/>
              <w:snapToGrid w:val="0"/>
              <w:jc w:val="center"/>
              <w:rPr>
                <w:color w:val="auto"/>
                <w:sz w:val="24"/>
              </w:rPr>
            </w:pPr>
            <w:r>
              <w:rPr>
                <w:rFonts w:hint="eastAsia" w:ascii="Times New Roman" w:hAnsi="Times New Roman" w:eastAsia="宋体" w:cs="Times New Roman"/>
                <w:color w:val="auto"/>
                <w:sz w:val="24"/>
                <w:lang w:val="en-US" w:eastAsia="zh-CN"/>
              </w:rPr>
              <w:t>黑龙江省绥化市海伦市长发镇长建村</w:t>
            </w:r>
            <w:r>
              <w:rPr>
                <w:rFonts w:hint="eastAsia" w:cs="Times New Roman"/>
                <w:color w:val="auto"/>
                <w:sz w:val="24"/>
                <w:lang w:val="en-US" w:eastAsia="zh-CN"/>
              </w:rPr>
              <w:t>省道哈北路东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1" w:type="dxa"/>
            <w:tcMar>
              <w:top w:w="16" w:type="dxa"/>
              <w:left w:w="16" w:type="dxa"/>
              <w:right w:w="16" w:type="dxa"/>
            </w:tcMar>
            <w:vAlign w:val="center"/>
          </w:tcPr>
          <w:p>
            <w:pPr>
              <w:shd w:val="clear"/>
              <w:adjustRightInd w:val="0"/>
              <w:snapToGrid w:val="0"/>
              <w:jc w:val="center"/>
              <w:rPr>
                <w:color w:val="auto"/>
                <w:sz w:val="24"/>
              </w:rPr>
            </w:pPr>
            <w:r>
              <w:rPr>
                <w:color w:val="auto"/>
                <w:sz w:val="24"/>
              </w:rPr>
              <w:t>地理坐标</w:t>
            </w:r>
          </w:p>
        </w:tc>
        <w:tc>
          <w:tcPr>
            <w:tcW w:w="7189" w:type="dxa"/>
            <w:gridSpan w:val="3"/>
            <w:vAlign w:val="center"/>
          </w:tcPr>
          <w:p>
            <w:pPr>
              <w:shd w:val="clear"/>
              <w:jc w:val="center"/>
              <w:rPr>
                <w:color w:val="auto"/>
                <w:sz w:val="24"/>
              </w:rPr>
            </w:pPr>
            <w:r>
              <w:rPr>
                <w:color w:val="auto"/>
                <w:sz w:val="24"/>
              </w:rPr>
              <w:t>（</w:t>
            </w:r>
            <w:r>
              <w:rPr>
                <w:color w:val="auto"/>
                <w:sz w:val="24"/>
                <w:u w:val="single"/>
              </w:rPr>
              <w:t>12</w:t>
            </w:r>
            <w:r>
              <w:rPr>
                <w:rFonts w:hint="eastAsia"/>
                <w:color w:val="auto"/>
                <w:sz w:val="24"/>
                <w:u w:val="single"/>
              </w:rPr>
              <w:t>6</w:t>
            </w:r>
            <w:r>
              <w:rPr>
                <w:color w:val="auto"/>
                <w:sz w:val="24"/>
              </w:rPr>
              <w:t>度</w:t>
            </w:r>
            <w:r>
              <w:rPr>
                <w:rFonts w:hint="eastAsia"/>
                <w:color w:val="auto"/>
                <w:sz w:val="24"/>
                <w:u w:val="single"/>
              </w:rPr>
              <w:t>57</w:t>
            </w:r>
            <w:r>
              <w:rPr>
                <w:color w:val="auto"/>
                <w:sz w:val="24"/>
              </w:rPr>
              <w:t>分</w:t>
            </w:r>
            <w:r>
              <w:rPr>
                <w:rFonts w:hint="eastAsia"/>
                <w:color w:val="auto"/>
                <w:sz w:val="24"/>
                <w:u w:val="single"/>
              </w:rPr>
              <w:t>11.240</w:t>
            </w:r>
            <w:r>
              <w:rPr>
                <w:color w:val="auto"/>
                <w:sz w:val="24"/>
              </w:rPr>
              <w:t>秒，</w:t>
            </w:r>
            <w:r>
              <w:rPr>
                <w:color w:val="auto"/>
                <w:sz w:val="24"/>
                <w:u w:val="single"/>
              </w:rPr>
              <w:t>4</w:t>
            </w:r>
            <w:r>
              <w:rPr>
                <w:rFonts w:hint="eastAsia"/>
                <w:color w:val="auto"/>
                <w:sz w:val="24"/>
                <w:u w:val="single"/>
              </w:rPr>
              <w:t>7</w:t>
            </w:r>
            <w:r>
              <w:rPr>
                <w:color w:val="auto"/>
                <w:sz w:val="24"/>
              </w:rPr>
              <w:t>度</w:t>
            </w:r>
            <w:r>
              <w:rPr>
                <w:color w:val="auto"/>
                <w:sz w:val="24"/>
                <w:u w:val="single"/>
              </w:rPr>
              <w:t>2</w:t>
            </w:r>
            <w:r>
              <w:rPr>
                <w:rFonts w:hint="eastAsia"/>
                <w:color w:val="auto"/>
                <w:sz w:val="24"/>
                <w:u w:val="single"/>
              </w:rPr>
              <w:t>0</w:t>
            </w:r>
            <w:r>
              <w:rPr>
                <w:color w:val="auto"/>
                <w:sz w:val="24"/>
              </w:rPr>
              <w:t>分</w:t>
            </w:r>
            <w:r>
              <w:rPr>
                <w:rFonts w:hint="eastAsia"/>
                <w:color w:val="auto"/>
                <w:sz w:val="24"/>
                <w:u w:val="single"/>
              </w:rPr>
              <w:t>25.910</w:t>
            </w:r>
            <w:r>
              <w:rPr>
                <w:color w:val="auto"/>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681" w:type="dxa"/>
            <w:tcMar>
              <w:top w:w="16" w:type="dxa"/>
              <w:left w:w="16" w:type="dxa"/>
              <w:right w:w="16" w:type="dxa"/>
            </w:tcMar>
            <w:vAlign w:val="center"/>
          </w:tcPr>
          <w:p>
            <w:pPr>
              <w:shd w:val="clear"/>
              <w:adjustRightInd w:val="0"/>
              <w:snapToGrid w:val="0"/>
              <w:jc w:val="center"/>
              <w:rPr>
                <w:color w:val="auto"/>
                <w:sz w:val="24"/>
              </w:rPr>
            </w:pPr>
            <w:r>
              <w:rPr>
                <w:color w:val="auto"/>
                <w:sz w:val="24"/>
              </w:rPr>
              <w:t>国民经济</w:t>
            </w:r>
          </w:p>
          <w:p>
            <w:pPr>
              <w:shd w:val="clear"/>
              <w:adjustRightInd w:val="0"/>
              <w:snapToGrid w:val="0"/>
              <w:jc w:val="center"/>
              <w:rPr>
                <w:color w:val="auto"/>
                <w:sz w:val="24"/>
              </w:rPr>
            </w:pPr>
            <w:r>
              <w:rPr>
                <w:color w:val="auto"/>
                <w:sz w:val="24"/>
              </w:rPr>
              <w:t>行业类别</w:t>
            </w:r>
          </w:p>
        </w:tc>
        <w:tc>
          <w:tcPr>
            <w:tcW w:w="1876" w:type="dxa"/>
            <w:vAlign w:val="center"/>
          </w:tcPr>
          <w:p>
            <w:pPr>
              <w:pStyle w:val="9"/>
              <w:shd w:val="clear"/>
              <w:rPr>
                <w:color w:val="auto"/>
                <w:sz w:val="24"/>
                <w:szCs w:val="24"/>
              </w:rPr>
            </w:pPr>
            <w:r>
              <w:rPr>
                <w:rFonts w:hint="eastAsia"/>
                <w:color w:val="auto"/>
                <w:kern w:val="2"/>
                <w:sz w:val="24"/>
                <w:szCs w:val="24"/>
              </w:rPr>
              <w:t>C1371蔬菜加工D4430热力生产和供应</w:t>
            </w:r>
          </w:p>
        </w:tc>
        <w:tc>
          <w:tcPr>
            <w:tcW w:w="1577" w:type="dxa"/>
            <w:vAlign w:val="center"/>
          </w:tcPr>
          <w:p>
            <w:pPr>
              <w:shd w:val="clear"/>
              <w:adjustRightInd w:val="0"/>
              <w:snapToGrid w:val="0"/>
              <w:jc w:val="center"/>
              <w:rPr>
                <w:color w:val="auto"/>
                <w:sz w:val="24"/>
              </w:rPr>
            </w:pPr>
            <w:bookmarkStart w:id="2" w:name="_Hlk49843745"/>
            <w:r>
              <w:rPr>
                <w:color w:val="auto"/>
                <w:sz w:val="24"/>
              </w:rPr>
              <w:t>建设项目</w:t>
            </w:r>
          </w:p>
          <w:p>
            <w:pPr>
              <w:shd w:val="clear"/>
              <w:adjustRightInd w:val="0"/>
              <w:snapToGrid w:val="0"/>
              <w:jc w:val="center"/>
              <w:rPr>
                <w:color w:val="auto"/>
                <w:sz w:val="24"/>
              </w:rPr>
            </w:pPr>
            <w:r>
              <w:rPr>
                <w:color w:val="auto"/>
                <w:sz w:val="24"/>
              </w:rPr>
              <w:t>行业类别</w:t>
            </w:r>
            <w:bookmarkEnd w:id="2"/>
          </w:p>
        </w:tc>
        <w:tc>
          <w:tcPr>
            <w:tcW w:w="3736" w:type="dxa"/>
            <w:vAlign w:val="center"/>
          </w:tcPr>
          <w:p>
            <w:pPr>
              <w:shd w:val="clear"/>
              <w:adjustRightInd w:val="0"/>
              <w:snapToGrid w:val="0"/>
              <w:rPr>
                <w:color w:val="auto"/>
                <w:sz w:val="24"/>
              </w:rPr>
            </w:pPr>
            <w:r>
              <w:rPr>
                <w:rFonts w:hint="eastAsia"/>
                <w:color w:val="auto"/>
                <w:sz w:val="24"/>
              </w:rPr>
              <w:t>十一、农副食品加工业13</w:t>
            </w:r>
          </w:p>
          <w:p>
            <w:pPr>
              <w:shd w:val="clear"/>
              <w:adjustRightInd w:val="0"/>
              <w:snapToGrid w:val="0"/>
              <w:rPr>
                <w:color w:val="auto"/>
                <w:sz w:val="24"/>
              </w:rPr>
            </w:pPr>
            <w:r>
              <w:rPr>
                <w:rFonts w:hint="eastAsia"/>
                <w:color w:val="auto"/>
                <w:sz w:val="24"/>
              </w:rPr>
              <w:t>四十一电力、热力生产和供应业、91.热力生产和供应工程（包括建设单位自建自用的供热工程）；使用其他高污染燃料的（高污染燃料是指国环规大气﹝2017﹞2号《高污染燃料目录》中规定的燃料）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681" w:type="dxa"/>
            <w:tcMar>
              <w:top w:w="16" w:type="dxa"/>
              <w:left w:w="16" w:type="dxa"/>
              <w:right w:w="16" w:type="dxa"/>
            </w:tcMar>
            <w:vAlign w:val="center"/>
          </w:tcPr>
          <w:p>
            <w:pPr>
              <w:shd w:val="clear"/>
              <w:adjustRightInd w:val="0"/>
              <w:snapToGrid w:val="0"/>
              <w:jc w:val="center"/>
              <w:rPr>
                <w:color w:val="auto"/>
                <w:sz w:val="24"/>
              </w:rPr>
            </w:pPr>
            <w:r>
              <w:rPr>
                <w:color w:val="auto"/>
                <w:sz w:val="24"/>
              </w:rPr>
              <w:t>建设性质</w:t>
            </w:r>
          </w:p>
        </w:tc>
        <w:tc>
          <w:tcPr>
            <w:tcW w:w="1876" w:type="dxa"/>
            <w:vAlign w:val="center"/>
          </w:tcPr>
          <w:p>
            <w:pPr>
              <w:shd w:val="clear"/>
              <w:jc w:val="left"/>
              <w:rPr>
                <w:color w:val="auto"/>
                <w:sz w:val="24"/>
              </w:rPr>
            </w:pPr>
            <w:r>
              <w:rPr>
                <w:color w:val="auto"/>
                <w:sz w:val="24"/>
              </w:rPr>
              <w:t>√新建（迁建）</w:t>
            </w:r>
          </w:p>
          <w:p>
            <w:pPr>
              <w:shd w:val="clear"/>
              <w:jc w:val="left"/>
              <w:rPr>
                <w:color w:val="auto"/>
                <w:sz w:val="24"/>
              </w:rPr>
            </w:pPr>
            <w:r>
              <w:rPr>
                <w:color w:val="auto"/>
                <w:sz w:val="24"/>
              </w:rPr>
              <w:t>□改建</w:t>
            </w:r>
          </w:p>
          <w:p>
            <w:pPr>
              <w:shd w:val="clear"/>
              <w:jc w:val="left"/>
              <w:rPr>
                <w:color w:val="auto"/>
                <w:sz w:val="24"/>
              </w:rPr>
            </w:pPr>
            <w:r>
              <w:rPr>
                <w:color w:val="auto"/>
                <w:sz w:val="24"/>
              </w:rPr>
              <w:t>□扩建</w:t>
            </w:r>
          </w:p>
          <w:p>
            <w:pPr>
              <w:shd w:val="clear"/>
              <w:jc w:val="left"/>
              <w:rPr>
                <w:color w:val="auto"/>
                <w:sz w:val="24"/>
              </w:rPr>
            </w:pPr>
            <w:r>
              <w:rPr>
                <w:color w:val="auto"/>
                <w:sz w:val="24"/>
              </w:rPr>
              <w:t>□技术改造</w:t>
            </w:r>
          </w:p>
        </w:tc>
        <w:tc>
          <w:tcPr>
            <w:tcW w:w="1577" w:type="dxa"/>
            <w:vAlign w:val="center"/>
          </w:tcPr>
          <w:p>
            <w:pPr>
              <w:shd w:val="clear"/>
              <w:adjustRightInd w:val="0"/>
              <w:snapToGrid w:val="0"/>
              <w:jc w:val="center"/>
              <w:rPr>
                <w:color w:val="auto"/>
                <w:sz w:val="24"/>
              </w:rPr>
            </w:pPr>
            <w:r>
              <w:rPr>
                <w:color w:val="auto"/>
                <w:sz w:val="24"/>
              </w:rPr>
              <w:t>建设项目</w:t>
            </w:r>
          </w:p>
          <w:p>
            <w:pPr>
              <w:shd w:val="clear"/>
              <w:adjustRightInd w:val="0"/>
              <w:snapToGrid w:val="0"/>
              <w:jc w:val="center"/>
              <w:rPr>
                <w:color w:val="auto"/>
                <w:sz w:val="24"/>
              </w:rPr>
            </w:pPr>
            <w:r>
              <w:rPr>
                <w:color w:val="auto"/>
                <w:sz w:val="24"/>
              </w:rPr>
              <w:t>申报情形</w:t>
            </w:r>
          </w:p>
        </w:tc>
        <w:tc>
          <w:tcPr>
            <w:tcW w:w="3736" w:type="dxa"/>
            <w:vAlign w:val="center"/>
          </w:tcPr>
          <w:p>
            <w:pPr>
              <w:shd w:val="clear"/>
              <w:jc w:val="left"/>
              <w:rPr>
                <w:color w:val="auto"/>
                <w:sz w:val="24"/>
              </w:rPr>
            </w:pPr>
            <w:r>
              <w:rPr>
                <w:color w:val="auto"/>
                <w:sz w:val="24"/>
              </w:rPr>
              <w:t xml:space="preserve">√首次申报项目             </w:t>
            </w:r>
          </w:p>
          <w:p>
            <w:pPr>
              <w:shd w:val="clear"/>
              <w:jc w:val="left"/>
              <w:rPr>
                <w:color w:val="auto"/>
                <w:sz w:val="24"/>
              </w:rPr>
            </w:pPr>
            <w:r>
              <w:rPr>
                <w:color w:val="auto"/>
                <w:sz w:val="24"/>
              </w:rPr>
              <w:t>□不予批准后再次申报项目</w:t>
            </w:r>
          </w:p>
          <w:p>
            <w:pPr>
              <w:shd w:val="clear"/>
              <w:jc w:val="left"/>
              <w:rPr>
                <w:color w:val="auto"/>
                <w:sz w:val="24"/>
              </w:rPr>
            </w:pPr>
            <w:r>
              <w:rPr>
                <w:color w:val="auto"/>
                <w:sz w:val="24"/>
              </w:rPr>
              <w:t xml:space="preserve">□超五年重新审核项目     </w:t>
            </w:r>
          </w:p>
          <w:p>
            <w:pPr>
              <w:shd w:val="clear"/>
              <w:jc w:val="left"/>
              <w:rPr>
                <w:color w:val="auto"/>
                <w:sz w:val="24"/>
              </w:rPr>
            </w:pPr>
            <w:r>
              <w:rPr>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81" w:type="dxa"/>
            <w:tcMar>
              <w:top w:w="16" w:type="dxa"/>
              <w:left w:w="16" w:type="dxa"/>
              <w:right w:w="16" w:type="dxa"/>
            </w:tcMar>
            <w:vAlign w:val="center"/>
          </w:tcPr>
          <w:p>
            <w:pPr>
              <w:shd w:val="clear"/>
              <w:adjustRightInd w:val="0"/>
              <w:snapToGrid w:val="0"/>
              <w:jc w:val="center"/>
              <w:rPr>
                <w:color w:val="auto"/>
                <w:sz w:val="24"/>
              </w:rPr>
            </w:pPr>
            <w:r>
              <w:rPr>
                <w:color w:val="auto"/>
                <w:sz w:val="24"/>
              </w:rPr>
              <w:t>项目审批（核准/备案）部门（选填）</w:t>
            </w:r>
          </w:p>
        </w:tc>
        <w:tc>
          <w:tcPr>
            <w:tcW w:w="1876" w:type="dxa"/>
            <w:vAlign w:val="center"/>
          </w:tcPr>
          <w:p>
            <w:pPr>
              <w:shd w:val="clear"/>
              <w:adjustRightInd w:val="0"/>
              <w:snapToGrid w:val="0"/>
              <w:jc w:val="center"/>
              <w:rPr>
                <w:color w:val="auto"/>
                <w:sz w:val="24"/>
              </w:rPr>
            </w:pPr>
            <w:r>
              <w:rPr>
                <w:color w:val="auto"/>
                <w:sz w:val="24"/>
              </w:rPr>
              <w:t>无</w:t>
            </w:r>
          </w:p>
        </w:tc>
        <w:tc>
          <w:tcPr>
            <w:tcW w:w="1577" w:type="dxa"/>
            <w:vAlign w:val="center"/>
          </w:tcPr>
          <w:p>
            <w:pPr>
              <w:shd w:val="clear"/>
              <w:adjustRightInd w:val="0"/>
              <w:snapToGrid w:val="0"/>
              <w:jc w:val="center"/>
              <w:rPr>
                <w:color w:val="auto"/>
                <w:sz w:val="24"/>
              </w:rPr>
            </w:pPr>
            <w:r>
              <w:rPr>
                <w:color w:val="auto"/>
                <w:sz w:val="24"/>
              </w:rPr>
              <w:t>项目审批（核准/备案）文号（选填）</w:t>
            </w:r>
          </w:p>
        </w:tc>
        <w:tc>
          <w:tcPr>
            <w:tcW w:w="3736" w:type="dxa"/>
            <w:vAlign w:val="center"/>
          </w:tcPr>
          <w:p>
            <w:pPr>
              <w:shd w:val="clear"/>
              <w:adjustRightInd w:val="0"/>
              <w:snapToGrid w:val="0"/>
              <w:jc w:val="center"/>
              <w:rPr>
                <w:rFonts w:hint="eastAsia" w:eastAsia="宋体"/>
                <w:color w:val="auto"/>
                <w:sz w:val="24"/>
                <w:lang w:eastAsia="zh-CN"/>
              </w:rPr>
            </w:pPr>
            <w:r>
              <w:rPr>
                <w:rFonts w:hint="eastAsia"/>
                <w:color w:val="auto"/>
                <w:sz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1" w:type="dxa"/>
            <w:tcMar>
              <w:top w:w="16" w:type="dxa"/>
              <w:left w:w="16" w:type="dxa"/>
              <w:right w:w="16" w:type="dxa"/>
            </w:tcMar>
            <w:vAlign w:val="center"/>
          </w:tcPr>
          <w:p>
            <w:pPr>
              <w:shd w:val="clear"/>
              <w:adjustRightInd w:val="0"/>
              <w:snapToGrid w:val="0"/>
              <w:jc w:val="center"/>
              <w:rPr>
                <w:color w:val="auto"/>
                <w:sz w:val="24"/>
              </w:rPr>
            </w:pPr>
            <w:r>
              <w:rPr>
                <w:color w:val="auto"/>
                <w:sz w:val="24"/>
              </w:rPr>
              <w:t>总投资（万元）</w:t>
            </w:r>
          </w:p>
        </w:tc>
        <w:tc>
          <w:tcPr>
            <w:tcW w:w="1876" w:type="dxa"/>
            <w:vAlign w:val="center"/>
          </w:tcPr>
          <w:p>
            <w:pPr>
              <w:shd w:val="clear"/>
              <w:adjustRightInd w:val="0"/>
              <w:snapToGrid w:val="0"/>
              <w:jc w:val="center"/>
              <w:rPr>
                <w:rFonts w:hint="default" w:eastAsia="宋体"/>
                <w:color w:val="auto"/>
                <w:sz w:val="24"/>
                <w:lang w:val="en-US" w:eastAsia="zh-CN"/>
              </w:rPr>
            </w:pPr>
            <w:r>
              <w:rPr>
                <w:rFonts w:hint="eastAsia"/>
                <w:color w:val="auto"/>
                <w:sz w:val="24"/>
                <w:lang w:val="en-US" w:eastAsia="zh-CN"/>
              </w:rPr>
              <w:t>300</w:t>
            </w:r>
          </w:p>
        </w:tc>
        <w:tc>
          <w:tcPr>
            <w:tcW w:w="1577" w:type="dxa"/>
            <w:tcMar>
              <w:top w:w="16" w:type="dxa"/>
              <w:left w:w="16" w:type="dxa"/>
              <w:right w:w="16" w:type="dxa"/>
            </w:tcMar>
            <w:vAlign w:val="center"/>
          </w:tcPr>
          <w:p>
            <w:pPr>
              <w:shd w:val="clear"/>
              <w:adjustRightInd w:val="0"/>
              <w:snapToGrid w:val="0"/>
              <w:jc w:val="center"/>
              <w:rPr>
                <w:color w:val="auto"/>
                <w:sz w:val="24"/>
              </w:rPr>
            </w:pPr>
            <w:r>
              <w:rPr>
                <w:color w:val="auto"/>
                <w:sz w:val="24"/>
              </w:rPr>
              <w:t>环保投资（万元）</w:t>
            </w:r>
          </w:p>
        </w:tc>
        <w:tc>
          <w:tcPr>
            <w:tcW w:w="3736" w:type="dxa"/>
            <w:vAlign w:val="center"/>
          </w:tcPr>
          <w:p>
            <w:pPr>
              <w:shd w:val="clear"/>
              <w:adjustRightInd w:val="0"/>
              <w:snapToGrid w:val="0"/>
              <w:jc w:val="center"/>
              <w:rPr>
                <w:rFonts w:hint="default" w:eastAsia="宋体"/>
                <w:color w:val="auto"/>
                <w:sz w:val="24"/>
                <w:lang w:val="en-US" w:eastAsia="zh-CN"/>
              </w:rPr>
            </w:pPr>
            <w:r>
              <w:rPr>
                <w:rFonts w:hint="eastAsia"/>
                <w:color w:val="auto"/>
                <w:sz w:val="24"/>
                <w:lang w:val="en-US" w:eastAsia="zh-CN"/>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1" w:type="dxa"/>
            <w:tcMar>
              <w:top w:w="16" w:type="dxa"/>
              <w:left w:w="16" w:type="dxa"/>
              <w:right w:w="16" w:type="dxa"/>
            </w:tcMar>
            <w:vAlign w:val="center"/>
          </w:tcPr>
          <w:p>
            <w:pPr>
              <w:shd w:val="clear"/>
              <w:adjustRightInd w:val="0"/>
              <w:snapToGrid w:val="0"/>
              <w:jc w:val="center"/>
              <w:rPr>
                <w:color w:val="auto"/>
                <w:sz w:val="24"/>
              </w:rPr>
            </w:pPr>
            <w:r>
              <w:rPr>
                <w:color w:val="auto"/>
                <w:sz w:val="24"/>
              </w:rPr>
              <w:t>环保投资占比（%）</w:t>
            </w:r>
          </w:p>
        </w:tc>
        <w:tc>
          <w:tcPr>
            <w:tcW w:w="1876" w:type="dxa"/>
            <w:vAlign w:val="center"/>
          </w:tcPr>
          <w:p>
            <w:pPr>
              <w:shd w:val="clear"/>
              <w:adjustRightInd w:val="0"/>
              <w:snapToGrid w:val="0"/>
              <w:jc w:val="center"/>
              <w:rPr>
                <w:rFonts w:hint="default" w:eastAsia="宋体"/>
                <w:color w:val="auto"/>
                <w:sz w:val="24"/>
                <w:lang w:val="en-US" w:eastAsia="zh-CN"/>
              </w:rPr>
            </w:pPr>
            <w:r>
              <w:rPr>
                <w:rFonts w:hint="eastAsia"/>
                <w:color w:val="auto"/>
                <w:sz w:val="24"/>
                <w:lang w:val="en-US" w:eastAsia="zh-CN"/>
              </w:rPr>
              <w:t>6.67</w:t>
            </w:r>
          </w:p>
        </w:tc>
        <w:tc>
          <w:tcPr>
            <w:tcW w:w="1577" w:type="dxa"/>
            <w:tcMar>
              <w:top w:w="16" w:type="dxa"/>
              <w:left w:w="16" w:type="dxa"/>
              <w:right w:w="16" w:type="dxa"/>
            </w:tcMar>
            <w:vAlign w:val="center"/>
          </w:tcPr>
          <w:p>
            <w:pPr>
              <w:shd w:val="clear"/>
              <w:adjustRightInd w:val="0"/>
              <w:snapToGrid w:val="0"/>
              <w:jc w:val="center"/>
              <w:rPr>
                <w:color w:val="auto"/>
                <w:sz w:val="24"/>
              </w:rPr>
            </w:pPr>
            <w:r>
              <w:rPr>
                <w:color w:val="auto"/>
                <w:sz w:val="24"/>
              </w:rPr>
              <w:t>施工工期</w:t>
            </w:r>
          </w:p>
        </w:tc>
        <w:tc>
          <w:tcPr>
            <w:tcW w:w="3736" w:type="dxa"/>
            <w:vAlign w:val="center"/>
          </w:tcPr>
          <w:p>
            <w:pPr>
              <w:shd w:val="clear"/>
              <w:adjustRightInd w:val="0"/>
              <w:snapToGrid w:val="0"/>
              <w:jc w:val="center"/>
              <w:rPr>
                <w:color w:val="auto"/>
                <w:sz w:val="24"/>
              </w:rPr>
            </w:pPr>
            <w:r>
              <w:rPr>
                <w:rFonts w:hint="eastAsia"/>
                <w:color w:val="auto"/>
                <w:sz w:val="24"/>
              </w:rPr>
              <w:t>2</w:t>
            </w:r>
            <w:r>
              <w:rPr>
                <w:color w:val="auto"/>
                <w:sz w:val="24"/>
              </w:rPr>
              <w:t>02</w:t>
            </w:r>
            <w:r>
              <w:rPr>
                <w:rFonts w:hint="eastAsia"/>
                <w:color w:val="auto"/>
                <w:sz w:val="24"/>
                <w:lang w:val="en-US" w:eastAsia="zh-CN"/>
              </w:rPr>
              <w:t>4</w:t>
            </w:r>
            <w:r>
              <w:rPr>
                <w:rFonts w:hint="eastAsia"/>
                <w:color w:val="auto"/>
                <w:sz w:val="24"/>
              </w:rPr>
              <w:t>年</w:t>
            </w:r>
            <w:r>
              <w:rPr>
                <w:rFonts w:hint="eastAsia"/>
                <w:color w:val="auto"/>
                <w:sz w:val="24"/>
                <w:lang w:val="en-US" w:eastAsia="zh-CN"/>
              </w:rPr>
              <w:t>3</w:t>
            </w:r>
            <w:r>
              <w:rPr>
                <w:rFonts w:hint="eastAsia"/>
                <w:color w:val="auto"/>
                <w:sz w:val="24"/>
              </w:rPr>
              <w:t>月-</w:t>
            </w:r>
            <w:r>
              <w:rPr>
                <w:rFonts w:hint="eastAsia"/>
                <w:color w:val="auto"/>
                <w:sz w:val="24"/>
                <w:lang w:val="en-US" w:eastAsia="zh-CN"/>
              </w:rPr>
              <w:t>2024年5</w:t>
            </w:r>
            <w:r>
              <w:rPr>
                <w:rFonts w:hint="eastAsia"/>
                <w:color w:val="auto"/>
                <w:sz w:val="24"/>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1" w:type="dxa"/>
            <w:tcMar>
              <w:top w:w="16" w:type="dxa"/>
              <w:left w:w="16" w:type="dxa"/>
              <w:right w:w="16" w:type="dxa"/>
            </w:tcMar>
            <w:vAlign w:val="center"/>
          </w:tcPr>
          <w:p>
            <w:pPr>
              <w:shd w:val="clear"/>
              <w:adjustRightInd w:val="0"/>
              <w:snapToGrid w:val="0"/>
              <w:jc w:val="center"/>
              <w:rPr>
                <w:color w:val="auto"/>
                <w:sz w:val="24"/>
              </w:rPr>
            </w:pPr>
            <w:r>
              <w:rPr>
                <w:color w:val="auto"/>
                <w:sz w:val="24"/>
              </w:rPr>
              <w:t>是否开工建设</w:t>
            </w:r>
          </w:p>
        </w:tc>
        <w:tc>
          <w:tcPr>
            <w:tcW w:w="1876" w:type="dxa"/>
            <w:vAlign w:val="center"/>
          </w:tcPr>
          <w:p>
            <w:pPr>
              <w:shd w:val="clear"/>
              <w:adjustRightInd w:val="0"/>
              <w:snapToGrid w:val="0"/>
              <w:rPr>
                <w:color w:val="auto"/>
                <w:sz w:val="24"/>
              </w:rPr>
            </w:pPr>
            <w:r>
              <w:rPr>
                <w:color w:val="auto"/>
                <w:sz w:val="24"/>
              </w:rPr>
              <w:sym w:font="Wingdings 2" w:char="0052"/>
            </w:r>
            <w:r>
              <w:rPr>
                <w:color w:val="auto"/>
                <w:sz w:val="24"/>
              </w:rPr>
              <w:t>否</w:t>
            </w:r>
          </w:p>
          <w:p>
            <w:pPr>
              <w:shd w:val="clear"/>
              <w:adjustRightInd w:val="0"/>
              <w:snapToGrid w:val="0"/>
              <w:jc w:val="left"/>
              <w:rPr>
                <w:color w:val="auto"/>
                <w:sz w:val="24"/>
              </w:rPr>
            </w:pPr>
            <w:r>
              <w:rPr>
                <w:color w:val="auto"/>
                <w:sz w:val="24"/>
              </w:rPr>
              <w:sym w:font="Wingdings 2" w:char="00A3"/>
            </w:r>
            <w:r>
              <w:rPr>
                <w:color w:val="auto"/>
                <w:sz w:val="24"/>
              </w:rPr>
              <w:t>是</w:t>
            </w:r>
          </w:p>
        </w:tc>
        <w:tc>
          <w:tcPr>
            <w:tcW w:w="1577" w:type="dxa"/>
            <w:tcMar>
              <w:top w:w="16" w:type="dxa"/>
              <w:left w:w="16" w:type="dxa"/>
              <w:right w:w="16" w:type="dxa"/>
            </w:tcMar>
            <w:vAlign w:val="center"/>
          </w:tcPr>
          <w:p>
            <w:pPr>
              <w:shd w:val="clear"/>
              <w:adjustRightInd w:val="0"/>
              <w:snapToGrid w:val="0"/>
              <w:jc w:val="center"/>
              <w:rPr>
                <w:color w:val="auto"/>
                <w:spacing w:val="-6"/>
                <w:sz w:val="24"/>
              </w:rPr>
            </w:pPr>
            <w:r>
              <w:rPr>
                <w:color w:val="auto"/>
                <w:spacing w:val="-6"/>
                <w:sz w:val="24"/>
              </w:rPr>
              <w:t>用地（用海）</w:t>
            </w:r>
          </w:p>
          <w:p>
            <w:pPr>
              <w:shd w:val="clear"/>
              <w:adjustRightInd w:val="0"/>
              <w:snapToGrid w:val="0"/>
              <w:jc w:val="center"/>
              <w:rPr>
                <w:color w:val="auto"/>
                <w:sz w:val="24"/>
              </w:rPr>
            </w:pPr>
            <w:r>
              <w:rPr>
                <w:color w:val="auto"/>
                <w:spacing w:val="-6"/>
                <w:sz w:val="24"/>
              </w:rPr>
              <w:t>面积（m</w:t>
            </w:r>
            <w:r>
              <w:rPr>
                <w:color w:val="auto"/>
                <w:spacing w:val="-6"/>
                <w:sz w:val="24"/>
                <w:vertAlign w:val="superscript"/>
              </w:rPr>
              <w:t>2</w:t>
            </w:r>
            <w:r>
              <w:rPr>
                <w:color w:val="auto"/>
                <w:spacing w:val="-6"/>
                <w:sz w:val="24"/>
              </w:rPr>
              <w:t>）</w:t>
            </w:r>
          </w:p>
        </w:tc>
        <w:tc>
          <w:tcPr>
            <w:tcW w:w="3736" w:type="dxa"/>
            <w:vAlign w:val="center"/>
          </w:tcPr>
          <w:p>
            <w:pPr>
              <w:shd w:val="clear"/>
              <w:adjustRightInd w:val="0"/>
              <w:snapToGrid w:val="0"/>
              <w:jc w:val="center"/>
              <w:rPr>
                <w:rFonts w:hint="eastAsia" w:eastAsia="宋体"/>
                <w:color w:val="auto"/>
                <w:sz w:val="24"/>
                <w:lang w:eastAsia="zh-CN"/>
              </w:rPr>
            </w:pPr>
            <w:r>
              <w:rPr>
                <w:rFonts w:hint="eastAsia" w:ascii="Times New Roman" w:hAnsi="Times New Roman" w:eastAsia="宋体" w:cs="Times New Roman"/>
                <w:color w:val="auto"/>
                <w:sz w:val="24"/>
                <w:lang w:val="en-US" w:eastAsia="zh-CN"/>
              </w:rPr>
              <w:t>8487.58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81" w:type="dxa"/>
            <w:vAlign w:val="center"/>
          </w:tcPr>
          <w:p>
            <w:pPr>
              <w:shd w:val="clear"/>
              <w:autoSpaceDE w:val="0"/>
              <w:autoSpaceDN w:val="0"/>
              <w:adjustRightInd w:val="0"/>
              <w:snapToGrid w:val="0"/>
              <w:jc w:val="center"/>
              <w:rPr>
                <w:color w:val="auto"/>
                <w:kern w:val="0"/>
                <w:sz w:val="24"/>
              </w:rPr>
            </w:pPr>
            <w:r>
              <w:rPr>
                <w:color w:val="auto"/>
                <w:kern w:val="0"/>
                <w:sz w:val="24"/>
              </w:rPr>
              <w:t>专项评价设置情况</w:t>
            </w:r>
          </w:p>
        </w:tc>
        <w:tc>
          <w:tcPr>
            <w:tcW w:w="7189" w:type="dxa"/>
            <w:gridSpan w:val="3"/>
            <w:vAlign w:val="center"/>
          </w:tcPr>
          <w:p>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0" w:firstLineChars="200"/>
              <w:textAlignment w:val="auto"/>
              <w:rPr>
                <w:rFonts w:hint="default"/>
                <w:color w:val="auto"/>
                <w:kern w:val="0"/>
                <w:sz w:val="24"/>
                <w:szCs w:val="24"/>
                <w:highlight w:val="none"/>
              </w:rPr>
            </w:pPr>
            <w:r>
              <w:rPr>
                <w:rFonts w:hint="default"/>
                <w:color w:val="auto"/>
                <w:kern w:val="0"/>
                <w:sz w:val="24"/>
                <w:szCs w:val="24"/>
                <w:highlight w:val="none"/>
              </w:rPr>
              <w:t>根据《有毒有害大气污染物名录（2018年）》和《建设项目环境影响报告表编制技术指南（污染影响类）（试行）》中表1专项评价设置原则表的要求，分析本项目专项评价设置情况：</w:t>
            </w:r>
          </w:p>
          <w:p>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0" w:firstLineChars="200"/>
              <w:textAlignment w:val="auto"/>
              <w:rPr>
                <w:rFonts w:hint="default"/>
                <w:color w:val="auto"/>
                <w:kern w:val="0"/>
                <w:sz w:val="24"/>
                <w:szCs w:val="24"/>
                <w:highlight w:val="none"/>
              </w:rPr>
            </w:pPr>
            <w:r>
              <w:rPr>
                <w:rFonts w:hint="default"/>
                <w:color w:val="0000FF"/>
                <w:kern w:val="0"/>
                <w:sz w:val="24"/>
                <w:szCs w:val="24"/>
                <w:highlight w:val="none"/>
              </w:rPr>
              <w:t>①大气：本项目</w:t>
            </w:r>
            <w:r>
              <w:rPr>
                <w:rFonts w:hint="eastAsia"/>
                <w:color w:val="0000FF"/>
                <w:kern w:val="0"/>
                <w:sz w:val="24"/>
                <w:szCs w:val="24"/>
                <w:highlight w:val="none"/>
                <w:lang w:eastAsia="zh-CN"/>
              </w:rPr>
              <w:t>设</w:t>
            </w:r>
            <w:r>
              <w:rPr>
                <w:rFonts w:hint="eastAsia"/>
                <w:color w:val="0000FF"/>
                <w:kern w:val="0"/>
                <w:sz w:val="24"/>
                <w:szCs w:val="24"/>
                <w:highlight w:val="none"/>
                <w:lang w:val="en-US" w:eastAsia="zh-CN"/>
              </w:rPr>
              <w:t>1</w:t>
            </w:r>
            <w:r>
              <w:rPr>
                <w:rFonts w:hint="eastAsia"/>
                <w:color w:val="0000FF"/>
                <w:kern w:val="0"/>
                <w:sz w:val="24"/>
                <w:szCs w:val="24"/>
                <w:highlight w:val="none"/>
                <w:lang w:eastAsia="zh-CN"/>
              </w:rPr>
              <w:t>台</w:t>
            </w:r>
            <w:r>
              <w:rPr>
                <w:rFonts w:hint="eastAsia"/>
                <w:color w:val="0000FF"/>
                <w:kern w:val="0"/>
                <w:sz w:val="24"/>
                <w:szCs w:val="24"/>
                <w:highlight w:val="none"/>
                <w:lang w:val="en-US" w:eastAsia="zh-CN"/>
              </w:rPr>
              <w:t>4t/h</w:t>
            </w:r>
            <w:r>
              <w:rPr>
                <w:rFonts w:hint="eastAsia"/>
                <w:color w:val="0000FF"/>
                <w:kern w:val="0"/>
                <w:sz w:val="24"/>
                <w:szCs w:val="24"/>
                <w:highlight w:val="none"/>
                <w:lang w:eastAsia="zh-CN"/>
              </w:rPr>
              <w:t>燃生物质</w:t>
            </w:r>
            <w:r>
              <w:rPr>
                <w:rFonts w:hint="eastAsia"/>
                <w:color w:val="0000FF"/>
                <w:kern w:val="0"/>
                <w:sz w:val="24"/>
                <w:szCs w:val="24"/>
                <w:highlight w:val="none"/>
                <w:lang w:val="en-US" w:eastAsia="zh-CN"/>
              </w:rPr>
              <w:t>蒸汽锅炉</w:t>
            </w:r>
            <w:r>
              <w:rPr>
                <w:rFonts w:hint="eastAsia"/>
                <w:color w:val="0000FF"/>
                <w:kern w:val="0"/>
                <w:sz w:val="24"/>
                <w:szCs w:val="24"/>
                <w:highlight w:val="none"/>
                <w:lang w:eastAsia="zh-CN"/>
              </w:rPr>
              <w:t>，用于提供项目生产用蒸汽。黑龙江省生物质燃料含汞极低，成型颗粒燃料基本未检出，本项目锅炉燃料为成型颗粒物生物质，不按含汞燃料管控，废气污染物</w:t>
            </w:r>
            <w:r>
              <w:rPr>
                <w:rFonts w:hint="default"/>
                <w:color w:val="0000FF"/>
                <w:kern w:val="0"/>
                <w:sz w:val="24"/>
                <w:szCs w:val="24"/>
                <w:highlight w:val="none"/>
              </w:rPr>
              <w:t>不包括《有毒有害大气污染物名录（2018年）》中的有毒有害污染物、二噁英、苯并[α]芘、氰化物、氯气</w:t>
            </w:r>
            <w:r>
              <w:rPr>
                <w:rFonts w:hint="eastAsia"/>
                <w:color w:val="0000FF"/>
                <w:kern w:val="0"/>
                <w:sz w:val="24"/>
                <w:szCs w:val="24"/>
                <w:highlight w:val="none"/>
                <w:lang w:eastAsia="zh-CN"/>
              </w:rPr>
              <w:t>。因此，</w:t>
            </w:r>
            <w:r>
              <w:rPr>
                <w:rFonts w:hint="default"/>
                <w:color w:val="0000FF"/>
                <w:kern w:val="0"/>
                <w:sz w:val="24"/>
                <w:szCs w:val="24"/>
                <w:highlight w:val="none"/>
              </w:rPr>
              <w:t>本项目不设置大气环境影响专项评价篇章。</w:t>
            </w:r>
          </w:p>
          <w:p>
            <w:pPr>
              <w:pStyle w:val="97"/>
              <w:keepNext w:val="0"/>
              <w:keepLines w:val="0"/>
              <w:pageBreakBefore w:val="0"/>
              <w:widowControl w:val="0"/>
              <w:shd w:val="clear"/>
              <w:kinsoku/>
              <w:wordWrap/>
              <w:overflowPunct/>
              <w:topLinePunct w:val="0"/>
              <w:autoSpaceDE/>
              <w:autoSpaceDN/>
              <w:bidi w:val="0"/>
              <w:adjustRightInd/>
              <w:snapToGrid/>
              <w:spacing w:line="480" w:lineRule="exact"/>
              <w:ind w:firstLine="420" w:firstLineChars="200"/>
              <w:textAlignment w:val="auto"/>
              <w:rPr>
                <w:rFonts w:hint="default"/>
                <w:color w:val="auto"/>
                <w:kern w:val="0"/>
                <w:sz w:val="24"/>
                <w:szCs w:val="24"/>
                <w:highlight w:val="none"/>
              </w:rPr>
            </w:pPr>
            <w:r>
              <w:rPr>
                <w:rFonts w:hint="default" w:ascii="Times New Roman" w:hAnsi="Times New Roman"/>
                <w:color w:val="auto"/>
                <w:kern w:val="0"/>
                <w:sz w:val="21"/>
                <w:szCs w:val="21"/>
                <w:highlight w:val="none"/>
              </w:rPr>
              <w:t>②</w:t>
            </w:r>
            <w:r>
              <w:rPr>
                <w:rFonts w:hint="default" w:ascii="Times New Roman" w:hAnsi="Times New Roman"/>
                <w:color w:val="auto"/>
                <w:kern w:val="0"/>
                <w:sz w:val="24"/>
                <w:szCs w:val="24"/>
                <w:highlight w:val="none"/>
              </w:rPr>
              <w:t>地表水：本项目生活污水排入防渗</w:t>
            </w:r>
            <w:r>
              <w:rPr>
                <w:rFonts w:hint="eastAsia" w:ascii="Times New Roman" w:hAnsi="Times New Roman"/>
                <w:color w:val="auto"/>
                <w:kern w:val="0"/>
                <w:sz w:val="24"/>
                <w:szCs w:val="24"/>
                <w:highlight w:val="none"/>
                <w:lang w:val="en-US" w:eastAsia="zh-CN"/>
              </w:rPr>
              <w:t>化粪池</w:t>
            </w:r>
            <w:r>
              <w:rPr>
                <w:rFonts w:hint="default" w:ascii="Times New Roman" w:hAnsi="Times New Roman"/>
                <w:color w:val="auto"/>
                <w:kern w:val="0"/>
                <w:sz w:val="24"/>
                <w:szCs w:val="24"/>
                <w:highlight w:val="none"/>
              </w:rPr>
              <w:t>，定期清掏</w:t>
            </w:r>
            <w:r>
              <w:rPr>
                <w:rFonts w:hint="eastAsia" w:ascii="Times New Roman" w:hAnsi="Times New Roman"/>
                <w:color w:val="auto"/>
                <w:kern w:val="0"/>
                <w:sz w:val="24"/>
                <w:szCs w:val="24"/>
                <w:highlight w:val="none"/>
                <w:lang w:eastAsia="zh-CN"/>
              </w:rPr>
              <w:t>，</w:t>
            </w:r>
            <w:r>
              <w:rPr>
                <w:rFonts w:hint="default" w:ascii="Times New Roman" w:hAnsi="Times New Roman"/>
                <w:color w:val="auto"/>
                <w:kern w:val="0"/>
                <w:sz w:val="24"/>
                <w:szCs w:val="24"/>
                <w:highlight w:val="none"/>
              </w:rPr>
              <w:t>生产废水（</w:t>
            </w:r>
            <w:r>
              <w:rPr>
                <w:rFonts w:ascii="Times New Roman" w:hAnsi="Times New Roman" w:eastAsia="宋体" w:cs="Times New Roman"/>
                <w:bCs/>
                <w:color w:val="auto"/>
                <w:kern w:val="0"/>
                <w:sz w:val="24"/>
              </w:rPr>
              <w:t>车间地面冲洗废水、</w:t>
            </w:r>
            <w:r>
              <w:rPr>
                <w:rFonts w:hint="eastAsia" w:ascii="Times New Roman" w:hAnsi="Times New Roman" w:eastAsia="宋体" w:cs="Times New Roman"/>
                <w:bCs/>
                <w:color w:val="auto"/>
                <w:kern w:val="0"/>
                <w:sz w:val="24"/>
                <w:lang w:val="en-US" w:eastAsia="zh-CN"/>
              </w:rPr>
              <w:t>清洗废水、</w:t>
            </w:r>
            <w:r>
              <w:rPr>
                <w:rFonts w:ascii="Times New Roman" w:hAnsi="Times New Roman" w:eastAsia="宋体" w:cs="Times New Roman"/>
                <w:bCs/>
                <w:color w:val="auto"/>
                <w:kern w:val="0"/>
                <w:sz w:val="24"/>
              </w:rPr>
              <w:t>锅炉排污水及软化废水</w:t>
            </w:r>
            <w:r>
              <w:rPr>
                <w:rFonts w:hint="eastAsia" w:ascii="Times New Roman" w:hAnsi="Times New Roman" w:cs="Times New Roman"/>
                <w:bCs/>
                <w:color w:val="auto"/>
                <w:kern w:val="0"/>
                <w:sz w:val="24"/>
                <w:lang w:eastAsia="zh-CN"/>
              </w:rPr>
              <w:t>、</w:t>
            </w:r>
            <w:r>
              <w:rPr>
                <w:rFonts w:hint="eastAsia" w:ascii="Times New Roman" w:hAnsi="Times New Roman" w:cs="Times New Roman"/>
                <w:bCs/>
                <w:color w:val="auto"/>
                <w:kern w:val="0"/>
                <w:sz w:val="24"/>
                <w:lang w:val="en-US" w:eastAsia="zh-CN"/>
              </w:rPr>
              <w:t>高温杀菌废水</w:t>
            </w:r>
            <w:r>
              <w:rPr>
                <w:rFonts w:hint="default" w:ascii="Times New Roman" w:hAnsi="Times New Roman"/>
                <w:color w:val="auto"/>
                <w:kern w:val="0"/>
                <w:sz w:val="24"/>
                <w:szCs w:val="24"/>
                <w:highlight w:val="none"/>
              </w:rPr>
              <w:t>）暂存于</w:t>
            </w:r>
            <w:r>
              <w:rPr>
                <w:rFonts w:hint="eastAsia" w:ascii="Times New Roman" w:hAnsi="Times New Roman"/>
                <w:color w:val="auto"/>
                <w:kern w:val="0"/>
                <w:sz w:val="24"/>
                <w:szCs w:val="24"/>
                <w:highlight w:val="none"/>
                <w:lang w:val="en-US" w:eastAsia="zh-CN"/>
              </w:rPr>
              <w:t>60</w:t>
            </w:r>
            <w:r>
              <w:rPr>
                <w:rFonts w:hint="default" w:ascii="Times New Roman" w:hAnsi="Times New Roman"/>
                <w:color w:val="auto"/>
                <w:kern w:val="0"/>
                <w:sz w:val="24"/>
                <w:szCs w:val="24"/>
                <w:highlight w:val="none"/>
              </w:rPr>
              <w:t>m</w:t>
            </w:r>
            <w:r>
              <w:rPr>
                <w:rFonts w:hint="default" w:ascii="Times New Roman" w:hAnsi="Times New Roman"/>
                <w:color w:val="auto"/>
                <w:kern w:val="0"/>
                <w:sz w:val="24"/>
                <w:szCs w:val="24"/>
                <w:highlight w:val="none"/>
                <w:vertAlign w:val="superscript"/>
              </w:rPr>
              <w:t>3</w:t>
            </w:r>
            <w:r>
              <w:rPr>
                <w:rFonts w:hint="default" w:ascii="Times New Roman" w:hAnsi="Times New Roman"/>
                <w:color w:val="auto"/>
                <w:kern w:val="0"/>
                <w:sz w:val="24"/>
                <w:szCs w:val="24"/>
                <w:highlight w:val="none"/>
              </w:rPr>
              <w:t>的密闭储罐内</w:t>
            </w:r>
            <w:r>
              <w:rPr>
                <w:rFonts w:hint="eastAsia" w:ascii="Times New Roman" w:hAnsi="Times New Roman"/>
                <w:color w:val="auto"/>
                <w:kern w:val="0"/>
                <w:sz w:val="24"/>
                <w:szCs w:val="24"/>
                <w:highlight w:val="none"/>
                <w:lang w:eastAsia="zh-CN"/>
              </w:rPr>
              <w:t>，</w:t>
            </w:r>
            <w:r>
              <w:rPr>
                <w:bCs/>
                <w:color w:val="auto"/>
                <w:kern w:val="0"/>
                <w:sz w:val="24"/>
                <w:shd w:val="clear"/>
              </w:rPr>
              <w:t>每天由专用罐车拉运至海伦市污</w:t>
            </w:r>
            <w:r>
              <w:rPr>
                <w:bCs/>
                <w:color w:val="auto"/>
                <w:kern w:val="0"/>
                <w:sz w:val="24"/>
              </w:rPr>
              <w:t>水处理厂处理，日产日清</w:t>
            </w:r>
            <w:r>
              <w:rPr>
                <w:rFonts w:hint="eastAsia" w:ascii="Times New Roman" w:hAnsi="Times New Roman"/>
                <w:color w:val="auto"/>
                <w:kern w:val="0"/>
                <w:sz w:val="24"/>
                <w:szCs w:val="24"/>
                <w:highlight w:val="none"/>
                <w:lang w:eastAsia="zh-CN"/>
              </w:rPr>
              <w:t>。</w:t>
            </w:r>
            <w:r>
              <w:rPr>
                <w:rFonts w:hint="default" w:ascii="Times New Roman" w:hAnsi="Times New Roman"/>
                <w:color w:val="auto"/>
                <w:kern w:val="0"/>
                <w:sz w:val="24"/>
                <w:szCs w:val="24"/>
                <w:highlight w:val="none"/>
              </w:rPr>
              <w:t>废水排放方式为间接排放。本项目不属于“新增工业废水直排建设项目和新增废水直排的污水集中处理厂”，因此本项目不设地表水环境影响专项评价篇章</w:t>
            </w:r>
            <w:r>
              <w:rPr>
                <w:rFonts w:hint="default"/>
                <w:color w:val="auto"/>
                <w:kern w:val="0"/>
                <w:sz w:val="24"/>
                <w:szCs w:val="24"/>
                <w:highlight w:val="none"/>
              </w:rPr>
              <w:t>。</w:t>
            </w:r>
          </w:p>
          <w:p>
            <w:pPr>
              <w:pStyle w:val="97"/>
              <w:keepNext w:val="0"/>
              <w:keepLines w:val="0"/>
              <w:pageBreakBefore w:val="0"/>
              <w:widowControl w:val="0"/>
              <w:shd w:val="clear"/>
              <w:kinsoku/>
              <w:wordWrap/>
              <w:overflowPunct/>
              <w:topLinePunct w:val="0"/>
              <w:autoSpaceDE/>
              <w:autoSpaceDN/>
              <w:bidi w:val="0"/>
              <w:adjustRightInd/>
              <w:snapToGrid/>
              <w:spacing w:line="480" w:lineRule="exact"/>
              <w:ind w:firstLine="480" w:firstLineChars="200"/>
              <w:textAlignment w:val="auto"/>
              <w:rPr>
                <w:rFonts w:hint="eastAsia" w:ascii="Times New Roman" w:hAnsi="Times New Roman"/>
                <w:color w:val="auto"/>
                <w:kern w:val="0"/>
                <w:sz w:val="24"/>
                <w:szCs w:val="24"/>
                <w:highlight w:val="none"/>
                <w:lang w:eastAsia="zh-CN"/>
              </w:rPr>
            </w:pPr>
            <w:r>
              <w:rPr>
                <w:rFonts w:hint="eastAsia"/>
                <w:color w:val="auto"/>
                <w:kern w:val="0"/>
                <w:sz w:val="24"/>
                <w:szCs w:val="24"/>
                <w:highlight w:val="none"/>
                <w:lang w:eastAsia="zh-CN"/>
              </w:rPr>
              <w:t>③地下水：</w:t>
            </w:r>
            <w:r>
              <w:rPr>
                <w:rFonts w:hint="eastAsia"/>
                <w:bCs/>
                <w:snapToGrid w:val="0"/>
                <w:color w:val="auto"/>
                <w:sz w:val="24"/>
                <w:highlight w:val="none"/>
              </w:rPr>
              <w:t>本项目属于</w:t>
            </w:r>
            <w:r>
              <w:rPr>
                <w:rFonts w:hint="default" w:ascii="Times New Roman" w:hAnsi="Times New Roman" w:cs="Times New Roman"/>
                <w:b w:val="0"/>
                <w:bCs w:val="0"/>
                <w:snapToGrid w:val="0"/>
                <w:color w:val="auto"/>
                <w:kern w:val="2"/>
                <w:sz w:val="24"/>
                <w:szCs w:val="24"/>
                <w:highlight w:val="none"/>
                <w:lang w:val="en-US" w:eastAsia="zh-CN" w:bidi="ar-SA"/>
              </w:rPr>
              <w:t>鲜食玉米加工</w:t>
            </w:r>
            <w:r>
              <w:rPr>
                <w:rFonts w:hint="eastAsia"/>
                <w:bCs/>
                <w:snapToGrid w:val="0"/>
                <w:color w:val="auto"/>
                <w:sz w:val="24"/>
                <w:highlight w:val="none"/>
              </w:rPr>
              <w:t>项目，</w:t>
            </w:r>
            <w:r>
              <w:rPr>
                <w:rFonts w:hint="eastAsia"/>
                <w:color w:val="auto"/>
                <w:kern w:val="0"/>
                <w:sz w:val="24"/>
                <w:szCs w:val="24"/>
                <w:highlight w:val="none"/>
                <w:lang w:eastAsia="zh-CN"/>
              </w:rPr>
              <w:t>不存在地下水的污染</w:t>
            </w:r>
            <w:r>
              <w:rPr>
                <w:rFonts w:hint="eastAsia" w:ascii="Times New Roman" w:hAnsi="Times New Roman"/>
                <w:color w:val="auto"/>
                <w:kern w:val="0"/>
                <w:sz w:val="24"/>
                <w:szCs w:val="24"/>
                <w:highlight w:val="none"/>
                <w:lang w:eastAsia="zh-CN"/>
              </w:rPr>
              <w:t>途径，因此本项目不设地下水环境影响专项评价篇章。</w:t>
            </w:r>
          </w:p>
          <w:p>
            <w:pPr>
              <w:pStyle w:val="97"/>
              <w:keepNext w:val="0"/>
              <w:keepLines w:val="0"/>
              <w:pageBreakBefore w:val="0"/>
              <w:widowControl w:val="0"/>
              <w:shd w:val="clear"/>
              <w:kinsoku/>
              <w:wordWrap/>
              <w:overflowPunct/>
              <w:topLinePunct w:val="0"/>
              <w:autoSpaceDE/>
              <w:autoSpaceDN/>
              <w:bidi w:val="0"/>
              <w:adjustRightInd/>
              <w:snapToGrid/>
              <w:spacing w:line="480" w:lineRule="exact"/>
              <w:ind w:firstLine="480" w:firstLineChars="200"/>
              <w:textAlignment w:val="auto"/>
              <w:rPr>
                <w:rFonts w:hint="eastAsia" w:ascii="Times New Roman" w:hAnsi="Times New Roman"/>
                <w:color w:val="auto"/>
                <w:kern w:val="0"/>
                <w:sz w:val="24"/>
                <w:szCs w:val="24"/>
                <w:highlight w:val="none"/>
                <w:lang w:eastAsia="zh-CN"/>
              </w:rPr>
            </w:pPr>
            <w:r>
              <w:rPr>
                <w:rFonts w:hint="eastAsia" w:ascii="Times New Roman" w:hAnsi="Times New Roman"/>
                <w:color w:val="auto"/>
                <w:kern w:val="0"/>
                <w:sz w:val="24"/>
                <w:szCs w:val="24"/>
                <w:highlight w:val="none"/>
                <w:lang w:eastAsia="zh-CN"/>
              </w:rPr>
              <w:t>④环境风险：本项目</w:t>
            </w:r>
            <w:r>
              <w:rPr>
                <w:rFonts w:hint="eastAsia" w:ascii="Times New Roman" w:hAnsi="Times New Roman"/>
                <w:color w:val="auto"/>
                <w:kern w:val="0"/>
                <w:sz w:val="24"/>
                <w:szCs w:val="24"/>
                <w:highlight w:val="none"/>
                <w:lang w:val="en-US" w:eastAsia="zh-CN"/>
              </w:rPr>
              <w:t>生产过程、</w:t>
            </w:r>
            <w:r>
              <w:rPr>
                <w:rFonts w:hint="eastAsia" w:ascii="Times New Roman" w:hAnsi="Times New Roman"/>
                <w:color w:val="auto"/>
                <w:kern w:val="0"/>
                <w:sz w:val="24"/>
                <w:szCs w:val="24"/>
                <w:highlight w:val="none"/>
                <w:lang w:eastAsia="zh-CN"/>
              </w:rPr>
              <w:t>原辅材料、产品中</w:t>
            </w:r>
            <w:r>
              <w:rPr>
                <w:rFonts w:hint="eastAsia" w:ascii="Times New Roman" w:hAnsi="Times New Roman"/>
                <w:color w:val="auto"/>
                <w:kern w:val="0"/>
                <w:sz w:val="24"/>
                <w:szCs w:val="24"/>
                <w:highlight w:val="none"/>
                <w:lang w:val="en-US" w:eastAsia="zh-CN"/>
              </w:rPr>
              <w:t>不涉及</w:t>
            </w:r>
            <w:r>
              <w:rPr>
                <w:rFonts w:hint="eastAsia" w:ascii="Times New Roman" w:hAnsi="Times New Roman"/>
                <w:color w:val="auto"/>
                <w:kern w:val="0"/>
                <w:sz w:val="24"/>
                <w:szCs w:val="24"/>
                <w:highlight w:val="none"/>
                <w:lang w:eastAsia="zh-CN"/>
              </w:rPr>
              <w:t>《建设项目环境风险技术导则》中的风险物质，因此本项目不需要开展环境风险评价。</w:t>
            </w:r>
          </w:p>
          <w:p>
            <w:pPr>
              <w:pStyle w:val="97"/>
              <w:keepNext w:val="0"/>
              <w:keepLines w:val="0"/>
              <w:pageBreakBefore w:val="0"/>
              <w:widowControl w:val="0"/>
              <w:shd w:val="clear"/>
              <w:kinsoku/>
              <w:wordWrap/>
              <w:overflowPunct/>
              <w:topLinePunct w:val="0"/>
              <w:autoSpaceDE/>
              <w:autoSpaceDN/>
              <w:bidi w:val="0"/>
              <w:adjustRightInd/>
              <w:snapToGrid/>
              <w:spacing w:line="480" w:lineRule="exact"/>
              <w:ind w:firstLine="480" w:firstLineChars="200"/>
              <w:textAlignment w:val="auto"/>
              <w:rPr>
                <w:rFonts w:hint="eastAsia"/>
                <w:color w:val="auto"/>
                <w:kern w:val="0"/>
                <w:sz w:val="24"/>
                <w:szCs w:val="24"/>
                <w:highlight w:val="none"/>
                <w:lang w:eastAsia="zh-CN"/>
              </w:rPr>
            </w:pPr>
            <w:r>
              <w:rPr>
                <w:rFonts w:hint="eastAsia" w:ascii="Times New Roman" w:hAnsi="Times New Roman"/>
                <w:color w:val="auto"/>
                <w:kern w:val="0"/>
                <w:sz w:val="24"/>
                <w:szCs w:val="24"/>
                <w:highlight w:val="none"/>
                <w:lang w:eastAsia="zh-CN"/>
              </w:rPr>
              <w:t>⑤生态环境：本项目不涉及新增</w:t>
            </w:r>
            <w:r>
              <w:rPr>
                <w:rFonts w:hint="eastAsia"/>
                <w:color w:val="auto"/>
                <w:kern w:val="0"/>
                <w:sz w:val="24"/>
                <w:szCs w:val="24"/>
                <w:highlight w:val="none"/>
                <w:lang w:eastAsia="zh-CN"/>
              </w:rPr>
              <w:t>取水口和新增河道取水，因此本项目不设生态环境影响专项评价篇章。</w:t>
            </w:r>
          </w:p>
          <w:p>
            <w:pPr>
              <w:pStyle w:val="36"/>
              <w:keepNext w:val="0"/>
              <w:keepLines w:val="0"/>
              <w:pageBreakBefore w:val="0"/>
              <w:widowControl w:val="0"/>
              <w:shd w:val="clear"/>
              <w:tabs>
                <w:tab w:val="center" w:pos="4252"/>
                <w:tab w:val="left" w:pos="4440"/>
                <w:tab w:val="left" w:pos="7065"/>
              </w:tabs>
              <w:kinsoku/>
              <w:wordWrap/>
              <w:overflowPunct/>
              <w:topLinePunct w:val="0"/>
              <w:bidi w:val="0"/>
              <w:snapToGrid/>
              <w:spacing w:line="480" w:lineRule="exact"/>
              <w:ind w:left="0" w:leftChars="0"/>
              <w:textAlignment w:val="auto"/>
              <w:rPr>
                <w:rFonts w:hint="default" w:ascii="Times New Roman" w:eastAsia="宋体"/>
                <w:b/>
                <w:color w:val="auto"/>
                <w:sz w:val="21"/>
                <w:szCs w:val="21"/>
                <w:highlight w:val="none"/>
              </w:rPr>
            </w:pPr>
            <w:r>
              <w:rPr>
                <w:rFonts w:hint="default" w:ascii="Times New Roman" w:eastAsia="宋体"/>
                <w:b/>
                <w:color w:val="auto"/>
                <w:sz w:val="21"/>
                <w:szCs w:val="21"/>
                <w:highlight w:val="none"/>
              </w:rPr>
              <w:t>表1-1  本项目专项评价设置原则表</w:t>
            </w:r>
          </w:p>
          <w:tbl>
            <w:tblPr>
              <w:tblStyle w:val="27"/>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725"/>
              <w:gridCol w:w="424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955" w:type="pct"/>
                  <w:tcBorders>
                    <w:tl2br w:val="nil"/>
                    <w:tr2bl w:val="nil"/>
                  </w:tcBorders>
                  <w:noWrap w:val="0"/>
                  <w:vAlign w:val="center"/>
                </w:tcPr>
                <w:p>
                  <w:pPr>
                    <w:shd w:val="clear"/>
                    <w:autoSpaceDE w:val="0"/>
                    <w:autoSpaceDN w:val="0"/>
                    <w:adjustRightInd w:val="0"/>
                    <w:snapToGrid w:val="0"/>
                    <w:jc w:val="center"/>
                    <w:rPr>
                      <w:rFonts w:hint="default"/>
                      <w:color w:val="auto"/>
                      <w:szCs w:val="21"/>
                      <w:highlight w:val="none"/>
                    </w:rPr>
                  </w:pPr>
                  <w:r>
                    <w:rPr>
                      <w:rFonts w:hint="default"/>
                      <w:color w:val="auto"/>
                      <w:szCs w:val="21"/>
                      <w:highlight w:val="none"/>
                    </w:rPr>
                    <w:t>专项评价的类别</w:t>
                  </w:r>
                </w:p>
              </w:tc>
              <w:tc>
                <w:tcPr>
                  <w:tcW w:w="3044" w:type="pct"/>
                  <w:tcBorders>
                    <w:tl2br w:val="nil"/>
                    <w:tr2bl w:val="nil"/>
                  </w:tcBorders>
                  <w:noWrap w:val="0"/>
                  <w:vAlign w:val="center"/>
                </w:tcPr>
                <w:p>
                  <w:pPr>
                    <w:shd w:val="clear"/>
                    <w:autoSpaceDE w:val="0"/>
                    <w:autoSpaceDN w:val="0"/>
                    <w:adjustRightInd w:val="0"/>
                    <w:snapToGrid w:val="0"/>
                    <w:jc w:val="center"/>
                    <w:rPr>
                      <w:rFonts w:hint="default"/>
                      <w:color w:val="auto"/>
                      <w:szCs w:val="21"/>
                      <w:highlight w:val="none"/>
                    </w:rPr>
                  </w:pPr>
                  <w:r>
                    <w:rPr>
                      <w:rFonts w:hint="default"/>
                      <w:color w:val="auto"/>
                      <w:szCs w:val="21"/>
                      <w:highlight w:val="none"/>
                    </w:rPr>
                    <w:t>设置原则</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955" w:type="pct"/>
                  <w:tcBorders>
                    <w:tl2br w:val="nil"/>
                    <w:tr2bl w:val="nil"/>
                  </w:tcBorders>
                  <w:noWrap w:val="0"/>
                  <w:vAlign w:val="center"/>
                </w:tcPr>
                <w:p>
                  <w:pPr>
                    <w:shd w:val="clear"/>
                    <w:autoSpaceDE w:val="0"/>
                    <w:autoSpaceDN w:val="0"/>
                    <w:adjustRightInd w:val="0"/>
                    <w:snapToGrid w:val="0"/>
                    <w:jc w:val="center"/>
                    <w:rPr>
                      <w:rFonts w:hint="default"/>
                      <w:color w:val="auto"/>
                      <w:szCs w:val="21"/>
                      <w:highlight w:val="none"/>
                    </w:rPr>
                  </w:pPr>
                  <w:r>
                    <w:rPr>
                      <w:rFonts w:hint="default"/>
                      <w:color w:val="auto"/>
                      <w:szCs w:val="21"/>
                      <w:highlight w:val="none"/>
                    </w:rPr>
                    <w:t>大气</w:t>
                  </w:r>
                </w:p>
              </w:tc>
              <w:tc>
                <w:tcPr>
                  <w:tcW w:w="3044" w:type="pct"/>
                  <w:tcBorders>
                    <w:tl2br w:val="nil"/>
                    <w:tr2bl w:val="nil"/>
                  </w:tcBorders>
                  <w:noWrap w:val="0"/>
                  <w:vAlign w:val="center"/>
                </w:tcPr>
                <w:p>
                  <w:pPr>
                    <w:shd w:val="clear"/>
                    <w:autoSpaceDE w:val="0"/>
                    <w:autoSpaceDN w:val="0"/>
                    <w:adjustRightInd w:val="0"/>
                    <w:snapToGrid w:val="0"/>
                    <w:jc w:val="center"/>
                    <w:rPr>
                      <w:rFonts w:hint="default"/>
                      <w:color w:val="auto"/>
                      <w:szCs w:val="21"/>
                      <w:highlight w:val="none"/>
                    </w:rPr>
                  </w:pPr>
                  <w:r>
                    <w:rPr>
                      <w:rFonts w:hint="default"/>
                      <w:color w:val="auto"/>
                      <w:szCs w:val="21"/>
                      <w:highlight w:val="none"/>
                    </w:rPr>
                    <w:t>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955" w:type="pct"/>
                  <w:tcBorders>
                    <w:tl2br w:val="nil"/>
                    <w:tr2bl w:val="nil"/>
                  </w:tcBorders>
                  <w:noWrap w:val="0"/>
                  <w:vAlign w:val="center"/>
                </w:tcPr>
                <w:p>
                  <w:pPr>
                    <w:shd w:val="clear"/>
                    <w:autoSpaceDE w:val="0"/>
                    <w:autoSpaceDN w:val="0"/>
                    <w:adjustRightInd w:val="0"/>
                    <w:snapToGrid w:val="0"/>
                    <w:jc w:val="center"/>
                    <w:rPr>
                      <w:rFonts w:hint="default"/>
                      <w:color w:val="auto"/>
                      <w:szCs w:val="21"/>
                      <w:highlight w:val="none"/>
                    </w:rPr>
                  </w:pPr>
                  <w:r>
                    <w:rPr>
                      <w:rFonts w:hint="default"/>
                      <w:color w:val="auto"/>
                      <w:szCs w:val="21"/>
                      <w:highlight w:val="none"/>
                    </w:rPr>
                    <w:t>地表水</w:t>
                  </w:r>
                </w:p>
              </w:tc>
              <w:tc>
                <w:tcPr>
                  <w:tcW w:w="3044" w:type="pct"/>
                  <w:tcBorders>
                    <w:tl2br w:val="nil"/>
                    <w:tr2bl w:val="nil"/>
                  </w:tcBorders>
                  <w:noWrap w:val="0"/>
                  <w:vAlign w:val="center"/>
                </w:tcPr>
                <w:p>
                  <w:pPr>
                    <w:shd w:val="clear"/>
                    <w:autoSpaceDE w:val="0"/>
                    <w:autoSpaceDN w:val="0"/>
                    <w:adjustRightInd w:val="0"/>
                    <w:snapToGrid w:val="0"/>
                    <w:jc w:val="center"/>
                    <w:rPr>
                      <w:rFonts w:hint="default"/>
                      <w:color w:val="auto"/>
                      <w:szCs w:val="21"/>
                      <w:highlight w:val="none"/>
                    </w:rPr>
                  </w:pPr>
                  <w:r>
                    <w:rPr>
                      <w:rFonts w:hint="default"/>
                      <w:color w:val="auto"/>
                      <w:szCs w:val="21"/>
                      <w:highlight w:val="none"/>
                    </w:rPr>
                    <w:t>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955" w:type="pct"/>
                  <w:tcBorders>
                    <w:tl2br w:val="nil"/>
                    <w:tr2bl w:val="nil"/>
                  </w:tcBorders>
                  <w:noWrap w:val="0"/>
                  <w:vAlign w:val="center"/>
                </w:tcPr>
                <w:p>
                  <w:pPr>
                    <w:shd w:val="clear"/>
                    <w:autoSpaceDE w:val="0"/>
                    <w:autoSpaceDN w:val="0"/>
                    <w:adjustRightInd w:val="0"/>
                    <w:snapToGrid w:val="0"/>
                    <w:jc w:val="center"/>
                    <w:rPr>
                      <w:rFonts w:hint="default"/>
                      <w:color w:val="auto"/>
                      <w:szCs w:val="21"/>
                      <w:highlight w:val="none"/>
                    </w:rPr>
                  </w:pPr>
                  <w:r>
                    <w:rPr>
                      <w:rFonts w:hint="default"/>
                      <w:color w:val="auto"/>
                      <w:szCs w:val="21"/>
                      <w:highlight w:val="none"/>
                    </w:rPr>
                    <w:t>地下水</w:t>
                  </w:r>
                </w:p>
              </w:tc>
              <w:tc>
                <w:tcPr>
                  <w:tcW w:w="3044" w:type="pct"/>
                  <w:tcBorders>
                    <w:tl2br w:val="nil"/>
                    <w:tr2bl w:val="nil"/>
                  </w:tcBorders>
                  <w:noWrap w:val="0"/>
                  <w:vAlign w:val="center"/>
                </w:tcPr>
                <w:p>
                  <w:pPr>
                    <w:shd w:val="clear"/>
                    <w:autoSpaceDE w:val="0"/>
                    <w:autoSpaceDN w:val="0"/>
                    <w:adjustRightInd w:val="0"/>
                    <w:snapToGrid w:val="0"/>
                    <w:jc w:val="center"/>
                    <w:rPr>
                      <w:rFonts w:hint="default"/>
                      <w:color w:val="auto"/>
                      <w:szCs w:val="21"/>
                      <w:highlight w:val="none"/>
                    </w:rPr>
                  </w:pPr>
                  <w:r>
                    <w:rPr>
                      <w:rFonts w:hint="default"/>
                      <w:color w:val="auto"/>
                      <w:szCs w:val="21"/>
                      <w:highlight w:val="none"/>
                    </w:rPr>
                    <w:t>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955" w:type="pct"/>
                  <w:tcBorders>
                    <w:tl2br w:val="nil"/>
                    <w:tr2bl w:val="nil"/>
                  </w:tcBorders>
                  <w:noWrap w:val="0"/>
                  <w:vAlign w:val="center"/>
                </w:tcPr>
                <w:p>
                  <w:pPr>
                    <w:shd w:val="clear"/>
                    <w:autoSpaceDE w:val="0"/>
                    <w:autoSpaceDN w:val="0"/>
                    <w:adjustRightInd w:val="0"/>
                    <w:snapToGrid w:val="0"/>
                    <w:jc w:val="center"/>
                    <w:rPr>
                      <w:rFonts w:hint="default"/>
                      <w:color w:val="auto"/>
                      <w:szCs w:val="21"/>
                      <w:highlight w:val="none"/>
                    </w:rPr>
                  </w:pPr>
                  <w:r>
                    <w:rPr>
                      <w:rFonts w:hint="default"/>
                      <w:color w:val="auto"/>
                      <w:szCs w:val="21"/>
                      <w:highlight w:val="none"/>
                    </w:rPr>
                    <w:t>环境风险</w:t>
                  </w:r>
                </w:p>
              </w:tc>
              <w:tc>
                <w:tcPr>
                  <w:tcW w:w="3044" w:type="pct"/>
                  <w:tcBorders>
                    <w:tl2br w:val="nil"/>
                    <w:tr2bl w:val="nil"/>
                  </w:tcBorders>
                  <w:noWrap w:val="0"/>
                  <w:vAlign w:val="center"/>
                </w:tcPr>
                <w:p>
                  <w:pPr>
                    <w:shd w:val="clear"/>
                    <w:autoSpaceDE w:val="0"/>
                    <w:autoSpaceDN w:val="0"/>
                    <w:adjustRightInd w:val="0"/>
                    <w:snapToGrid w:val="0"/>
                    <w:jc w:val="center"/>
                    <w:rPr>
                      <w:rFonts w:hint="eastAsia" w:eastAsiaTheme="minorEastAsia"/>
                      <w:color w:val="auto"/>
                      <w:szCs w:val="21"/>
                      <w:highlight w:val="none"/>
                      <w:lang w:eastAsia="zh-CN"/>
                    </w:rPr>
                  </w:pPr>
                  <w:r>
                    <w:rPr>
                      <w:rFonts w:hint="eastAsia"/>
                      <w:color w:val="auto"/>
                      <w:kern w:val="0"/>
                      <w:szCs w:val="21"/>
                      <w:highlight w:val="none"/>
                      <w:lang w:eastAsia="zh-CN"/>
                    </w:rPr>
                    <w:t>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955" w:type="pct"/>
                  <w:tcBorders>
                    <w:tl2br w:val="nil"/>
                    <w:tr2bl w:val="nil"/>
                  </w:tcBorders>
                  <w:noWrap w:val="0"/>
                  <w:vAlign w:val="center"/>
                </w:tcPr>
                <w:p>
                  <w:pPr>
                    <w:shd w:val="clear"/>
                    <w:autoSpaceDE w:val="0"/>
                    <w:autoSpaceDN w:val="0"/>
                    <w:adjustRightInd w:val="0"/>
                    <w:snapToGrid w:val="0"/>
                    <w:jc w:val="center"/>
                    <w:rPr>
                      <w:rFonts w:hint="default"/>
                      <w:color w:val="auto"/>
                      <w:szCs w:val="21"/>
                      <w:highlight w:val="none"/>
                    </w:rPr>
                  </w:pPr>
                  <w:r>
                    <w:rPr>
                      <w:rFonts w:hint="default"/>
                      <w:color w:val="auto"/>
                      <w:szCs w:val="21"/>
                      <w:highlight w:val="none"/>
                    </w:rPr>
                    <w:t>生态</w:t>
                  </w:r>
                </w:p>
              </w:tc>
              <w:tc>
                <w:tcPr>
                  <w:tcW w:w="3044" w:type="pct"/>
                  <w:tcBorders>
                    <w:tl2br w:val="nil"/>
                    <w:tr2bl w:val="nil"/>
                  </w:tcBorders>
                  <w:noWrap w:val="0"/>
                  <w:vAlign w:val="center"/>
                </w:tcPr>
                <w:p>
                  <w:pPr>
                    <w:shd w:val="clear"/>
                    <w:autoSpaceDE w:val="0"/>
                    <w:autoSpaceDN w:val="0"/>
                    <w:adjustRightInd w:val="0"/>
                    <w:snapToGrid w:val="0"/>
                    <w:jc w:val="center"/>
                    <w:rPr>
                      <w:rFonts w:hint="default"/>
                      <w:color w:val="auto"/>
                      <w:szCs w:val="21"/>
                      <w:highlight w:val="none"/>
                    </w:rPr>
                  </w:pPr>
                  <w:r>
                    <w:rPr>
                      <w:rFonts w:hint="default"/>
                      <w:color w:val="auto"/>
                      <w:szCs w:val="21"/>
                      <w:highlight w:val="none"/>
                    </w:rPr>
                    <w:t>无</w:t>
                  </w:r>
                </w:p>
              </w:tc>
            </w:tr>
          </w:tbl>
          <w:p>
            <w:pPr>
              <w:shd w:val="clear"/>
              <w:autoSpaceDE w:val="0"/>
              <w:autoSpaceDN w:val="0"/>
              <w:adjustRightInd w:val="0"/>
              <w:snapToGrid w:val="0"/>
              <w:jc w:val="center"/>
              <w:rPr>
                <w:color w:val="auto"/>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1681" w:type="dxa"/>
            <w:vAlign w:val="center"/>
          </w:tcPr>
          <w:p>
            <w:pPr>
              <w:shd w:val="clear"/>
              <w:autoSpaceDE w:val="0"/>
              <w:autoSpaceDN w:val="0"/>
              <w:adjustRightInd w:val="0"/>
              <w:snapToGrid w:val="0"/>
              <w:jc w:val="center"/>
              <w:rPr>
                <w:color w:val="auto"/>
                <w:kern w:val="0"/>
                <w:sz w:val="24"/>
              </w:rPr>
            </w:pPr>
            <w:r>
              <w:rPr>
                <w:color w:val="auto"/>
                <w:sz w:val="24"/>
              </w:rPr>
              <w:t>规划情况</w:t>
            </w:r>
          </w:p>
        </w:tc>
        <w:tc>
          <w:tcPr>
            <w:tcW w:w="7189" w:type="dxa"/>
            <w:gridSpan w:val="3"/>
            <w:vAlign w:val="center"/>
          </w:tcPr>
          <w:p>
            <w:pPr>
              <w:shd w:val="clear"/>
              <w:autoSpaceDE w:val="0"/>
              <w:autoSpaceDN w:val="0"/>
              <w:adjustRightInd w:val="0"/>
              <w:snapToGrid w:val="0"/>
              <w:jc w:val="center"/>
              <w:rPr>
                <w:color w:val="auto"/>
                <w:kern w:val="0"/>
                <w:sz w:val="24"/>
              </w:rPr>
            </w:pPr>
            <w:r>
              <w:rPr>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1681" w:type="dxa"/>
            <w:vAlign w:val="center"/>
          </w:tcPr>
          <w:p>
            <w:pPr>
              <w:shd w:val="clear"/>
              <w:adjustRightInd w:val="0"/>
              <w:snapToGrid w:val="0"/>
              <w:jc w:val="center"/>
              <w:rPr>
                <w:color w:val="auto"/>
                <w:kern w:val="0"/>
                <w:sz w:val="24"/>
              </w:rPr>
            </w:pPr>
            <w:r>
              <w:rPr>
                <w:color w:val="auto"/>
                <w:sz w:val="24"/>
              </w:rPr>
              <w:t>规划环境影响评价情况</w:t>
            </w:r>
          </w:p>
        </w:tc>
        <w:tc>
          <w:tcPr>
            <w:tcW w:w="7189" w:type="dxa"/>
            <w:gridSpan w:val="3"/>
            <w:vAlign w:val="center"/>
          </w:tcPr>
          <w:p>
            <w:pPr>
              <w:shd w:val="clear"/>
              <w:autoSpaceDE w:val="0"/>
              <w:autoSpaceDN w:val="0"/>
              <w:adjustRightInd w:val="0"/>
              <w:snapToGrid w:val="0"/>
              <w:jc w:val="center"/>
              <w:rPr>
                <w:color w:val="auto"/>
                <w:kern w:val="0"/>
                <w:sz w:val="24"/>
              </w:rPr>
            </w:pPr>
            <w:r>
              <w:rPr>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81" w:type="dxa"/>
            <w:vAlign w:val="center"/>
          </w:tcPr>
          <w:p>
            <w:pPr>
              <w:shd w:val="clear"/>
              <w:autoSpaceDE w:val="0"/>
              <w:autoSpaceDN w:val="0"/>
              <w:adjustRightInd w:val="0"/>
              <w:snapToGrid w:val="0"/>
              <w:jc w:val="center"/>
              <w:rPr>
                <w:color w:val="auto"/>
                <w:kern w:val="0"/>
                <w:sz w:val="24"/>
              </w:rPr>
            </w:pPr>
            <w:r>
              <w:rPr>
                <w:color w:val="auto"/>
                <w:kern w:val="0"/>
                <w:sz w:val="24"/>
              </w:rPr>
              <w:t>规划及规划环境影响评价符合性分析</w:t>
            </w:r>
          </w:p>
        </w:tc>
        <w:tc>
          <w:tcPr>
            <w:tcW w:w="7189" w:type="dxa"/>
            <w:gridSpan w:val="3"/>
            <w:vAlign w:val="center"/>
          </w:tcPr>
          <w:p>
            <w:pPr>
              <w:shd w:val="clear"/>
              <w:autoSpaceDE w:val="0"/>
              <w:autoSpaceDN w:val="0"/>
              <w:adjustRightInd w:val="0"/>
              <w:snapToGrid w:val="0"/>
              <w:jc w:val="center"/>
              <w:rPr>
                <w:color w:val="auto"/>
                <w:kern w:val="0"/>
                <w:sz w:val="24"/>
              </w:rPr>
            </w:pPr>
            <w:r>
              <w:rPr>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61" w:hRule="atLeast"/>
          <w:jc w:val="center"/>
        </w:trPr>
        <w:tc>
          <w:tcPr>
            <w:tcW w:w="1681" w:type="dxa"/>
            <w:vAlign w:val="center"/>
          </w:tcPr>
          <w:p>
            <w:pPr>
              <w:shd w:val="clear"/>
              <w:autoSpaceDE w:val="0"/>
              <w:autoSpaceDN w:val="0"/>
              <w:adjustRightInd w:val="0"/>
              <w:snapToGrid w:val="0"/>
              <w:jc w:val="center"/>
              <w:rPr>
                <w:color w:val="auto"/>
                <w:kern w:val="0"/>
                <w:szCs w:val="21"/>
              </w:rPr>
            </w:pPr>
            <w:r>
              <w:rPr>
                <w:color w:val="auto"/>
                <w:kern w:val="0"/>
                <w:sz w:val="24"/>
              </w:rPr>
              <w:t>其他符合性分析</w:t>
            </w:r>
          </w:p>
        </w:tc>
        <w:tc>
          <w:tcPr>
            <w:tcW w:w="7189" w:type="dxa"/>
            <w:gridSpan w:val="3"/>
            <w:vAlign w:val="center"/>
          </w:tcPr>
          <w:p>
            <w:pPr>
              <w:shd w:val="clear"/>
              <w:autoSpaceDE w:val="0"/>
              <w:autoSpaceDN w:val="0"/>
              <w:adjustRightInd w:val="0"/>
              <w:snapToGrid w:val="0"/>
              <w:spacing w:line="360" w:lineRule="auto"/>
              <w:rPr>
                <w:b/>
                <w:bCs/>
                <w:color w:val="auto"/>
                <w:kern w:val="0"/>
                <w:sz w:val="24"/>
              </w:rPr>
            </w:pPr>
            <w:r>
              <w:rPr>
                <w:b/>
                <w:bCs/>
                <w:color w:val="auto"/>
                <w:kern w:val="0"/>
                <w:sz w:val="24"/>
              </w:rPr>
              <w:t>1</w:t>
            </w:r>
            <w:r>
              <w:rPr>
                <w:rFonts w:hint="eastAsia"/>
                <w:b/>
                <w:bCs/>
                <w:color w:val="auto"/>
                <w:kern w:val="0"/>
                <w:sz w:val="24"/>
              </w:rPr>
              <w:t>.</w:t>
            </w:r>
            <w:r>
              <w:rPr>
                <w:b/>
                <w:bCs/>
                <w:color w:val="auto"/>
                <w:kern w:val="0"/>
                <w:sz w:val="24"/>
              </w:rPr>
              <w:t>产业政策相符性分析</w:t>
            </w:r>
          </w:p>
          <w:p>
            <w:pPr>
              <w:shd w:val="clear"/>
              <w:spacing w:line="360" w:lineRule="auto"/>
              <w:ind w:firstLine="480" w:firstLineChars="200"/>
              <w:rPr>
                <w:color w:val="auto"/>
                <w:sz w:val="24"/>
              </w:rPr>
            </w:pPr>
            <w:r>
              <w:rPr>
                <w:rFonts w:hint="default" w:ascii="Times New Roman" w:hAnsi="Times New Roman" w:cs="Times New Roman"/>
                <w:b w:val="0"/>
                <w:bCs w:val="0"/>
                <w:color w:val="auto"/>
                <w:sz w:val="24"/>
                <w:highlight w:val="none"/>
              </w:rPr>
              <w:t>项目属于《产业结构调整指导目录》</w:t>
            </w:r>
            <w:r>
              <w:rPr>
                <w:rFonts w:hint="eastAsia" w:cs="Times New Roman"/>
                <w:b w:val="0"/>
                <w:bCs w:val="0"/>
                <w:color w:val="auto"/>
                <w:sz w:val="24"/>
                <w:highlight w:val="none"/>
                <w:lang w:eastAsia="zh-CN"/>
              </w:rPr>
              <w:t>（</w:t>
            </w:r>
            <w:r>
              <w:rPr>
                <w:rFonts w:hint="default" w:ascii="Times New Roman" w:hAnsi="Times New Roman" w:cs="Times New Roman"/>
                <w:b w:val="0"/>
                <w:bCs w:val="0"/>
                <w:color w:val="auto"/>
                <w:sz w:val="24"/>
                <w:highlight w:val="none"/>
              </w:rPr>
              <w:t>2</w:t>
            </w:r>
            <w:r>
              <w:rPr>
                <w:rFonts w:hint="default" w:ascii="Times New Roman" w:hAnsi="Times New Roman" w:eastAsia="宋体" w:cs="Times New Roman"/>
                <w:b w:val="0"/>
                <w:bCs w:val="0"/>
                <w:color w:val="auto"/>
                <w:sz w:val="24"/>
                <w:highlight w:val="none"/>
              </w:rPr>
              <w:t>0</w:t>
            </w:r>
            <w:r>
              <w:rPr>
                <w:rFonts w:hint="eastAsia" w:cs="Times New Roman"/>
                <w:b w:val="0"/>
                <w:bCs w:val="0"/>
                <w:color w:val="auto"/>
                <w:sz w:val="24"/>
                <w:highlight w:val="none"/>
                <w:lang w:val="en-US" w:eastAsia="zh-CN"/>
              </w:rPr>
              <w:t>24</w:t>
            </w:r>
            <w:r>
              <w:rPr>
                <w:rFonts w:hint="default" w:ascii="Times New Roman" w:hAnsi="Times New Roman" w:eastAsia="宋体" w:cs="Times New Roman"/>
                <w:b w:val="0"/>
                <w:bCs w:val="0"/>
                <w:color w:val="auto"/>
                <w:sz w:val="24"/>
                <w:highlight w:val="none"/>
              </w:rPr>
              <w:t>年本</w:t>
            </w:r>
            <w:r>
              <w:rPr>
                <w:rFonts w:hint="eastAsia" w:ascii="Times New Roman" w:hAnsi="Times New Roman" w:eastAsia="宋体" w:cs="Times New Roman"/>
                <w:b w:val="0"/>
                <w:bCs w:val="0"/>
                <w:color w:val="auto"/>
                <w:sz w:val="24"/>
                <w:highlight w:val="none"/>
                <w:lang w:eastAsia="zh-CN"/>
              </w:rPr>
              <w:t>）</w:t>
            </w:r>
            <w:r>
              <w:rPr>
                <w:rFonts w:hint="default" w:ascii="Times New Roman" w:hAnsi="Times New Roman" w:cs="Times New Roman"/>
                <w:b w:val="0"/>
                <w:bCs w:val="0"/>
                <w:color w:val="auto"/>
                <w:sz w:val="24"/>
                <w:highlight w:val="none"/>
              </w:rPr>
              <w:t>中的“一、农林</w:t>
            </w:r>
            <w:r>
              <w:rPr>
                <w:rFonts w:hint="eastAsia" w:cs="Times New Roman"/>
                <w:b w:val="0"/>
                <w:bCs w:val="0"/>
                <w:color w:val="auto"/>
                <w:sz w:val="24"/>
                <w:highlight w:val="none"/>
                <w:lang w:eastAsia="zh-CN"/>
              </w:rPr>
              <w:t>牧渔</w:t>
            </w:r>
            <w:r>
              <w:rPr>
                <w:rFonts w:hint="default" w:ascii="Times New Roman" w:hAnsi="Times New Roman" w:cs="Times New Roman"/>
                <w:b w:val="0"/>
                <w:bCs w:val="0"/>
                <w:color w:val="auto"/>
                <w:sz w:val="24"/>
                <w:highlight w:val="none"/>
              </w:rPr>
              <w:t>业第</w:t>
            </w:r>
            <w:r>
              <w:rPr>
                <w:rFonts w:hint="eastAsia" w:cs="Times New Roman"/>
                <w:b w:val="0"/>
                <w:bCs w:val="0"/>
                <w:color w:val="auto"/>
                <w:sz w:val="24"/>
                <w:highlight w:val="none"/>
                <w:lang w:val="en-US" w:eastAsia="zh-CN"/>
              </w:rPr>
              <w:t>8</w:t>
            </w:r>
            <w:r>
              <w:rPr>
                <w:rFonts w:hint="default" w:ascii="Times New Roman" w:hAnsi="Times New Roman" w:cs="Times New Roman"/>
                <w:b w:val="0"/>
                <w:bCs w:val="0"/>
                <w:color w:val="auto"/>
                <w:sz w:val="24"/>
                <w:highlight w:val="none"/>
              </w:rPr>
              <w:t>条：农林牧渔产品储运、保鲜、加工与综合利用”，为鼓励类项目，根据国务院《促进产业结构调整暂行规定》（国发［2005］40号），项目的建设符合国家相关法律和政策，符合国家产业政策要求</w:t>
            </w:r>
            <w:r>
              <w:rPr>
                <w:rFonts w:hint="default" w:ascii="Times New Roman" w:hAnsi="Times New Roman" w:cs="Times New Roman"/>
                <w:b w:val="0"/>
                <w:bCs w:val="0"/>
                <w:color w:val="auto"/>
                <w:kern w:val="0"/>
                <w:sz w:val="24"/>
                <w:szCs w:val="24"/>
                <w:highlight w:val="none"/>
                <w:lang w:val="en-US" w:eastAsia="zh-CN"/>
              </w:rPr>
              <w:t>。</w:t>
            </w:r>
          </w:p>
          <w:p>
            <w:pPr>
              <w:shd w:val="clear"/>
              <w:autoSpaceDE w:val="0"/>
              <w:autoSpaceDN w:val="0"/>
              <w:adjustRightInd w:val="0"/>
              <w:snapToGrid w:val="0"/>
              <w:spacing w:line="360" w:lineRule="auto"/>
              <w:jc w:val="left"/>
              <w:rPr>
                <w:b/>
                <w:bCs/>
                <w:color w:val="auto"/>
                <w:kern w:val="0"/>
                <w:sz w:val="24"/>
              </w:rPr>
            </w:pPr>
            <w:r>
              <w:rPr>
                <w:b/>
                <w:bCs/>
                <w:color w:val="auto"/>
                <w:kern w:val="0"/>
                <w:sz w:val="24"/>
              </w:rPr>
              <w:t>2</w:t>
            </w:r>
            <w:r>
              <w:rPr>
                <w:rFonts w:hint="eastAsia"/>
                <w:b/>
                <w:bCs/>
                <w:color w:val="auto"/>
                <w:kern w:val="0"/>
                <w:sz w:val="24"/>
              </w:rPr>
              <w:t>.</w:t>
            </w:r>
            <w:r>
              <w:rPr>
                <w:b/>
                <w:bCs/>
                <w:color w:val="auto"/>
                <w:kern w:val="0"/>
                <w:sz w:val="24"/>
              </w:rPr>
              <w:t>选址合理性</w:t>
            </w:r>
            <w:r>
              <w:rPr>
                <w:rFonts w:hint="eastAsia"/>
                <w:b/>
                <w:bCs/>
                <w:color w:val="auto"/>
                <w:kern w:val="0"/>
                <w:sz w:val="24"/>
              </w:rPr>
              <w:t>分析</w:t>
            </w:r>
          </w:p>
          <w:p>
            <w:pPr>
              <w:shd w:val="clear"/>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（1）本项目位于</w:t>
            </w:r>
            <w:r>
              <w:rPr>
                <w:rFonts w:hint="eastAsia" w:ascii="Times New Roman" w:hAnsi="Times New Roman" w:eastAsia="宋体" w:cs="Times New Roman"/>
                <w:color w:val="auto"/>
                <w:sz w:val="24"/>
                <w:lang w:val="en-US" w:eastAsia="zh-CN"/>
              </w:rPr>
              <w:t>黑龙江省绥化市海伦市长发镇长建村刘海山屯</w:t>
            </w:r>
            <w:r>
              <w:rPr>
                <w:rFonts w:hint="eastAsia" w:ascii="Times New Roman" w:hAnsi="Times New Roman" w:eastAsia="宋体" w:cs="Times New Roman"/>
                <w:color w:val="auto"/>
                <w:sz w:val="24"/>
              </w:rPr>
              <w:t>，用地性质</w:t>
            </w:r>
            <w:r>
              <w:rPr>
                <w:rFonts w:hint="eastAsia" w:ascii="Times New Roman" w:hAnsi="Times New Roman" w:eastAsia="宋体" w:cs="Times New Roman"/>
                <w:color w:val="auto"/>
                <w:sz w:val="24"/>
                <w:shd w:val="clear"/>
              </w:rPr>
              <w:t>为</w:t>
            </w:r>
            <w:r>
              <w:rPr>
                <w:rFonts w:hint="eastAsia" w:ascii="Times New Roman" w:hAnsi="Times New Roman" w:eastAsia="宋体" w:cs="Times New Roman"/>
                <w:color w:val="auto"/>
                <w:sz w:val="24"/>
                <w:shd w:val="clear"/>
                <w:lang w:val="en-US" w:eastAsia="zh-CN"/>
              </w:rPr>
              <w:t>建设</w:t>
            </w:r>
            <w:r>
              <w:rPr>
                <w:rFonts w:hint="eastAsia" w:ascii="Times New Roman" w:hAnsi="Times New Roman" w:eastAsia="宋体" w:cs="Times New Roman"/>
                <w:color w:val="auto"/>
                <w:sz w:val="24"/>
                <w:shd w:val="clear"/>
              </w:rPr>
              <w:t>用地，厂界东</w:t>
            </w:r>
            <w:r>
              <w:rPr>
                <w:rFonts w:hint="eastAsia" w:ascii="Times New Roman" w:hAnsi="Times New Roman" w:eastAsia="宋体" w:cs="Times New Roman"/>
                <w:color w:val="auto"/>
                <w:sz w:val="24"/>
                <w:shd w:val="clear"/>
                <w:lang w:val="en-US" w:eastAsia="zh-CN"/>
              </w:rPr>
              <w:t>侧为</w:t>
            </w:r>
            <w:r>
              <w:rPr>
                <w:rFonts w:hint="eastAsia" w:cs="Times New Roman"/>
                <w:color w:val="auto"/>
                <w:sz w:val="24"/>
                <w:lang w:val="en-US" w:eastAsia="zh-CN"/>
              </w:rPr>
              <w:t>农田</w:t>
            </w:r>
            <w:r>
              <w:rPr>
                <w:rFonts w:hint="eastAsia" w:ascii="Times New Roman" w:hAnsi="Times New Roman" w:eastAsia="宋体" w:cs="Times New Roman"/>
                <w:color w:val="auto"/>
                <w:sz w:val="24"/>
                <w:lang w:val="en-US" w:eastAsia="zh-CN"/>
              </w:rPr>
              <w:t>、南侧</w:t>
            </w:r>
            <w:r>
              <w:rPr>
                <w:rFonts w:hint="eastAsia" w:cs="Times New Roman"/>
                <w:color w:val="auto"/>
                <w:sz w:val="24"/>
                <w:lang w:val="en-US" w:eastAsia="zh-CN"/>
              </w:rPr>
              <w:t>隔40米树林</w:t>
            </w:r>
            <w:r>
              <w:rPr>
                <w:rFonts w:hint="eastAsia" w:ascii="Times New Roman" w:hAnsi="Times New Roman" w:eastAsia="宋体" w:cs="Times New Roman"/>
                <w:color w:val="auto"/>
                <w:sz w:val="24"/>
                <w:lang w:val="en-US" w:eastAsia="zh-CN"/>
              </w:rPr>
              <w:t>为猪场、西侧为绥北路、北侧</w:t>
            </w:r>
            <w:r>
              <w:rPr>
                <w:rFonts w:hint="eastAsia" w:cs="Times New Roman"/>
                <w:color w:val="auto"/>
                <w:sz w:val="24"/>
                <w:lang w:val="en-US" w:eastAsia="zh-CN"/>
              </w:rPr>
              <w:t>紧邻</w:t>
            </w:r>
            <w:r>
              <w:rPr>
                <w:rFonts w:hint="eastAsia" w:ascii="Times New Roman" w:hAnsi="Times New Roman" w:eastAsia="宋体" w:cs="Times New Roman"/>
                <w:color w:val="auto"/>
                <w:sz w:val="24"/>
                <w:lang w:val="en-US" w:eastAsia="zh-CN"/>
              </w:rPr>
              <w:t>黑龙江福仁农业发展有限公司，隔道为大豆精选机加工厂，项目选址不属于生活饮用水源地和地下水补给区、风景名胜区、温泉疗养区、水产养殖区、基本农田保</w:t>
            </w:r>
            <w:r>
              <w:rPr>
                <w:rFonts w:hint="eastAsia" w:ascii="Times New Roman" w:hAnsi="Times New Roman" w:eastAsia="宋体" w:cs="Times New Roman"/>
                <w:color w:val="auto"/>
                <w:sz w:val="24"/>
              </w:rPr>
              <w:t>护区、自然保护区等需要特殊保护区域。</w:t>
            </w:r>
          </w:p>
          <w:p>
            <w:pPr>
              <w:shd w:val="clear"/>
              <w:autoSpaceDE w:val="0"/>
              <w:autoSpaceDN w:val="0"/>
              <w:adjustRightInd w:val="0"/>
              <w:snapToGrid w:val="0"/>
              <w:spacing w:line="360" w:lineRule="auto"/>
              <w:ind w:firstLine="480" w:firstLineChars="200"/>
              <w:rPr>
                <w:bCs/>
                <w:color w:val="auto"/>
                <w:kern w:val="0"/>
                <w:sz w:val="24"/>
              </w:rPr>
            </w:pPr>
            <w:r>
              <w:rPr>
                <w:bCs/>
                <w:color w:val="auto"/>
                <w:kern w:val="0"/>
                <w:sz w:val="24"/>
                <w:szCs w:val="21"/>
              </w:rPr>
              <w:t>（2）</w:t>
            </w:r>
            <w:r>
              <w:rPr>
                <w:bCs/>
                <w:color w:val="auto"/>
                <w:kern w:val="0"/>
                <w:sz w:val="24"/>
              </w:rPr>
              <w:t>项目运营过程中产生的设备噪声、烟尘、工业粉尘、二氧化硫、氮氧化物等对周围环境将产生一定影响，本项目</w:t>
            </w:r>
            <w:r>
              <w:rPr>
                <w:rFonts w:hint="eastAsia"/>
                <w:bCs/>
                <w:color w:val="auto"/>
                <w:kern w:val="0"/>
                <w:sz w:val="24"/>
                <w:lang w:val="en-US" w:eastAsia="zh-CN"/>
              </w:rPr>
              <w:t>1台4</w:t>
            </w:r>
            <w:r>
              <w:rPr>
                <w:bCs/>
                <w:color w:val="auto"/>
                <w:kern w:val="0"/>
                <w:sz w:val="24"/>
              </w:rPr>
              <w:t>t/h燃生物质蒸汽锅炉产生的烟气经布袋除尘器处理后经</w:t>
            </w:r>
            <w:r>
              <w:rPr>
                <w:rFonts w:hint="eastAsia"/>
                <w:bCs/>
                <w:color w:val="auto"/>
                <w:kern w:val="0"/>
                <w:sz w:val="24"/>
                <w:lang w:val="en-US" w:eastAsia="zh-CN"/>
              </w:rPr>
              <w:t>1根</w:t>
            </w:r>
            <w:r>
              <w:rPr>
                <w:bCs/>
                <w:color w:val="auto"/>
                <w:kern w:val="0"/>
                <w:sz w:val="24"/>
              </w:rPr>
              <w:t>3</w:t>
            </w:r>
            <w:r>
              <w:rPr>
                <w:rFonts w:hint="eastAsia"/>
                <w:bCs/>
                <w:color w:val="auto"/>
                <w:kern w:val="0"/>
                <w:sz w:val="24"/>
                <w:lang w:val="en-US" w:eastAsia="zh-CN"/>
              </w:rPr>
              <w:t>5</w:t>
            </w:r>
            <w:r>
              <w:rPr>
                <w:bCs/>
                <w:color w:val="auto"/>
                <w:kern w:val="0"/>
                <w:sz w:val="24"/>
              </w:rPr>
              <w:t>米高烟囱（DA001）排放，布袋除尘器处理效率为99.9%，满足《锅炉大气污染物排放标准》（GB13271-2014）表2新建锅炉大气污染物排放浓度限值中燃煤锅炉要求。玉米</w:t>
            </w:r>
            <w:r>
              <w:rPr>
                <w:rFonts w:hint="eastAsia"/>
                <w:bCs/>
                <w:color w:val="auto"/>
                <w:kern w:val="0"/>
                <w:sz w:val="24"/>
                <w:lang w:eastAsia="zh-CN"/>
              </w:rPr>
              <w:t>蒸煮</w:t>
            </w:r>
            <w:r>
              <w:rPr>
                <w:bCs/>
                <w:color w:val="auto"/>
                <w:kern w:val="0"/>
                <w:sz w:val="24"/>
              </w:rPr>
              <w:t>工序会产生少量异味（以臭气浓度计），</w:t>
            </w:r>
            <w:r>
              <w:rPr>
                <w:rFonts w:hint="eastAsia"/>
                <w:bCs/>
                <w:color w:val="auto"/>
                <w:kern w:val="0"/>
                <w:sz w:val="24"/>
                <w:lang w:eastAsia="zh-CN"/>
              </w:rPr>
              <w:t>蒸煮</w:t>
            </w:r>
            <w:r>
              <w:rPr>
                <w:bCs/>
                <w:color w:val="auto"/>
                <w:kern w:val="0"/>
                <w:sz w:val="24"/>
              </w:rPr>
              <w:t>工序产生异味在生产车间内散溢，加强车间通风，</w:t>
            </w:r>
            <w:r>
              <w:rPr>
                <w:rFonts w:hint="eastAsia"/>
                <w:bCs/>
                <w:color w:val="auto"/>
                <w:kern w:val="0"/>
                <w:sz w:val="24"/>
                <w:lang w:eastAsia="zh-CN"/>
              </w:rPr>
              <w:t>蒸煮</w:t>
            </w:r>
            <w:r>
              <w:rPr>
                <w:bCs/>
                <w:color w:val="auto"/>
                <w:kern w:val="0"/>
                <w:sz w:val="24"/>
              </w:rPr>
              <w:t>工序异味对外环境影响较小。厂界臭气浓度能够满足《恶臭污染物排放标准》（GB14554-93）表2中臭气浓度20 (无量纲)标准限值。食堂安装油烟净化器进行净化，净化效率</w:t>
            </w:r>
            <w:r>
              <w:rPr>
                <w:rFonts w:hint="eastAsia"/>
                <w:bCs/>
                <w:color w:val="auto"/>
                <w:kern w:val="0"/>
                <w:sz w:val="24"/>
                <w:lang w:val="en-US" w:eastAsia="zh-CN"/>
              </w:rPr>
              <w:t>75</w:t>
            </w:r>
            <w:r>
              <w:rPr>
                <w:bCs/>
                <w:color w:val="auto"/>
                <w:kern w:val="0"/>
                <w:sz w:val="24"/>
              </w:rPr>
              <w:t>%，油烟废气经油烟净化器处理后达标排放。本项目生活污水排入防渗</w:t>
            </w:r>
            <w:r>
              <w:rPr>
                <w:rFonts w:hint="eastAsia"/>
                <w:bCs/>
                <w:color w:val="auto"/>
                <w:kern w:val="0"/>
                <w:sz w:val="24"/>
                <w:lang w:val="en-US" w:eastAsia="zh-CN"/>
              </w:rPr>
              <w:t>化粪池</w:t>
            </w:r>
            <w:r>
              <w:rPr>
                <w:bCs/>
                <w:color w:val="auto"/>
                <w:kern w:val="0"/>
                <w:sz w:val="24"/>
              </w:rPr>
              <w:t>，定期清掏。生产废水</w:t>
            </w:r>
            <w:r>
              <w:rPr>
                <w:rFonts w:ascii="Times New Roman" w:hAnsi="Times New Roman" w:eastAsia="宋体" w:cs="Times New Roman"/>
                <w:bCs/>
                <w:color w:val="auto"/>
                <w:kern w:val="0"/>
                <w:sz w:val="24"/>
              </w:rPr>
              <w:t>（车间地面冲洗废水、</w:t>
            </w:r>
            <w:r>
              <w:rPr>
                <w:rFonts w:hint="eastAsia" w:ascii="Times New Roman" w:hAnsi="Times New Roman" w:eastAsia="宋体" w:cs="Times New Roman"/>
                <w:bCs/>
                <w:color w:val="auto"/>
                <w:kern w:val="0"/>
                <w:sz w:val="24"/>
                <w:lang w:val="en-US" w:eastAsia="zh-CN"/>
              </w:rPr>
              <w:t>清洗废水、</w:t>
            </w:r>
            <w:r>
              <w:rPr>
                <w:rFonts w:ascii="Times New Roman" w:hAnsi="Times New Roman" w:eastAsia="宋体" w:cs="Times New Roman"/>
                <w:bCs/>
                <w:color w:val="auto"/>
                <w:kern w:val="0"/>
                <w:sz w:val="24"/>
              </w:rPr>
              <w:t>锅炉排污水及软化废水</w:t>
            </w:r>
            <w:r>
              <w:rPr>
                <w:rFonts w:hint="eastAsia" w:ascii="Times New Roman" w:hAnsi="Times New Roman" w:cs="Times New Roman"/>
                <w:bCs/>
                <w:color w:val="auto"/>
                <w:kern w:val="0"/>
                <w:sz w:val="24"/>
                <w:lang w:eastAsia="zh-CN"/>
              </w:rPr>
              <w:t>、</w:t>
            </w:r>
            <w:r>
              <w:rPr>
                <w:rFonts w:hint="eastAsia" w:ascii="Times New Roman" w:hAnsi="Times New Roman" w:cs="Times New Roman"/>
                <w:bCs/>
                <w:color w:val="auto"/>
                <w:kern w:val="0"/>
                <w:sz w:val="24"/>
                <w:lang w:val="en-US" w:eastAsia="zh-CN"/>
              </w:rPr>
              <w:t>高温杀菌废水</w:t>
            </w:r>
            <w:r>
              <w:rPr>
                <w:rFonts w:ascii="Times New Roman" w:hAnsi="Times New Roman" w:eastAsia="宋体" w:cs="Times New Roman"/>
                <w:bCs/>
                <w:color w:val="auto"/>
                <w:kern w:val="0"/>
                <w:sz w:val="24"/>
              </w:rPr>
              <w:t>）暂</w:t>
            </w:r>
            <w:r>
              <w:rPr>
                <w:bCs/>
                <w:color w:val="auto"/>
                <w:kern w:val="0"/>
                <w:sz w:val="24"/>
              </w:rPr>
              <w:t>存</w:t>
            </w:r>
            <w:r>
              <w:rPr>
                <w:bCs/>
                <w:color w:val="auto"/>
                <w:kern w:val="0"/>
                <w:sz w:val="24"/>
                <w:shd w:val="clear"/>
              </w:rPr>
              <w:t>于</w:t>
            </w:r>
            <w:r>
              <w:rPr>
                <w:rFonts w:hint="eastAsia"/>
                <w:bCs/>
                <w:color w:val="auto"/>
                <w:kern w:val="0"/>
                <w:sz w:val="24"/>
                <w:shd w:val="clear"/>
                <w:lang w:val="en-US" w:eastAsia="zh-CN"/>
              </w:rPr>
              <w:t>6</w:t>
            </w:r>
            <w:r>
              <w:rPr>
                <w:bCs/>
                <w:color w:val="auto"/>
                <w:kern w:val="0"/>
                <w:sz w:val="24"/>
                <w:shd w:val="clear"/>
              </w:rPr>
              <w:t>0m</w:t>
            </w:r>
            <w:r>
              <w:rPr>
                <w:bCs/>
                <w:color w:val="auto"/>
                <w:kern w:val="0"/>
                <w:sz w:val="24"/>
                <w:shd w:val="clear"/>
                <w:vertAlign w:val="superscript"/>
              </w:rPr>
              <w:t>3</w:t>
            </w:r>
            <w:r>
              <w:rPr>
                <w:bCs/>
                <w:color w:val="auto"/>
                <w:kern w:val="0"/>
                <w:sz w:val="24"/>
                <w:shd w:val="clear"/>
              </w:rPr>
              <w:t>的</w:t>
            </w:r>
            <w:r>
              <w:rPr>
                <w:bCs/>
                <w:color w:val="auto"/>
                <w:kern w:val="0"/>
                <w:sz w:val="24"/>
              </w:rPr>
              <w:t>密闭储罐内，每天由专用罐车拉运至海伦市污水处理厂处理，日产日清。选用低噪声设备、隔声和减振等措施，项目厂界噪声达到《工业企业厂界环境噪声排放标准》（GB12348-2008）2类</w:t>
            </w:r>
            <w:r>
              <w:rPr>
                <w:rFonts w:hint="eastAsia"/>
                <w:bCs/>
                <w:color w:val="auto"/>
                <w:kern w:val="0"/>
                <w:sz w:val="24"/>
              </w:rPr>
              <w:t>、4类</w:t>
            </w:r>
            <w:r>
              <w:rPr>
                <w:bCs/>
                <w:color w:val="auto"/>
                <w:kern w:val="0"/>
                <w:sz w:val="24"/>
              </w:rPr>
              <w:t>标准要求。生活垃圾由环卫部门统一处理；废纸箱及废包装袋集中收集外售综合利用；玉米叶、玉米须、不合格的果穗、青穗以及废弃玉米段集中收集，外售用作饲料；锅炉灰渣与布袋除尘器收尘集中收集于灰渣仓，外售综合利用；废离子交换树脂由厂家回收再利用。</w:t>
            </w:r>
          </w:p>
          <w:p>
            <w:pPr>
              <w:shd w:val="clear"/>
              <w:autoSpaceDE w:val="0"/>
              <w:autoSpaceDN w:val="0"/>
              <w:adjustRightInd w:val="0"/>
              <w:snapToGrid w:val="0"/>
              <w:spacing w:line="360" w:lineRule="auto"/>
              <w:ind w:firstLine="480" w:firstLineChars="200"/>
              <w:jc w:val="left"/>
              <w:rPr>
                <w:bCs/>
                <w:color w:val="auto"/>
                <w:kern w:val="0"/>
                <w:sz w:val="24"/>
                <w:szCs w:val="21"/>
              </w:rPr>
            </w:pPr>
            <w:r>
              <w:rPr>
                <w:bCs/>
                <w:color w:val="auto"/>
                <w:kern w:val="0"/>
                <w:sz w:val="24"/>
                <w:szCs w:val="21"/>
              </w:rPr>
              <w:t>（</w:t>
            </w:r>
            <w:r>
              <w:rPr>
                <w:rFonts w:hint="eastAsia"/>
                <w:bCs/>
                <w:color w:val="auto"/>
                <w:kern w:val="0"/>
                <w:sz w:val="24"/>
                <w:szCs w:val="21"/>
              </w:rPr>
              <w:t>3</w:t>
            </w:r>
            <w:r>
              <w:rPr>
                <w:bCs/>
                <w:color w:val="auto"/>
                <w:kern w:val="0"/>
                <w:sz w:val="24"/>
                <w:szCs w:val="21"/>
              </w:rPr>
              <w:t>）项目所在地具有方便的交通运输和水电条件，便于项目的施工建设。</w:t>
            </w:r>
          </w:p>
          <w:p>
            <w:pPr>
              <w:shd w:val="clear"/>
              <w:autoSpaceDE w:val="0"/>
              <w:autoSpaceDN w:val="0"/>
              <w:adjustRightInd w:val="0"/>
              <w:snapToGrid w:val="0"/>
              <w:spacing w:line="360" w:lineRule="auto"/>
              <w:ind w:firstLine="480" w:firstLineChars="200"/>
              <w:jc w:val="left"/>
              <w:rPr>
                <w:bCs/>
                <w:color w:val="auto"/>
                <w:kern w:val="0"/>
                <w:sz w:val="24"/>
                <w:szCs w:val="21"/>
              </w:rPr>
            </w:pPr>
            <w:r>
              <w:rPr>
                <w:bCs/>
                <w:color w:val="auto"/>
                <w:kern w:val="0"/>
                <w:sz w:val="24"/>
                <w:szCs w:val="21"/>
              </w:rPr>
              <w:t>在落实本报告提出的污染防治措施前提，确保各项污染物稳定达标排放，选址可行。</w:t>
            </w:r>
          </w:p>
          <w:p>
            <w:pPr>
              <w:shd w:val="clear"/>
              <w:autoSpaceDE w:val="0"/>
              <w:autoSpaceDN w:val="0"/>
              <w:adjustRightInd w:val="0"/>
              <w:snapToGrid w:val="0"/>
              <w:jc w:val="left"/>
              <w:rPr>
                <w:b/>
                <w:bCs/>
                <w:color w:val="auto"/>
                <w:sz w:val="24"/>
                <w:szCs w:val="32"/>
              </w:rPr>
            </w:pPr>
            <w:r>
              <w:rPr>
                <w:rFonts w:hint="eastAsia"/>
                <w:b/>
                <w:bCs/>
                <w:color w:val="auto"/>
                <w:kern w:val="0"/>
                <w:sz w:val="24"/>
                <w:lang w:val="en-US" w:eastAsia="zh-CN"/>
              </w:rPr>
              <w:t>3</w:t>
            </w:r>
            <w:r>
              <w:rPr>
                <w:rFonts w:hint="eastAsia"/>
                <w:b/>
                <w:bCs/>
                <w:color w:val="auto"/>
                <w:kern w:val="0"/>
                <w:sz w:val="24"/>
              </w:rPr>
              <w:t>.</w:t>
            </w:r>
            <w:r>
              <w:rPr>
                <w:b/>
                <w:bCs/>
                <w:color w:val="auto"/>
                <w:sz w:val="24"/>
                <w:szCs w:val="32"/>
              </w:rPr>
              <w:t>“三线一单”符合性分析</w:t>
            </w:r>
          </w:p>
          <w:p>
            <w:pPr>
              <w:shd w:val="clear"/>
              <w:spacing w:line="520" w:lineRule="exact"/>
              <w:ind w:firstLine="480" w:firstLineChars="200"/>
              <w:rPr>
                <w:color w:val="auto"/>
                <w:sz w:val="24"/>
                <w:lang w:bidi="ar"/>
              </w:rPr>
            </w:pPr>
            <w:r>
              <w:rPr>
                <w:bCs/>
                <w:color w:val="auto"/>
                <w:sz w:val="24"/>
              </w:rPr>
              <w:t>根据《黑龙江省人民政府关于</w:t>
            </w:r>
            <w:r>
              <w:rPr>
                <w:rFonts w:hint="eastAsia" w:ascii="宋体" w:hAnsi="宋体" w:cs="宋体"/>
                <w:bCs/>
                <w:color w:val="auto"/>
                <w:sz w:val="24"/>
              </w:rPr>
              <w:t>实施“三线一单”生态环境分</w:t>
            </w:r>
            <w:r>
              <w:rPr>
                <w:bCs/>
                <w:color w:val="auto"/>
                <w:sz w:val="24"/>
              </w:rPr>
              <w:t>区管控的意见》（黑政发[2020]14号）和</w:t>
            </w:r>
            <w:r>
              <w:rPr>
                <w:rFonts w:hint="eastAsia" w:eastAsiaTheme="minorEastAsia"/>
                <w:bCs/>
                <w:color w:val="auto"/>
              </w:rPr>
              <w:t>《</w:t>
            </w:r>
            <w:r>
              <w:rPr>
                <w:color w:val="auto"/>
                <w:sz w:val="24"/>
                <w:lang w:bidi="ar"/>
              </w:rPr>
              <w:t>绥化市人民政府关于实施</w:t>
            </w:r>
            <w:r>
              <w:rPr>
                <w:rFonts w:hint="eastAsia"/>
                <w:color w:val="auto"/>
                <w:sz w:val="24"/>
                <w:lang w:bidi="ar"/>
              </w:rPr>
              <w:t>“</w:t>
            </w:r>
            <w:r>
              <w:rPr>
                <w:color w:val="auto"/>
                <w:sz w:val="24"/>
                <w:lang w:bidi="ar"/>
              </w:rPr>
              <w:t>三线一单</w:t>
            </w:r>
            <w:r>
              <w:rPr>
                <w:rFonts w:hint="eastAsia"/>
                <w:color w:val="auto"/>
                <w:sz w:val="24"/>
                <w:lang w:bidi="ar"/>
              </w:rPr>
              <w:t>”</w:t>
            </w:r>
            <w:r>
              <w:rPr>
                <w:color w:val="auto"/>
                <w:sz w:val="24"/>
                <w:lang w:bidi="ar"/>
              </w:rPr>
              <w:t>生态环境分区管控的意见》</w:t>
            </w:r>
            <w:r>
              <w:rPr>
                <w:bCs/>
                <w:color w:val="auto"/>
                <w:sz w:val="24"/>
              </w:rPr>
              <w:t>，本项目</w:t>
            </w:r>
            <w:r>
              <w:rPr>
                <w:rFonts w:hint="eastAsia" w:ascii="Times New Roman" w:hAnsi="Times New Roman"/>
                <w:color w:val="auto"/>
                <w:sz w:val="24"/>
                <w:highlight w:val="none"/>
              </w:rPr>
              <w:t>黑龙江省绥化市海伦市</w:t>
            </w:r>
            <w:r>
              <w:rPr>
                <w:rFonts w:hint="eastAsia" w:ascii="Times New Roman" w:hAnsi="Times New Roman"/>
                <w:color w:val="auto"/>
                <w:sz w:val="24"/>
                <w:highlight w:val="none"/>
                <w:lang w:eastAsia="zh-CN"/>
              </w:rPr>
              <w:t>长发镇长建村刘海山屯</w:t>
            </w:r>
            <w:r>
              <w:rPr>
                <w:color w:val="auto"/>
                <w:sz w:val="24"/>
                <w:lang w:bidi="ar"/>
              </w:rPr>
              <w:t>，位于</w:t>
            </w:r>
            <w:r>
              <w:rPr>
                <w:rFonts w:hint="eastAsia"/>
                <w:color w:val="auto"/>
                <w:sz w:val="24"/>
                <w:lang w:bidi="ar"/>
              </w:rPr>
              <w:t>重点</w:t>
            </w:r>
            <w:r>
              <w:rPr>
                <w:color w:val="auto"/>
                <w:sz w:val="24"/>
                <w:lang w:bidi="ar"/>
              </w:rPr>
              <w:t>管控单元，见附图</w:t>
            </w:r>
            <w:r>
              <w:rPr>
                <w:rFonts w:hint="eastAsia"/>
                <w:color w:val="auto"/>
                <w:sz w:val="24"/>
                <w:lang w:val="en-US" w:eastAsia="zh-CN" w:bidi="ar"/>
              </w:rPr>
              <w:t>4</w:t>
            </w:r>
            <w:r>
              <w:rPr>
                <w:color w:val="auto"/>
                <w:sz w:val="24"/>
                <w:lang w:bidi="ar"/>
              </w:rPr>
              <w:t>。</w:t>
            </w:r>
          </w:p>
          <w:p>
            <w:pPr>
              <w:shd w:val="clear"/>
              <w:spacing w:line="520" w:lineRule="exact"/>
              <w:ind w:firstLine="480" w:firstLineChars="200"/>
              <w:rPr>
                <w:color w:val="auto"/>
                <w:sz w:val="24"/>
                <w:lang w:bidi="ar"/>
              </w:rPr>
            </w:pPr>
            <w:r>
              <w:rPr>
                <w:rFonts w:hint="eastAsia"/>
                <w:color w:val="auto"/>
                <w:sz w:val="24"/>
                <w:lang w:bidi="ar"/>
              </w:rPr>
              <w:t>（1）</w:t>
            </w:r>
            <w:r>
              <w:rPr>
                <w:color w:val="auto"/>
                <w:sz w:val="24"/>
                <w:lang w:bidi="ar"/>
              </w:rPr>
              <w:t>生态保护红线</w:t>
            </w:r>
          </w:p>
          <w:p>
            <w:pPr>
              <w:shd w:val="clear"/>
              <w:spacing w:line="520" w:lineRule="exact"/>
              <w:ind w:firstLine="480" w:firstLineChars="200"/>
              <w:rPr>
                <w:color w:val="auto"/>
                <w:sz w:val="24"/>
                <w:lang w:bidi="ar"/>
              </w:rPr>
            </w:pPr>
            <w:r>
              <w:rPr>
                <w:color w:val="auto"/>
                <w:sz w:val="24"/>
                <w:lang w:bidi="ar"/>
              </w:rPr>
              <w:t>本项目位于</w:t>
            </w:r>
            <w:r>
              <w:rPr>
                <w:rFonts w:hint="eastAsia" w:ascii="Times New Roman" w:hAnsi="Times New Roman" w:eastAsia="宋体" w:cs="Times New Roman"/>
                <w:color w:val="auto"/>
                <w:sz w:val="24"/>
                <w:lang w:val="en-US" w:eastAsia="zh-CN"/>
              </w:rPr>
              <w:t>黑龙江省绥化市海伦市长发镇长建村</w:t>
            </w:r>
            <w:r>
              <w:rPr>
                <w:rFonts w:hint="eastAsia" w:cs="Times New Roman"/>
                <w:color w:val="auto"/>
                <w:sz w:val="24"/>
                <w:lang w:val="en-US" w:eastAsia="zh-CN"/>
              </w:rPr>
              <w:t>省道哈北路东</w:t>
            </w:r>
            <w:r>
              <w:rPr>
                <w:color w:val="auto"/>
                <w:sz w:val="24"/>
                <w:lang w:bidi="ar"/>
              </w:rPr>
              <w:t>，</w:t>
            </w:r>
            <w:r>
              <w:rPr>
                <w:rFonts w:hint="eastAsia"/>
                <w:color w:val="auto"/>
                <w:sz w:val="24"/>
                <w:lang w:bidi="ar"/>
              </w:rPr>
              <w:t>项目不在当地饮用水源、风景名胜区、自然保护区等生态保护区内，不在“自然资源部办公厅发布《自然资源部办公厅关于辽宁等省（市）启用“三区三线”划定成果作为报批建设项目用地用海依据的函》”中的生态保护红线范围内，满足生态保护红线要求。</w:t>
            </w:r>
          </w:p>
          <w:p>
            <w:pPr>
              <w:numPr>
                <w:ilvl w:val="0"/>
                <w:numId w:val="2"/>
              </w:numPr>
              <w:shd w:val="clear"/>
              <w:spacing w:line="520" w:lineRule="exact"/>
              <w:ind w:firstLine="480" w:firstLineChars="200"/>
              <w:rPr>
                <w:color w:val="auto"/>
                <w:sz w:val="24"/>
              </w:rPr>
            </w:pPr>
            <w:r>
              <w:rPr>
                <w:color w:val="auto"/>
                <w:sz w:val="24"/>
              </w:rPr>
              <w:t>环境质量底线</w:t>
            </w:r>
          </w:p>
          <w:p>
            <w:pPr>
              <w:shd w:val="clear"/>
              <w:spacing w:line="520" w:lineRule="exact"/>
              <w:ind w:firstLine="480" w:firstLineChars="200"/>
              <w:rPr>
                <w:rFonts w:hint="eastAsia" w:ascii="宋体"/>
                <w:color w:val="auto"/>
                <w:sz w:val="24"/>
                <w:szCs w:val="20"/>
              </w:rPr>
            </w:pPr>
            <w:r>
              <w:rPr>
                <w:rFonts w:ascii="宋体"/>
                <w:color w:val="auto"/>
                <w:sz w:val="24"/>
                <w:szCs w:val="20"/>
              </w:rPr>
              <w:t>项目所在区域为环境空气质量达标区，</w:t>
            </w:r>
            <w:r>
              <w:rPr>
                <w:bCs/>
                <w:color w:val="auto"/>
                <w:kern w:val="0"/>
                <w:sz w:val="24"/>
              </w:rPr>
              <w:t>本项目</w:t>
            </w:r>
            <w:r>
              <w:rPr>
                <w:rFonts w:hint="eastAsia"/>
                <w:bCs/>
                <w:color w:val="auto"/>
                <w:kern w:val="0"/>
                <w:sz w:val="24"/>
                <w:lang w:val="en-US" w:eastAsia="zh-CN"/>
              </w:rPr>
              <w:t>1台4</w:t>
            </w:r>
            <w:r>
              <w:rPr>
                <w:bCs/>
                <w:color w:val="auto"/>
                <w:kern w:val="0"/>
                <w:sz w:val="24"/>
              </w:rPr>
              <w:t>t/h燃生物质蒸汽锅炉产生的烟气经布袋除尘器处理后经</w:t>
            </w:r>
            <w:r>
              <w:rPr>
                <w:rFonts w:hint="eastAsia"/>
                <w:bCs/>
                <w:color w:val="auto"/>
                <w:kern w:val="0"/>
                <w:sz w:val="24"/>
                <w:lang w:val="en-US" w:eastAsia="zh-CN"/>
              </w:rPr>
              <w:t>1根</w:t>
            </w:r>
            <w:r>
              <w:rPr>
                <w:bCs/>
                <w:color w:val="auto"/>
                <w:kern w:val="0"/>
                <w:sz w:val="24"/>
              </w:rPr>
              <w:t>3</w:t>
            </w:r>
            <w:r>
              <w:rPr>
                <w:rFonts w:hint="eastAsia"/>
                <w:bCs/>
                <w:color w:val="auto"/>
                <w:kern w:val="0"/>
                <w:sz w:val="24"/>
                <w:lang w:val="en-US" w:eastAsia="zh-CN"/>
              </w:rPr>
              <w:t>5</w:t>
            </w:r>
            <w:r>
              <w:rPr>
                <w:bCs/>
                <w:color w:val="auto"/>
                <w:kern w:val="0"/>
                <w:sz w:val="24"/>
              </w:rPr>
              <w:t>米高烟囱（DA001）排放，布袋除尘器处理效率为99.9%，满足《锅炉大气污染物排放标准》（GB13271-2014）表2新建锅炉大气污染物排放浓度限值中燃煤锅炉要求。玉米</w:t>
            </w:r>
            <w:r>
              <w:rPr>
                <w:rFonts w:hint="eastAsia"/>
                <w:bCs/>
                <w:color w:val="auto"/>
                <w:kern w:val="0"/>
                <w:sz w:val="24"/>
                <w:lang w:eastAsia="zh-CN"/>
              </w:rPr>
              <w:t>蒸煮</w:t>
            </w:r>
            <w:r>
              <w:rPr>
                <w:bCs/>
                <w:color w:val="auto"/>
                <w:kern w:val="0"/>
                <w:sz w:val="24"/>
              </w:rPr>
              <w:t>工序会产生少量异味（以臭气浓度计），</w:t>
            </w:r>
            <w:r>
              <w:rPr>
                <w:rFonts w:hint="eastAsia"/>
                <w:bCs/>
                <w:color w:val="auto"/>
                <w:kern w:val="0"/>
                <w:sz w:val="24"/>
                <w:lang w:eastAsia="zh-CN"/>
              </w:rPr>
              <w:t>蒸煮</w:t>
            </w:r>
            <w:r>
              <w:rPr>
                <w:bCs/>
                <w:color w:val="auto"/>
                <w:kern w:val="0"/>
                <w:sz w:val="24"/>
              </w:rPr>
              <w:t>工序产生异味在生产车间内散溢，加强车间通风，</w:t>
            </w:r>
            <w:r>
              <w:rPr>
                <w:rFonts w:hint="eastAsia"/>
                <w:bCs/>
                <w:color w:val="auto"/>
                <w:kern w:val="0"/>
                <w:sz w:val="24"/>
                <w:lang w:eastAsia="zh-CN"/>
              </w:rPr>
              <w:t>蒸煮</w:t>
            </w:r>
            <w:r>
              <w:rPr>
                <w:bCs/>
                <w:color w:val="auto"/>
                <w:kern w:val="0"/>
                <w:sz w:val="24"/>
              </w:rPr>
              <w:t xml:space="preserve">工序异味对外环境影响较小。厂界臭气浓度能够满足《恶臭污染物排放标准》（GB14554-93）表2中臭气浓度20 </w:t>
            </w:r>
            <w:r>
              <w:rPr>
                <w:rFonts w:hint="eastAsia"/>
                <w:bCs/>
                <w:color w:val="auto"/>
                <w:kern w:val="0"/>
                <w:sz w:val="24"/>
                <w:lang w:eastAsia="zh-CN"/>
              </w:rPr>
              <w:t>（</w:t>
            </w:r>
            <w:r>
              <w:rPr>
                <w:bCs/>
                <w:color w:val="auto"/>
                <w:kern w:val="0"/>
                <w:sz w:val="24"/>
              </w:rPr>
              <w:t>无量纲</w:t>
            </w:r>
            <w:r>
              <w:rPr>
                <w:rFonts w:hint="eastAsia"/>
                <w:bCs/>
                <w:color w:val="auto"/>
                <w:kern w:val="0"/>
                <w:sz w:val="24"/>
                <w:lang w:eastAsia="zh-CN"/>
              </w:rPr>
              <w:t>）</w:t>
            </w:r>
            <w:r>
              <w:rPr>
                <w:bCs/>
                <w:color w:val="auto"/>
                <w:kern w:val="0"/>
                <w:sz w:val="24"/>
              </w:rPr>
              <w:t>标准限值。食堂安装油烟净化器进行净化，净化效率</w:t>
            </w:r>
            <w:r>
              <w:rPr>
                <w:rFonts w:hint="eastAsia"/>
                <w:bCs/>
                <w:color w:val="auto"/>
                <w:kern w:val="0"/>
                <w:sz w:val="24"/>
                <w:lang w:val="en-US" w:eastAsia="zh-CN"/>
              </w:rPr>
              <w:t>75</w:t>
            </w:r>
            <w:r>
              <w:rPr>
                <w:bCs/>
                <w:color w:val="auto"/>
                <w:kern w:val="0"/>
                <w:sz w:val="24"/>
              </w:rPr>
              <w:t>%，油烟废气经油烟净化器处理后达标排放</w:t>
            </w:r>
            <w:r>
              <w:rPr>
                <w:rFonts w:hint="eastAsia"/>
                <w:bCs/>
                <w:color w:val="auto"/>
                <w:kern w:val="0"/>
                <w:sz w:val="24"/>
              </w:rPr>
              <w:t>；</w:t>
            </w:r>
            <w:r>
              <w:rPr>
                <w:rFonts w:hint="eastAsia" w:ascii="宋体"/>
                <w:color w:val="auto"/>
                <w:sz w:val="24"/>
                <w:szCs w:val="20"/>
              </w:rPr>
              <w:t>本项目冬季</w:t>
            </w:r>
            <w:r>
              <w:rPr>
                <w:rFonts w:hint="eastAsia" w:ascii="宋体"/>
                <w:color w:val="auto"/>
                <w:sz w:val="24"/>
                <w:szCs w:val="20"/>
                <w:lang w:val="en-US" w:eastAsia="zh-CN"/>
              </w:rPr>
              <w:t>不生产无需供暖</w:t>
            </w:r>
            <w:r>
              <w:rPr>
                <w:rFonts w:hint="eastAsia" w:ascii="宋体"/>
                <w:color w:val="auto"/>
                <w:sz w:val="24"/>
                <w:szCs w:val="20"/>
              </w:rPr>
              <w:t>，通过相应大气污染防治措施可使全部大气污染物达标排放，对环境空气影响较小。</w:t>
            </w:r>
            <w:r>
              <w:rPr>
                <w:bCs/>
                <w:color w:val="auto"/>
                <w:kern w:val="0"/>
                <w:sz w:val="24"/>
              </w:rPr>
              <w:t>本项目生活污水排入防渗</w:t>
            </w:r>
            <w:r>
              <w:rPr>
                <w:rFonts w:hint="eastAsia"/>
                <w:bCs/>
                <w:color w:val="auto"/>
                <w:kern w:val="0"/>
                <w:sz w:val="24"/>
                <w:lang w:val="en-US" w:eastAsia="zh-CN"/>
              </w:rPr>
              <w:t>化粪池</w:t>
            </w:r>
            <w:r>
              <w:rPr>
                <w:bCs/>
                <w:color w:val="auto"/>
                <w:kern w:val="0"/>
                <w:sz w:val="24"/>
              </w:rPr>
              <w:t>，定期清掏</w:t>
            </w:r>
            <w:r>
              <w:rPr>
                <w:rFonts w:hint="eastAsia"/>
                <w:bCs/>
                <w:color w:val="auto"/>
                <w:kern w:val="0"/>
                <w:sz w:val="24"/>
                <w:lang w:eastAsia="zh-CN"/>
              </w:rPr>
              <w:t>；</w:t>
            </w:r>
            <w:r>
              <w:rPr>
                <w:bCs/>
                <w:color w:val="auto"/>
                <w:kern w:val="0"/>
                <w:sz w:val="24"/>
              </w:rPr>
              <w:t>生产废水（</w:t>
            </w:r>
            <w:r>
              <w:rPr>
                <w:rFonts w:ascii="Times New Roman" w:hAnsi="Times New Roman" w:eastAsia="宋体" w:cs="Times New Roman"/>
                <w:bCs/>
                <w:color w:val="auto"/>
                <w:kern w:val="0"/>
                <w:sz w:val="24"/>
              </w:rPr>
              <w:t>车间地面冲洗废水、</w:t>
            </w:r>
            <w:r>
              <w:rPr>
                <w:rFonts w:hint="eastAsia" w:ascii="Times New Roman" w:hAnsi="Times New Roman" w:eastAsia="宋体" w:cs="Times New Roman"/>
                <w:bCs/>
                <w:color w:val="auto"/>
                <w:kern w:val="0"/>
                <w:sz w:val="24"/>
                <w:lang w:val="en-US" w:eastAsia="zh-CN"/>
              </w:rPr>
              <w:t>清洗废水、</w:t>
            </w:r>
            <w:r>
              <w:rPr>
                <w:rFonts w:ascii="Times New Roman" w:hAnsi="Times New Roman" w:eastAsia="宋体" w:cs="Times New Roman"/>
                <w:bCs/>
                <w:color w:val="auto"/>
                <w:kern w:val="0"/>
                <w:sz w:val="24"/>
              </w:rPr>
              <w:t>锅炉排污水及软化废水</w:t>
            </w:r>
            <w:r>
              <w:rPr>
                <w:rFonts w:hint="eastAsia" w:ascii="Times New Roman" w:hAnsi="Times New Roman" w:cs="Times New Roman"/>
                <w:bCs/>
                <w:color w:val="auto"/>
                <w:kern w:val="0"/>
                <w:sz w:val="24"/>
                <w:lang w:eastAsia="zh-CN"/>
              </w:rPr>
              <w:t>、</w:t>
            </w:r>
            <w:r>
              <w:rPr>
                <w:rFonts w:hint="eastAsia" w:ascii="Times New Roman" w:hAnsi="Times New Roman" w:cs="Times New Roman"/>
                <w:bCs/>
                <w:color w:val="auto"/>
                <w:kern w:val="0"/>
                <w:sz w:val="24"/>
                <w:lang w:val="en-US" w:eastAsia="zh-CN"/>
              </w:rPr>
              <w:t>高温杀菌废水</w:t>
            </w:r>
            <w:r>
              <w:rPr>
                <w:bCs/>
                <w:color w:val="auto"/>
                <w:kern w:val="0"/>
                <w:sz w:val="24"/>
                <w:shd w:val="clear"/>
              </w:rPr>
              <w:t>）暂存于</w:t>
            </w:r>
            <w:r>
              <w:rPr>
                <w:rFonts w:hint="eastAsia"/>
                <w:bCs/>
                <w:color w:val="auto"/>
                <w:kern w:val="0"/>
                <w:sz w:val="24"/>
                <w:shd w:val="clear"/>
                <w:lang w:val="en-US" w:eastAsia="zh-CN"/>
              </w:rPr>
              <w:t>6</w:t>
            </w:r>
            <w:r>
              <w:rPr>
                <w:bCs/>
                <w:color w:val="auto"/>
                <w:kern w:val="0"/>
                <w:sz w:val="24"/>
                <w:shd w:val="clear"/>
              </w:rPr>
              <w:t>0m</w:t>
            </w:r>
            <w:r>
              <w:rPr>
                <w:bCs/>
                <w:color w:val="auto"/>
                <w:kern w:val="0"/>
                <w:sz w:val="24"/>
                <w:shd w:val="clear"/>
                <w:vertAlign w:val="superscript"/>
              </w:rPr>
              <w:t>3</w:t>
            </w:r>
            <w:r>
              <w:rPr>
                <w:bCs/>
                <w:color w:val="auto"/>
                <w:kern w:val="0"/>
                <w:sz w:val="24"/>
                <w:shd w:val="clear"/>
              </w:rPr>
              <w:t>的密闭储罐内，每天由专用罐车拉运至海伦市污</w:t>
            </w:r>
            <w:r>
              <w:rPr>
                <w:bCs/>
                <w:color w:val="auto"/>
                <w:kern w:val="0"/>
                <w:sz w:val="24"/>
              </w:rPr>
              <w:t>水处理厂处理，日产日清</w:t>
            </w:r>
            <w:r>
              <w:rPr>
                <w:rFonts w:hint="eastAsia" w:ascii="宋体"/>
                <w:color w:val="auto"/>
                <w:sz w:val="24"/>
                <w:szCs w:val="20"/>
              </w:rPr>
              <w:t>，</w:t>
            </w:r>
            <w:r>
              <w:rPr>
                <w:rFonts w:ascii="宋体"/>
                <w:color w:val="auto"/>
                <w:sz w:val="24"/>
                <w:szCs w:val="20"/>
              </w:rPr>
              <w:t>对地表水环境影响较小。</w:t>
            </w:r>
            <w:r>
              <w:rPr>
                <w:rFonts w:hint="eastAsia" w:ascii="宋体"/>
                <w:color w:val="auto"/>
                <w:sz w:val="24"/>
                <w:szCs w:val="20"/>
              </w:rPr>
              <w:t>项目针对设备噪声采取</w:t>
            </w:r>
            <w:r>
              <w:rPr>
                <w:rFonts w:ascii="宋体"/>
                <w:color w:val="auto"/>
                <w:sz w:val="24"/>
                <w:szCs w:val="20"/>
              </w:rPr>
              <w:t>基础减</w:t>
            </w:r>
            <w:r>
              <w:rPr>
                <w:rFonts w:hint="eastAsia" w:ascii="宋体"/>
                <w:color w:val="auto"/>
                <w:sz w:val="24"/>
                <w:szCs w:val="20"/>
              </w:rPr>
              <w:t>振</w:t>
            </w:r>
            <w:r>
              <w:rPr>
                <w:rFonts w:ascii="宋体"/>
                <w:color w:val="auto"/>
                <w:sz w:val="24"/>
                <w:szCs w:val="20"/>
              </w:rPr>
              <w:t>等降噪措施</w:t>
            </w:r>
            <w:r>
              <w:rPr>
                <w:rFonts w:hint="eastAsia" w:ascii="宋体"/>
                <w:color w:val="auto"/>
                <w:sz w:val="24"/>
                <w:szCs w:val="20"/>
              </w:rPr>
              <w:t>，</w:t>
            </w:r>
            <w:r>
              <w:rPr>
                <w:rFonts w:ascii="宋体"/>
                <w:color w:val="auto"/>
                <w:sz w:val="24"/>
                <w:szCs w:val="20"/>
              </w:rPr>
              <w:t>厂</w:t>
            </w:r>
            <w:r>
              <w:rPr>
                <w:color w:val="auto"/>
                <w:sz w:val="24"/>
                <w:szCs w:val="20"/>
              </w:rPr>
              <w:t>界满足《工业企业厂界环境噪声排放标准》（GB12348-2008）中2类</w:t>
            </w:r>
            <w:r>
              <w:rPr>
                <w:rFonts w:hint="eastAsia"/>
                <w:color w:val="auto"/>
                <w:sz w:val="24"/>
                <w:szCs w:val="20"/>
                <w:lang w:eastAsia="zh-CN"/>
              </w:rPr>
              <w:t>、</w:t>
            </w:r>
            <w:r>
              <w:rPr>
                <w:rFonts w:hint="eastAsia"/>
                <w:color w:val="auto"/>
                <w:sz w:val="24"/>
                <w:szCs w:val="20"/>
                <w:lang w:val="en-US" w:eastAsia="zh-CN"/>
              </w:rPr>
              <w:t>4类</w:t>
            </w:r>
            <w:r>
              <w:rPr>
                <w:color w:val="auto"/>
                <w:sz w:val="24"/>
                <w:szCs w:val="20"/>
              </w:rPr>
              <w:t>标准要求；本项目产生的固体废物通过采取相应的处理措施后，可实现固</w:t>
            </w:r>
            <w:r>
              <w:rPr>
                <w:rFonts w:ascii="宋体"/>
                <w:color w:val="auto"/>
                <w:sz w:val="24"/>
                <w:szCs w:val="20"/>
              </w:rPr>
              <w:t>体废物处理的无害化，减量化及资源化的目标。</w:t>
            </w:r>
            <w:r>
              <w:rPr>
                <w:rFonts w:hint="eastAsia" w:ascii="宋体"/>
                <w:color w:val="auto"/>
                <w:sz w:val="24"/>
                <w:szCs w:val="20"/>
              </w:rPr>
              <w:t>本项目的建设不会降低项目所在地周边环境的环境功能质量，符合环境质量控制底线要求。</w:t>
            </w:r>
          </w:p>
          <w:p>
            <w:pPr>
              <w:pStyle w:val="36"/>
              <w:shd w:val="clear"/>
              <w:jc w:val="center"/>
              <w:rPr>
                <w:rFonts w:hint="default" w:ascii="Times New Roman" w:hAnsi="Times New Roman" w:eastAsia="宋体" w:cs="Times New Roman"/>
                <w:b/>
                <w:bCs/>
                <w:color w:val="auto"/>
                <w:kern w:val="0"/>
                <w:sz w:val="24"/>
                <w:szCs w:val="24"/>
                <w:highlight w:val="none"/>
                <w:lang w:val="en-US" w:eastAsia="zh-CN"/>
              </w:rPr>
            </w:pPr>
            <w:r>
              <w:rPr>
                <w:color w:val="auto"/>
                <w:highlight w:val="none"/>
              </w:rPr>
              <w:drawing>
                <wp:inline distT="0" distB="0" distL="114300" distR="114300">
                  <wp:extent cx="3905250" cy="4171950"/>
                  <wp:effectExtent l="0" t="0" r="11430" b="381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1"/>
                          <a:stretch>
                            <a:fillRect/>
                          </a:stretch>
                        </pic:blipFill>
                        <pic:spPr>
                          <a:xfrm>
                            <a:off x="0" y="0"/>
                            <a:ext cx="3905250" cy="4171950"/>
                          </a:xfrm>
                          <a:prstGeom prst="rect">
                            <a:avLst/>
                          </a:prstGeom>
                          <a:noFill/>
                          <a:ln>
                            <a:noFill/>
                          </a:ln>
                        </pic:spPr>
                      </pic:pic>
                    </a:graphicData>
                  </a:graphic>
                </wp:inline>
              </w:drawing>
            </w:r>
          </w:p>
          <w:p>
            <w:pPr>
              <w:pStyle w:val="36"/>
              <w:shd w:val="clear"/>
              <w:rPr>
                <w:color w:val="auto"/>
                <w:highlight w:val="none"/>
              </w:rPr>
            </w:pPr>
            <w:r>
              <w:rPr>
                <w:rFonts w:hint="default" w:ascii="Times New Roman" w:hAnsi="Times New Roman" w:eastAsia="宋体" w:cs="Times New Roman"/>
                <w:b/>
                <w:bCs/>
                <w:color w:val="auto"/>
                <w:kern w:val="0"/>
                <w:sz w:val="21"/>
                <w:szCs w:val="24"/>
                <w:highlight w:val="none"/>
                <w:lang w:val="en-US" w:eastAsia="zh-CN"/>
              </w:rPr>
              <w:t>图1-</w:t>
            </w:r>
            <w:r>
              <w:rPr>
                <w:rFonts w:hint="eastAsia" w:ascii="Times New Roman" w:hAnsi="Times New Roman" w:eastAsia="宋体" w:cs="Times New Roman"/>
                <w:b/>
                <w:bCs/>
                <w:color w:val="auto"/>
                <w:kern w:val="0"/>
                <w:sz w:val="21"/>
                <w:szCs w:val="24"/>
                <w:highlight w:val="none"/>
                <w:lang w:val="en-US" w:eastAsia="zh-CN"/>
              </w:rPr>
              <w:t>1</w:t>
            </w:r>
            <w:r>
              <w:rPr>
                <w:rFonts w:hint="default" w:ascii="Times New Roman" w:hAnsi="Times New Roman" w:eastAsia="宋体" w:cs="Times New Roman"/>
                <w:b/>
                <w:bCs/>
                <w:color w:val="auto"/>
                <w:kern w:val="0"/>
                <w:sz w:val="21"/>
                <w:szCs w:val="24"/>
                <w:highlight w:val="none"/>
                <w:lang w:val="en-US" w:eastAsia="zh-CN"/>
              </w:rPr>
              <w:t xml:space="preserve"> </w:t>
            </w:r>
            <w:r>
              <w:rPr>
                <w:rFonts w:hint="eastAsia" w:ascii="Times New Roman" w:hAnsi="Times New Roman" w:eastAsia="宋体" w:cs="Times New Roman"/>
                <w:b/>
                <w:bCs/>
                <w:color w:val="auto"/>
                <w:kern w:val="0"/>
                <w:sz w:val="21"/>
                <w:szCs w:val="24"/>
                <w:highlight w:val="none"/>
                <w:lang w:val="en-US" w:eastAsia="zh-CN"/>
              </w:rPr>
              <w:t>水</w:t>
            </w:r>
            <w:r>
              <w:rPr>
                <w:rFonts w:hint="default" w:ascii="Times New Roman" w:hAnsi="Times New Roman" w:eastAsia="宋体" w:cs="Times New Roman"/>
                <w:b/>
                <w:bCs/>
                <w:color w:val="auto"/>
                <w:kern w:val="0"/>
                <w:sz w:val="21"/>
                <w:szCs w:val="24"/>
                <w:highlight w:val="none"/>
                <w:lang w:val="en-US" w:eastAsia="zh-CN"/>
              </w:rPr>
              <w:t>环境质量底线分区示意图</w:t>
            </w:r>
          </w:p>
          <w:p>
            <w:pPr>
              <w:shd w:val="clear"/>
              <w:spacing w:line="440" w:lineRule="exact"/>
              <w:ind w:firstLine="480" w:firstLineChars="200"/>
              <w:rPr>
                <w:color w:val="auto"/>
                <w:sz w:val="24"/>
              </w:rPr>
            </w:pPr>
            <w:r>
              <w:rPr>
                <w:color w:val="auto"/>
                <w:sz w:val="24"/>
              </w:rPr>
              <w:t>（3）资源利用上线符合性分析</w:t>
            </w:r>
          </w:p>
          <w:p>
            <w:pPr>
              <w:shd w:val="clear"/>
              <w:spacing w:line="440" w:lineRule="exact"/>
              <w:ind w:left="420" w:leftChars="200"/>
              <w:rPr>
                <w:bCs/>
                <w:color w:val="auto"/>
                <w:sz w:val="24"/>
              </w:rPr>
            </w:pPr>
            <w:r>
              <w:rPr>
                <w:bCs/>
                <w:color w:val="auto"/>
                <w:sz w:val="24"/>
              </w:rPr>
              <w:t>1）资源利用上线相关要求</w:t>
            </w:r>
          </w:p>
          <w:p>
            <w:pPr>
              <w:shd w:val="clear"/>
              <w:spacing w:line="440" w:lineRule="exact"/>
              <w:ind w:left="420" w:leftChars="200"/>
              <w:rPr>
                <w:bCs/>
                <w:color w:val="auto"/>
                <w:sz w:val="24"/>
              </w:rPr>
            </w:pPr>
            <w:r>
              <w:rPr>
                <w:bCs/>
                <w:color w:val="auto"/>
                <w:sz w:val="24"/>
              </w:rPr>
              <w:t>①能源利用上线</w:t>
            </w:r>
          </w:p>
          <w:p>
            <w:pPr>
              <w:shd w:val="clear"/>
              <w:spacing w:line="440" w:lineRule="exact"/>
              <w:ind w:firstLine="480" w:firstLineChars="200"/>
              <w:rPr>
                <w:bCs/>
                <w:color w:val="auto"/>
                <w:sz w:val="24"/>
              </w:rPr>
            </w:pPr>
            <w:r>
              <w:rPr>
                <w:bCs/>
                <w:color w:val="auto"/>
                <w:sz w:val="24"/>
              </w:rPr>
              <w:t>煤炭消费上线预测以碳排放相关指标数据为基础，结合各市（地）能源结构、能源消费总量、污染物排放及减排潜力情况、大气环境质量现状及目标，充分考虑达标城市抓好经济发展、保障民生工程的需求，确定</w:t>
            </w:r>
            <w:r>
              <w:rPr>
                <w:rFonts w:hint="eastAsia"/>
                <w:bCs/>
                <w:color w:val="auto"/>
                <w:sz w:val="24"/>
              </w:rPr>
              <w:t>绥化市</w:t>
            </w:r>
            <w:r>
              <w:rPr>
                <w:bCs/>
                <w:color w:val="auto"/>
                <w:sz w:val="24"/>
              </w:rPr>
              <w:t>目标年煤炭消费上线。</w:t>
            </w:r>
          </w:p>
          <w:p>
            <w:pPr>
              <w:shd w:val="clear"/>
              <w:spacing w:line="440" w:lineRule="exact"/>
              <w:ind w:left="420" w:leftChars="200"/>
              <w:rPr>
                <w:bCs/>
                <w:color w:val="auto"/>
                <w:sz w:val="24"/>
              </w:rPr>
            </w:pPr>
            <w:r>
              <w:rPr>
                <w:bCs/>
                <w:color w:val="auto"/>
                <w:sz w:val="24"/>
              </w:rPr>
              <w:t>②水资源利用上线</w:t>
            </w:r>
          </w:p>
          <w:p>
            <w:pPr>
              <w:shd w:val="clear"/>
              <w:adjustRightInd w:val="0"/>
              <w:snapToGrid w:val="0"/>
              <w:spacing w:line="440" w:lineRule="exact"/>
              <w:ind w:firstLine="480" w:firstLineChars="200"/>
              <w:rPr>
                <w:rFonts w:ascii="宋体" w:hAnsi="宋体" w:cs="宋体"/>
                <w:bCs/>
                <w:color w:val="auto"/>
                <w:sz w:val="24"/>
              </w:rPr>
            </w:pPr>
            <w:r>
              <w:rPr>
                <w:bCs/>
                <w:color w:val="auto"/>
                <w:sz w:val="24"/>
              </w:rPr>
              <w:t>根据黑龙江省最严格水资源管</w:t>
            </w:r>
            <w:r>
              <w:rPr>
                <w:rFonts w:hint="eastAsia" w:ascii="宋体" w:hAnsi="宋体" w:cs="宋体"/>
                <w:bCs/>
                <w:color w:val="auto"/>
                <w:sz w:val="24"/>
              </w:rPr>
              <w:t>理制度“三条红线”控制指</w:t>
            </w:r>
            <w:r>
              <w:rPr>
                <w:bCs/>
                <w:color w:val="auto"/>
                <w:sz w:val="24"/>
              </w:rPr>
              <w:t>标和《中共黑龙江省委办公厅黑龙江省人民政府办公厅关于加强地下水管理和保护工作的意见》（黑办发〔2018〕52号），根据黑区域环评办〔2019〕4号关于印发《黑龙江省区域空间生态环境评价技术方案》的通知的要求，</w:t>
            </w:r>
            <w:r>
              <w:rPr>
                <w:rFonts w:hint="eastAsia" w:ascii="宋体" w:hAnsi="宋体" w:cs="宋体"/>
                <w:bCs/>
                <w:color w:val="auto"/>
                <w:sz w:val="24"/>
              </w:rPr>
              <w:t>“评价现状水资源承载状况，对水资源承载负荷超过承载能力或接近承载能力的地区，划定为重点管控区”，绥化市的庆安县地下水超载，绥棱县地下水临界超载，将庆安县和绥棱县划为重点管控区，其他市县区为一般管控区。</w:t>
            </w:r>
          </w:p>
          <w:p>
            <w:pPr>
              <w:shd w:val="clear"/>
              <w:adjustRightInd w:val="0"/>
              <w:snapToGrid w:val="0"/>
              <w:spacing w:line="440" w:lineRule="exact"/>
              <w:ind w:firstLine="480" w:firstLineChars="200"/>
              <w:rPr>
                <w:bCs/>
                <w:color w:val="auto"/>
                <w:sz w:val="24"/>
              </w:rPr>
            </w:pPr>
            <w:r>
              <w:rPr>
                <w:bCs/>
                <w:color w:val="auto"/>
                <w:sz w:val="24"/>
              </w:rPr>
              <w:t>③土地资源利用上线</w:t>
            </w:r>
          </w:p>
          <w:p>
            <w:pPr>
              <w:shd w:val="clear"/>
              <w:adjustRightInd w:val="0"/>
              <w:snapToGrid w:val="0"/>
              <w:spacing w:line="440" w:lineRule="exact"/>
              <w:ind w:firstLine="480" w:firstLineChars="200"/>
              <w:rPr>
                <w:bCs/>
                <w:color w:val="auto"/>
                <w:sz w:val="24"/>
              </w:rPr>
            </w:pPr>
            <w:r>
              <w:rPr>
                <w:bCs/>
                <w:color w:val="auto"/>
                <w:sz w:val="24"/>
              </w:rPr>
              <w:t>根据《黑龙江省国土规划（2016-2030年）》、《黑龙江省主体功能区规划》的要求，围绕国土空间总体布局，全面推进国土集聚开发、分类保护和综合整治。</w:t>
            </w:r>
          </w:p>
          <w:p>
            <w:pPr>
              <w:shd w:val="clear"/>
              <w:adjustRightInd w:val="0"/>
              <w:snapToGrid w:val="0"/>
              <w:spacing w:line="440" w:lineRule="exact"/>
              <w:ind w:firstLine="480" w:firstLineChars="200"/>
              <w:rPr>
                <w:bCs/>
                <w:color w:val="auto"/>
                <w:sz w:val="24"/>
              </w:rPr>
            </w:pPr>
            <w:r>
              <w:rPr>
                <w:bCs/>
                <w:color w:val="auto"/>
                <w:sz w:val="24"/>
              </w:rPr>
              <w:t>2）符合性分析</w:t>
            </w:r>
          </w:p>
          <w:p>
            <w:pPr>
              <w:shd w:val="clear"/>
              <w:adjustRightInd w:val="0"/>
              <w:snapToGrid w:val="0"/>
              <w:spacing w:line="440" w:lineRule="exact"/>
              <w:ind w:firstLine="480" w:firstLineChars="200"/>
              <w:rPr>
                <w:color w:val="auto"/>
                <w:sz w:val="24"/>
              </w:rPr>
            </w:pPr>
            <w:r>
              <w:rPr>
                <w:color w:val="auto"/>
                <w:sz w:val="24"/>
              </w:rPr>
              <w:t>本项目为</w:t>
            </w:r>
            <w:r>
              <w:rPr>
                <w:rFonts w:hint="eastAsia"/>
                <w:color w:val="auto"/>
                <w:sz w:val="24"/>
              </w:rPr>
              <w:t>生物质蒸汽锅炉</w:t>
            </w:r>
            <w:r>
              <w:rPr>
                <w:color w:val="auto"/>
                <w:sz w:val="24"/>
              </w:rPr>
              <w:t>，燃料为生物质成型燃料，并配备高效布袋除尘器，项目资源消耗量相对区域资源总量较小，符合资源利用上限要求。本项目营运期用水量较少，不属于耗水工业项目，不会加重水资源消耗，本项目符合水资源利用上线管控要求。本项目位于</w:t>
            </w:r>
            <w:r>
              <w:rPr>
                <w:rFonts w:hint="eastAsia" w:ascii="Times New Roman" w:hAnsi="Times New Roman" w:eastAsia="宋体" w:cs="Times New Roman"/>
                <w:color w:val="auto"/>
                <w:sz w:val="24"/>
                <w:lang w:val="en-US" w:eastAsia="zh-CN"/>
              </w:rPr>
              <w:t>黑龙江省绥化市海伦市长发镇长建村</w:t>
            </w:r>
            <w:r>
              <w:rPr>
                <w:rFonts w:hint="eastAsia" w:cs="Times New Roman"/>
                <w:color w:val="auto"/>
                <w:sz w:val="24"/>
                <w:lang w:val="en-US" w:eastAsia="zh-CN"/>
              </w:rPr>
              <w:t>省道哈北路东</w:t>
            </w:r>
            <w:r>
              <w:rPr>
                <w:color w:val="auto"/>
                <w:sz w:val="24"/>
              </w:rPr>
              <w:t>，本项目用地</w:t>
            </w:r>
            <w:r>
              <w:rPr>
                <w:color w:val="auto"/>
                <w:sz w:val="24"/>
                <w:shd w:val="clear"/>
              </w:rPr>
              <w:t>属于</w:t>
            </w:r>
            <w:r>
              <w:rPr>
                <w:rFonts w:hint="eastAsia"/>
                <w:color w:val="auto"/>
                <w:sz w:val="24"/>
                <w:shd w:val="clear"/>
                <w:lang w:val="en-US" w:eastAsia="zh-CN"/>
              </w:rPr>
              <w:t>建设</w:t>
            </w:r>
            <w:r>
              <w:rPr>
                <w:color w:val="auto"/>
                <w:sz w:val="24"/>
                <w:shd w:val="clear"/>
              </w:rPr>
              <w:t>用地，不占用农</w:t>
            </w:r>
            <w:r>
              <w:rPr>
                <w:color w:val="auto"/>
                <w:sz w:val="24"/>
              </w:rPr>
              <w:t>用地、林地，用地性质符合要求。</w:t>
            </w:r>
          </w:p>
          <w:p>
            <w:pPr>
              <w:shd w:val="clear"/>
              <w:adjustRightInd w:val="0"/>
              <w:snapToGrid w:val="0"/>
              <w:spacing w:line="440" w:lineRule="exact"/>
              <w:ind w:firstLine="480" w:firstLineChars="200"/>
              <w:rPr>
                <w:color w:val="auto"/>
                <w:sz w:val="24"/>
              </w:rPr>
            </w:pPr>
            <w:r>
              <w:rPr>
                <w:rFonts w:hint="eastAsia"/>
                <w:color w:val="auto"/>
                <w:sz w:val="24"/>
              </w:rPr>
              <w:t>本项目</w:t>
            </w:r>
            <w:r>
              <w:rPr>
                <w:color w:val="auto"/>
                <w:sz w:val="24"/>
              </w:rPr>
              <w:t>位于</w:t>
            </w:r>
            <w:r>
              <w:rPr>
                <w:rFonts w:hint="eastAsia" w:ascii="Times New Roman" w:hAnsi="Times New Roman" w:eastAsia="宋体" w:cs="Times New Roman"/>
                <w:color w:val="auto"/>
                <w:sz w:val="24"/>
                <w:lang w:val="en-US" w:eastAsia="zh-CN"/>
              </w:rPr>
              <w:t>黑龙江省绥化市海伦市长发镇长建村刘海山屯</w:t>
            </w:r>
            <w:r>
              <w:rPr>
                <w:color w:val="auto"/>
                <w:sz w:val="24"/>
              </w:rPr>
              <w:t>，</w:t>
            </w:r>
            <w:r>
              <w:rPr>
                <w:rFonts w:hint="eastAsia"/>
                <w:color w:val="auto"/>
                <w:sz w:val="24"/>
              </w:rPr>
              <w:t>不在城市建成区内，</w:t>
            </w:r>
            <w:r>
              <w:rPr>
                <w:color w:val="auto"/>
                <w:sz w:val="24"/>
              </w:rPr>
              <w:t>本项目为</w:t>
            </w:r>
            <w:r>
              <w:rPr>
                <w:rFonts w:hint="default" w:ascii="Times New Roman" w:hAnsi="Times New Roman" w:cs="Times New Roman"/>
                <w:b w:val="0"/>
                <w:bCs w:val="0"/>
                <w:color w:val="auto"/>
                <w:sz w:val="24"/>
                <w:lang w:eastAsia="zh-CN"/>
              </w:rPr>
              <w:t>鲜食玉米加工</w:t>
            </w:r>
            <w:r>
              <w:rPr>
                <w:rFonts w:hint="default" w:ascii="Times New Roman" w:hAnsi="Times New Roman" w:cs="Times New Roman"/>
                <w:b w:val="0"/>
                <w:bCs w:val="0"/>
                <w:color w:val="auto"/>
                <w:sz w:val="24"/>
              </w:rPr>
              <w:t>项目</w:t>
            </w:r>
            <w:r>
              <w:rPr>
                <w:color w:val="auto"/>
                <w:sz w:val="24"/>
              </w:rPr>
              <w:t>，</w:t>
            </w:r>
            <w:r>
              <w:rPr>
                <w:rFonts w:hint="eastAsia"/>
                <w:color w:val="auto"/>
                <w:sz w:val="24"/>
              </w:rPr>
              <w:t>不属于重污染工业企业，</w:t>
            </w:r>
            <w:r>
              <w:rPr>
                <w:color w:val="auto"/>
                <w:sz w:val="24"/>
              </w:rPr>
              <w:t>供暖用燃</w:t>
            </w:r>
            <w:r>
              <w:rPr>
                <w:rFonts w:hint="eastAsia"/>
                <w:color w:val="auto"/>
                <w:sz w:val="24"/>
              </w:rPr>
              <w:t>生物质蒸汽锅炉</w:t>
            </w:r>
            <w:r>
              <w:rPr>
                <w:color w:val="auto"/>
                <w:sz w:val="24"/>
              </w:rPr>
              <w:t>产生</w:t>
            </w:r>
            <w:r>
              <w:rPr>
                <w:color w:val="auto"/>
                <w:sz w:val="24"/>
                <w:shd w:val="clear"/>
              </w:rPr>
              <w:t>的废气经布袋除尘器处理后经</w:t>
            </w:r>
            <w:r>
              <w:rPr>
                <w:rFonts w:hint="eastAsia"/>
                <w:color w:val="auto"/>
                <w:sz w:val="24"/>
                <w:shd w:val="clear"/>
              </w:rPr>
              <w:t>3</w:t>
            </w:r>
            <w:r>
              <w:rPr>
                <w:rFonts w:hint="eastAsia"/>
                <w:color w:val="auto"/>
                <w:sz w:val="24"/>
                <w:shd w:val="clear"/>
                <w:lang w:val="en-US" w:eastAsia="zh-CN"/>
              </w:rPr>
              <w:t>5</w:t>
            </w:r>
            <w:r>
              <w:rPr>
                <w:color w:val="auto"/>
                <w:sz w:val="24"/>
                <w:shd w:val="clear"/>
              </w:rPr>
              <w:t>米高烟囱</w:t>
            </w:r>
            <w:r>
              <w:rPr>
                <w:rFonts w:hint="eastAsia"/>
                <w:color w:val="auto"/>
                <w:sz w:val="24"/>
                <w:shd w:val="clear"/>
                <w:lang w:val="en-US" w:eastAsia="zh-CN"/>
              </w:rPr>
              <w:t>达标</w:t>
            </w:r>
            <w:r>
              <w:rPr>
                <w:color w:val="auto"/>
                <w:sz w:val="24"/>
                <w:shd w:val="clear"/>
              </w:rPr>
              <w:t>排放；</w:t>
            </w:r>
            <w:r>
              <w:rPr>
                <w:bCs/>
                <w:color w:val="auto"/>
                <w:kern w:val="0"/>
                <w:sz w:val="24"/>
                <w:shd w:val="clear"/>
              </w:rPr>
              <w:t>本项目生活污水排入防渗</w:t>
            </w:r>
            <w:r>
              <w:rPr>
                <w:rFonts w:hint="eastAsia"/>
                <w:bCs/>
                <w:color w:val="auto"/>
                <w:kern w:val="0"/>
                <w:sz w:val="24"/>
                <w:shd w:val="clear"/>
                <w:lang w:val="en-US" w:eastAsia="zh-CN"/>
              </w:rPr>
              <w:t>化粪池</w:t>
            </w:r>
            <w:r>
              <w:rPr>
                <w:bCs/>
                <w:color w:val="auto"/>
                <w:kern w:val="0"/>
                <w:sz w:val="24"/>
                <w:shd w:val="clear"/>
              </w:rPr>
              <w:t>，定期清掏。生产废水（</w:t>
            </w:r>
            <w:r>
              <w:rPr>
                <w:rFonts w:ascii="Times New Roman" w:hAnsi="Times New Roman" w:eastAsia="宋体" w:cs="Times New Roman"/>
                <w:bCs/>
                <w:color w:val="auto"/>
                <w:kern w:val="0"/>
                <w:sz w:val="24"/>
              </w:rPr>
              <w:t>车间地面冲洗废水、</w:t>
            </w:r>
            <w:r>
              <w:rPr>
                <w:rFonts w:hint="eastAsia" w:ascii="Times New Roman" w:hAnsi="Times New Roman" w:eastAsia="宋体" w:cs="Times New Roman"/>
                <w:bCs/>
                <w:color w:val="auto"/>
                <w:kern w:val="0"/>
                <w:sz w:val="24"/>
                <w:lang w:val="en-US" w:eastAsia="zh-CN"/>
              </w:rPr>
              <w:t>清洗废水、</w:t>
            </w:r>
            <w:r>
              <w:rPr>
                <w:rFonts w:ascii="Times New Roman" w:hAnsi="Times New Roman" w:eastAsia="宋体" w:cs="Times New Roman"/>
                <w:bCs/>
                <w:color w:val="auto"/>
                <w:kern w:val="0"/>
                <w:sz w:val="24"/>
              </w:rPr>
              <w:t>锅炉排污水及软化废水</w:t>
            </w:r>
            <w:r>
              <w:rPr>
                <w:rFonts w:hint="eastAsia" w:ascii="Times New Roman" w:hAnsi="Times New Roman" w:cs="Times New Roman"/>
                <w:bCs/>
                <w:color w:val="auto"/>
                <w:kern w:val="0"/>
                <w:sz w:val="24"/>
                <w:lang w:eastAsia="zh-CN"/>
              </w:rPr>
              <w:t>、</w:t>
            </w:r>
            <w:r>
              <w:rPr>
                <w:rFonts w:hint="eastAsia" w:ascii="Times New Roman" w:hAnsi="Times New Roman" w:cs="Times New Roman"/>
                <w:bCs/>
                <w:color w:val="auto"/>
                <w:kern w:val="0"/>
                <w:sz w:val="24"/>
                <w:lang w:val="en-US" w:eastAsia="zh-CN"/>
              </w:rPr>
              <w:t>高温杀菌废水</w:t>
            </w:r>
            <w:r>
              <w:rPr>
                <w:bCs/>
                <w:color w:val="auto"/>
                <w:kern w:val="0"/>
                <w:sz w:val="24"/>
                <w:shd w:val="clear"/>
              </w:rPr>
              <w:t>）暂存于</w:t>
            </w:r>
            <w:r>
              <w:rPr>
                <w:rFonts w:hint="eastAsia"/>
                <w:bCs/>
                <w:color w:val="auto"/>
                <w:kern w:val="0"/>
                <w:sz w:val="24"/>
                <w:shd w:val="clear"/>
                <w:lang w:val="en-US" w:eastAsia="zh-CN"/>
              </w:rPr>
              <w:t>6</w:t>
            </w:r>
            <w:r>
              <w:rPr>
                <w:bCs/>
                <w:color w:val="auto"/>
                <w:kern w:val="0"/>
                <w:sz w:val="24"/>
                <w:shd w:val="clear"/>
              </w:rPr>
              <w:t>0m</w:t>
            </w:r>
            <w:r>
              <w:rPr>
                <w:bCs/>
                <w:color w:val="auto"/>
                <w:kern w:val="0"/>
                <w:sz w:val="24"/>
                <w:shd w:val="clear"/>
                <w:vertAlign w:val="superscript"/>
              </w:rPr>
              <w:t>3</w:t>
            </w:r>
            <w:r>
              <w:rPr>
                <w:bCs/>
                <w:color w:val="auto"/>
                <w:kern w:val="0"/>
                <w:sz w:val="24"/>
                <w:shd w:val="clear"/>
              </w:rPr>
              <w:t>的密闭储罐内，每天由专用罐</w:t>
            </w:r>
            <w:r>
              <w:rPr>
                <w:bCs/>
                <w:color w:val="auto"/>
                <w:kern w:val="0"/>
                <w:sz w:val="24"/>
              </w:rPr>
              <w:t>车拉运至海伦市污水处理厂处理，日产日清</w:t>
            </w:r>
            <w:r>
              <w:rPr>
                <w:rFonts w:hint="eastAsia"/>
                <w:color w:val="auto"/>
                <w:sz w:val="24"/>
              </w:rPr>
              <w:t>；</w:t>
            </w:r>
            <w:r>
              <w:rPr>
                <w:color w:val="auto"/>
                <w:sz w:val="24"/>
              </w:rPr>
              <w:t>不涉及化肥、农药、除草剂及包装物等处理。因此符合环境风险防控要求。本项目符合水环境一般管控区要求。</w:t>
            </w:r>
          </w:p>
          <w:p>
            <w:pPr>
              <w:shd w:val="clear"/>
              <w:adjustRightInd w:val="0"/>
              <w:snapToGrid w:val="0"/>
              <w:spacing w:line="440" w:lineRule="exact"/>
              <w:ind w:firstLine="480" w:firstLineChars="200"/>
              <w:rPr>
                <w:color w:val="auto"/>
                <w:sz w:val="24"/>
              </w:rPr>
            </w:pPr>
            <w:r>
              <w:rPr>
                <w:color w:val="auto"/>
                <w:sz w:val="24"/>
              </w:rPr>
              <w:t>因此，本项目</w:t>
            </w:r>
            <w:r>
              <w:rPr>
                <w:rFonts w:hint="eastAsia" w:ascii="宋体" w:hAnsi="宋体" w:cs="宋体"/>
                <w:color w:val="auto"/>
                <w:sz w:val="24"/>
              </w:rPr>
              <w:t>符合“三线一单”中</w:t>
            </w:r>
            <w:r>
              <w:rPr>
                <w:rFonts w:hint="eastAsia"/>
                <w:color w:val="auto"/>
                <w:sz w:val="24"/>
              </w:rPr>
              <w:t>绥化市</w:t>
            </w:r>
            <w:r>
              <w:rPr>
                <w:color w:val="auto"/>
                <w:sz w:val="24"/>
              </w:rPr>
              <w:t>能源利用上线、水资源利用上线和土地资源利用上线的相关要求。</w:t>
            </w:r>
          </w:p>
          <w:p>
            <w:pPr>
              <w:numPr>
                <w:ilvl w:val="0"/>
                <w:numId w:val="3"/>
              </w:numPr>
              <w:shd w:val="clear"/>
              <w:adjustRightInd w:val="0"/>
              <w:snapToGrid w:val="0"/>
              <w:spacing w:line="440" w:lineRule="exact"/>
              <w:ind w:firstLine="480" w:firstLineChars="200"/>
              <w:rPr>
                <w:color w:val="auto"/>
                <w:sz w:val="24"/>
              </w:rPr>
            </w:pPr>
            <w:r>
              <w:rPr>
                <w:color w:val="auto"/>
                <w:sz w:val="24"/>
              </w:rPr>
              <w:t>生态环境准入清单</w:t>
            </w:r>
          </w:p>
          <w:p>
            <w:pPr>
              <w:pStyle w:val="86"/>
              <w:shd w:val="clear"/>
              <w:adjustRightInd w:val="0"/>
              <w:snapToGrid w:val="0"/>
              <w:spacing w:line="440" w:lineRule="exact"/>
              <w:ind w:firstLine="480"/>
              <w:rPr>
                <w:rFonts w:ascii="Times New Roman" w:hAnsi="Times New Roman"/>
                <w:bCs/>
                <w:color w:val="auto"/>
                <w:szCs w:val="24"/>
              </w:rPr>
            </w:pPr>
            <w:r>
              <w:rPr>
                <w:snapToGrid w:val="0"/>
                <w:color w:val="auto"/>
                <w:kern w:val="0"/>
                <w:szCs w:val="24"/>
              </w:rPr>
              <w:t>本项目位于</w:t>
            </w:r>
            <w:r>
              <w:rPr>
                <w:rFonts w:hint="eastAsia" w:ascii="Times New Roman" w:hAnsi="Times New Roman" w:eastAsia="宋体" w:cs="Times New Roman"/>
                <w:color w:val="auto"/>
                <w:sz w:val="24"/>
                <w:lang w:val="en-US" w:eastAsia="zh-CN"/>
              </w:rPr>
              <w:t>黑龙江省绥化市海伦市长发镇长建村刘海山屯</w:t>
            </w:r>
            <w:r>
              <w:rPr>
                <w:snapToGrid w:val="0"/>
                <w:color w:val="auto"/>
                <w:kern w:val="0"/>
                <w:szCs w:val="24"/>
              </w:rPr>
              <w:t>，</w:t>
            </w:r>
            <w:r>
              <w:rPr>
                <w:rFonts w:ascii="Times New Roman" w:hAnsi="Times New Roman"/>
                <w:color w:val="auto"/>
                <w:szCs w:val="24"/>
              </w:rPr>
              <w:t>根据《</w:t>
            </w:r>
            <w:r>
              <w:rPr>
                <w:rFonts w:hint="eastAsia" w:ascii="Times New Roman" w:hAnsi="Times New Roman"/>
                <w:color w:val="auto"/>
                <w:szCs w:val="24"/>
              </w:rPr>
              <w:t>绥化</w:t>
            </w:r>
            <w:r>
              <w:rPr>
                <w:rFonts w:ascii="Times New Roman" w:hAnsi="Times New Roman"/>
                <w:color w:val="auto"/>
                <w:szCs w:val="24"/>
              </w:rPr>
              <w:t>市生态环境准入清单》，本项目所在区域位于</w:t>
            </w:r>
            <w:r>
              <w:rPr>
                <w:rFonts w:hint="eastAsia"/>
                <w:bCs/>
                <w:color w:val="auto"/>
              </w:rPr>
              <w:t>海伦市水环境农业污染重点管控区，属于</w:t>
            </w:r>
            <w:r>
              <w:rPr>
                <w:rFonts w:hint="eastAsia" w:ascii="Times New Roman" w:hAnsi="Times New Roman"/>
                <w:color w:val="auto"/>
                <w:szCs w:val="24"/>
              </w:rPr>
              <w:t>重点</w:t>
            </w:r>
            <w:r>
              <w:rPr>
                <w:rFonts w:ascii="Times New Roman" w:hAnsi="Times New Roman"/>
                <w:color w:val="auto"/>
                <w:szCs w:val="24"/>
              </w:rPr>
              <w:t>管</w:t>
            </w:r>
            <w:r>
              <w:rPr>
                <w:rFonts w:ascii="Times New Roman" w:hAnsi="Times New Roman"/>
                <w:color w:val="auto"/>
                <w:szCs w:val="24"/>
                <w:shd w:val="clear"/>
              </w:rPr>
              <w:t>控单元（ZH23128320005），</w:t>
            </w:r>
            <w:r>
              <w:rPr>
                <w:rFonts w:hint="eastAsia" w:ascii="Times New Roman" w:hAnsi="Times New Roman"/>
                <w:bCs/>
                <w:color w:val="auto"/>
                <w:szCs w:val="24"/>
              </w:rPr>
              <w:t>本项目按要求采取生态环境保护措施后，符合其管控单元准入要求。</w:t>
            </w:r>
          </w:p>
          <w:p>
            <w:pPr>
              <w:pStyle w:val="86"/>
              <w:keepNext w:val="0"/>
              <w:keepLines w:val="0"/>
              <w:pageBreakBefore w:val="0"/>
              <w:widowControl w:val="0"/>
              <w:shd w:val="clear"/>
              <w:kinsoku/>
              <w:wordWrap/>
              <w:overflowPunct/>
              <w:topLinePunct w:val="0"/>
              <w:autoSpaceDE/>
              <w:autoSpaceDN/>
              <w:bidi w:val="0"/>
              <w:adjustRightInd w:val="0"/>
              <w:snapToGrid w:val="0"/>
              <w:spacing w:line="360" w:lineRule="auto"/>
              <w:ind w:firstLine="480"/>
              <w:jc w:val="both"/>
              <w:textAlignment w:val="auto"/>
              <w:rPr>
                <w:b/>
                <w:bCs/>
                <w:color w:val="auto"/>
                <w:kern w:val="0"/>
                <w:sz w:val="24"/>
                <w:szCs w:val="24"/>
                <w:highlight w:val="none"/>
              </w:rPr>
            </w:pPr>
            <w:r>
              <w:rPr>
                <w:color w:val="auto"/>
                <w:highlight w:val="none"/>
              </w:rPr>
              <w:drawing>
                <wp:inline distT="0" distB="0" distL="114300" distR="114300">
                  <wp:extent cx="3789680" cy="4629150"/>
                  <wp:effectExtent l="0" t="0" r="5080" b="3810"/>
                  <wp:docPr id="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3"/>
                          <pic:cNvPicPr>
                            <a:picLocks noChangeAspect="1"/>
                          </pic:cNvPicPr>
                        </pic:nvPicPr>
                        <pic:blipFill>
                          <a:blip r:embed="rId12"/>
                          <a:stretch>
                            <a:fillRect/>
                          </a:stretch>
                        </pic:blipFill>
                        <pic:spPr>
                          <a:xfrm>
                            <a:off x="0" y="0"/>
                            <a:ext cx="3789680" cy="4629150"/>
                          </a:xfrm>
                          <a:prstGeom prst="rect">
                            <a:avLst/>
                          </a:prstGeom>
                          <a:noFill/>
                          <a:ln>
                            <a:noFill/>
                          </a:ln>
                        </pic:spPr>
                      </pic:pic>
                    </a:graphicData>
                  </a:graphic>
                </wp:inline>
              </w:drawing>
            </w:r>
          </w:p>
          <w:p>
            <w:pPr>
              <w:pStyle w:val="86"/>
              <w:shd w:val="clear"/>
              <w:adjustRightInd w:val="0"/>
              <w:snapToGrid w:val="0"/>
              <w:spacing w:line="440" w:lineRule="exact"/>
              <w:ind w:firstLine="480"/>
              <w:jc w:val="center"/>
              <w:rPr>
                <w:rFonts w:hint="eastAsia" w:ascii="Times New Roman" w:hAnsi="Times New Roman" w:eastAsia="宋体" w:cs="Times New Roman"/>
                <w:b/>
                <w:bCs w:val="0"/>
                <w:color w:val="auto"/>
                <w:szCs w:val="24"/>
              </w:rPr>
            </w:pPr>
            <w:r>
              <w:rPr>
                <w:rFonts w:hint="eastAsia" w:ascii="Times New Roman" w:hAnsi="Times New Roman" w:eastAsia="宋体" w:cs="Times New Roman"/>
                <w:b/>
                <w:bCs w:val="0"/>
                <w:color w:val="auto"/>
                <w:szCs w:val="24"/>
              </w:rPr>
              <w:t>图1-</w:t>
            </w:r>
            <w:r>
              <w:rPr>
                <w:rFonts w:hint="eastAsia" w:ascii="Times New Roman" w:hAnsi="Times New Roman" w:eastAsia="宋体" w:cs="Times New Roman"/>
                <w:b/>
                <w:bCs w:val="0"/>
                <w:color w:val="auto"/>
                <w:szCs w:val="24"/>
                <w:lang w:val="en-US" w:eastAsia="zh-CN"/>
              </w:rPr>
              <w:t>2  项目环境</w:t>
            </w:r>
            <w:r>
              <w:rPr>
                <w:rFonts w:hint="eastAsia" w:ascii="Times New Roman" w:hAnsi="Times New Roman" w:eastAsia="宋体" w:cs="Times New Roman"/>
                <w:b/>
                <w:bCs w:val="0"/>
                <w:color w:val="auto"/>
                <w:szCs w:val="24"/>
              </w:rPr>
              <w:t>管控单元位置示意图</w:t>
            </w:r>
          </w:p>
          <w:p>
            <w:pPr>
              <w:pStyle w:val="86"/>
              <w:shd w:val="clear"/>
              <w:adjustRightInd w:val="0"/>
              <w:snapToGrid w:val="0"/>
              <w:spacing w:line="440" w:lineRule="exact"/>
              <w:ind w:firstLine="480"/>
              <w:rPr>
                <w:rFonts w:hint="eastAsia" w:ascii="Times New Roman" w:hAnsi="Times New Roman" w:eastAsia="宋体" w:cs="Times New Roman"/>
                <w:bCs/>
                <w:color w:val="auto"/>
                <w:szCs w:val="24"/>
              </w:rPr>
            </w:pPr>
            <w:r>
              <w:rPr>
                <w:rFonts w:hint="eastAsia" w:ascii="Times New Roman" w:hAnsi="Times New Roman" w:eastAsia="宋体" w:cs="Times New Roman"/>
                <w:bCs/>
                <w:color w:val="auto"/>
                <w:szCs w:val="24"/>
              </w:rPr>
              <w:t>生态环境准入清单符合性分析见表1-2。</w:t>
            </w:r>
          </w:p>
          <w:p>
            <w:pPr>
              <w:pStyle w:val="86"/>
              <w:shd w:val="clear"/>
              <w:adjustRightInd w:val="0"/>
              <w:snapToGrid w:val="0"/>
              <w:spacing w:line="440" w:lineRule="exact"/>
              <w:ind w:firstLine="480"/>
              <w:jc w:val="center"/>
              <w:rPr>
                <w:rFonts w:hint="eastAsia" w:ascii="Times New Roman" w:hAnsi="Times New Roman" w:eastAsia="宋体" w:cs="Times New Roman"/>
                <w:b/>
                <w:bCs w:val="0"/>
                <w:color w:val="auto"/>
                <w:szCs w:val="24"/>
              </w:rPr>
            </w:pPr>
            <w:r>
              <w:rPr>
                <w:rFonts w:hint="eastAsia" w:ascii="Times New Roman" w:hAnsi="Times New Roman" w:eastAsia="宋体" w:cs="Times New Roman"/>
                <w:b/>
                <w:bCs w:val="0"/>
                <w:color w:val="auto"/>
                <w:szCs w:val="24"/>
              </w:rPr>
              <w:t>表1-2  绥化市海伦市生态环境准入清单符合性分析</w:t>
            </w:r>
          </w:p>
          <w:tbl>
            <w:tblPr>
              <w:tblStyle w:val="27"/>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42"/>
              <w:gridCol w:w="935"/>
              <w:gridCol w:w="823"/>
              <w:gridCol w:w="419"/>
              <w:gridCol w:w="2747"/>
              <w:gridCol w:w="110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6" w:type="pct"/>
                  <w:tcBorders>
                    <w:tl2br w:val="nil"/>
                    <w:tr2bl w:val="nil"/>
                  </w:tcBorders>
                  <w:vAlign w:val="center"/>
                </w:tcPr>
                <w:p>
                  <w:pPr>
                    <w:shd w:val="clear"/>
                    <w:adjustRightInd w:val="0"/>
                    <w:snapToGrid w:val="0"/>
                    <w:jc w:val="center"/>
                    <w:rPr>
                      <w:snapToGrid w:val="0"/>
                      <w:color w:val="auto"/>
                      <w:kern w:val="0"/>
                      <w:szCs w:val="21"/>
                    </w:rPr>
                  </w:pPr>
                  <w:r>
                    <w:rPr>
                      <w:rFonts w:hint="eastAsia"/>
                      <w:snapToGrid w:val="0"/>
                      <w:color w:val="auto"/>
                      <w:kern w:val="0"/>
                      <w:szCs w:val="21"/>
                    </w:rPr>
                    <w:t>管控单元编码</w:t>
                  </w:r>
                </w:p>
              </w:tc>
              <w:tc>
                <w:tcPr>
                  <w:tcW w:w="671" w:type="pct"/>
                  <w:tcBorders>
                    <w:tl2br w:val="nil"/>
                    <w:tr2bl w:val="nil"/>
                  </w:tcBorders>
                  <w:vAlign w:val="center"/>
                </w:tcPr>
                <w:p>
                  <w:pPr>
                    <w:shd w:val="clear"/>
                    <w:adjustRightInd w:val="0"/>
                    <w:snapToGrid w:val="0"/>
                    <w:jc w:val="center"/>
                    <w:rPr>
                      <w:snapToGrid w:val="0"/>
                      <w:color w:val="auto"/>
                      <w:kern w:val="0"/>
                      <w:szCs w:val="21"/>
                    </w:rPr>
                  </w:pPr>
                  <w:r>
                    <w:rPr>
                      <w:snapToGrid w:val="0"/>
                      <w:color w:val="auto"/>
                      <w:kern w:val="0"/>
                      <w:szCs w:val="21"/>
                    </w:rPr>
                    <w:t>环境管控单元名称</w:t>
                  </w:r>
                </w:p>
              </w:tc>
              <w:tc>
                <w:tcPr>
                  <w:tcW w:w="591" w:type="pct"/>
                  <w:tcBorders>
                    <w:tl2br w:val="nil"/>
                    <w:tr2bl w:val="nil"/>
                  </w:tcBorders>
                  <w:vAlign w:val="center"/>
                </w:tcPr>
                <w:p>
                  <w:pPr>
                    <w:shd w:val="clear"/>
                    <w:adjustRightInd w:val="0"/>
                    <w:snapToGrid w:val="0"/>
                    <w:jc w:val="center"/>
                    <w:rPr>
                      <w:snapToGrid w:val="0"/>
                      <w:color w:val="auto"/>
                      <w:kern w:val="0"/>
                      <w:szCs w:val="21"/>
                    </w:rPr>
                  </w:pPr>
                  <w:r>
                    <w:rPr>
                      <w:snapToGrid w:val="0"/>
                      <w:color w:val="auto"/>
                      <w:kern w:val="0"/>
                      <w:szCs w:val="21"/>
                    </w:rPr>
                    <w:t>管控单元类别</w:t>
                  </w:r>
                </w:p>
              </w:tc>
              <w:tc>
                <w:tcPr>
                  <w:tcW w:w="2270" w:type="pct"/>
                  <w:gridSpan w:val="2"/>
                  <w:tcBorders>
                    <w:tl2br w:val="nil"/>
                    <w:tr2bl w:val="nil"/>
                  </w:tcBorders>
                  <w:vAlign w:val="center"/>
                </w:tcPr>
                <w:p>
                  <w:pPr>
                    <w:shd w:val="clear"/>
                    <w:adjustRightInd w:val="0"/>
                    <w:snapToGrid w:val="0"/>
                    <w:jc w:val="center"/>
                    <w:rPr>
                      <w:snapToGrid w:val="0"/>
                      <w:color w:val="auto"/>
                      <w:kern w:val="0"/>
                      <w:szCs w:val="21"/>
                    </w:rPr>
                  </w:pPr>
                  <w:r>
                    <w:rPr>
                      <w:snapToGrid w:val="0"/>
                      <w:color w:val="auto"/>
                      <w:kern w:val="0"/>
                      <w:szCs w:val="21"/>
                    </w:rPr>
                    <w:t>管控要求</w:t>
                  </w:r>
                </w:p>
              </w:tc>
              <w:tc>
                <w:tcPr>
                  <w:tcW w:w="790" w:type="pct"/>
                  <w:tcBorders>
                    <w:tl2br w:val="nil"/>
                    <w:tr2bl w:val="nil"/>
                  </w:tcBorders>
                  <w:vAlign w:val="center"/>
                </w:tcPr>
                <w:p>
                  <w:pPr>
                    <w:shd w:val="clear"/>
                    <w:adjustRightInd w:val="0"/>
                    <w:snapToGrid w:val="0"/>
                    <w:jc w:val="center"/>
                    <w:rPr>
                      <w:snapToGrid w:val="0"/>
                      <w:color w:val="auto"/>
                      <w:kern w:val="0"/>
                      <w:szCs w:val="21"/>
                    </w:rPr>
                  </w:pPr>
                  <w:r>
                    <w:rPr>
                      <w:snapToGrid w:val="0"/>
                      <w:color w:val="auto"/>
                      <w:kern w:val="0"/>
                      <w:szCs w:val="21"/>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69" w:hRule="atLeast"/>
                <w:jc w:val="center"/>
              </w:trPr>
              <w:tc>
                <w:tcPr>
                  <w:tcW w:w="676" w:type="pct"/>
                  <w:vMerge w:val="restart"/>
                  <w:tcBorders>
                    <w:tl2br w:val="nil"/>
                    <w:tr2bl w:val="nil"/>
                  </w:tcBorders>
                  <w:vAlign w:val="center"/>
                </w:tcPr>
                <w:p>
                  <w:pPr>
                    <w:shd w:val="clear"/>
                    <w:adjustRightInd w:val="0"/>
                    <w:snapToGrid w:val="0"/>
                    <w:jc w:val="center"/>
                    <w:rPr>
                      <w:snapToGrid w:val="0"/>
                      <w:color w:val="auto"/>
                      <w:kern w:val="0"/>
                      <w:szCs w:val="21"/>
                    </w:rPr>
                  </w:pPr>
                  <w:r>
                    <w:rPr>
                      <w:rFonts w:hint="eastAsia"/>
                      <w:snapToGrid w:val="0"/>
                      <w:color w:val="auto"/>
                      <w:kern w:val="0"/>
                      <w:szCs w:val="21"/>
                    </w:rPr>
                    <w:t>ZH23128320005</w:t>
                  </w:r>
                </w:p>
              </w:tc>
              <w:tc>
                <w:tcPr>
                  <w:tcW w:w="671" w:type="pct"/>
                  <w:vMerge w:val="restart"/>
                  <w:tcBorders>
                    <w:tl2br w:val="nil"/>
                    <w:tr2bl w:val="nil"/>
                  </w:tcBorders>
                  <w:vAlign w:val="center"/>
                </w:tcPr>
                <w:p>
                  <w:pPr>
                    <w:shd w:val="clear"/>
                    <w:adjustRightInd w:val="0"/>
                    <w:snapToGrid w:val="0"/>
                    <w:jc w:val="center"/>
                    <w:rPr>
                      <w:snapToGrid w:val="0"/>
                      <w:color w:val="auto"/>
                      <w:kern w:val="0"/>
                      <w:szCs w:val="21"/>
                    </w:rPr>
                  </w:pPr>
                  <w:r>
                    <w:rPr>
                      <w:rFonts w:hint="eastAsia"/>
                      <w:snapToGrid w:val="0"/>
                      <w:color w:val="auto"/>
                      <w:kern w:val="0"/>
                      <w:szCs w:val="21"/>
                    </w:rPr>
                    <w:t>海伦市水环境农业污染重点</w:t>
                  </w:r>
                </w:p>
                <w:p>
                  <w:pPr>
                    <w:shd w:val="clear"/>
                    <w:adjustRightInd w:val="0"/>
                    <w:snapToGrid w:val="0"/>
                    <w:jc w:val="center"/>
                    <w:rPr>
                      <w:snapToGrid w:val="0"/>
                      <w:color w:val="auto"/>
                      <w:kern w:val="0"/>
                      <w:szCs w:val="21"/>
                    </w:rPr>
                  </w:pPr>
                  <w:r>
                    <w:rPr>
                      <w:rFonts w:hint="eastAsia"/>
                      <w:snapToGrid w:val="0"/>
                      <w:color w:val="auto"/>
                      <w:kern w:val="0"/>
                      <w:szCs w:val="21"/>
                    </w:rPr>
                    <w:t>管控区</w:t>
                  </w:r>
                </w:p>
              </w:tc>
              <w:tc>
                <w:tcPr>
                  <w:tcW w:w="591" w:type="pct"/>
                  <w:vMerge w:val="restart"/>
                  <w:tcBorders>
                    <w:tl2br w:val="nil"/>
                    <w:tr2bl w:val="nil"/>
                  </w:tcBorders>
                  <w:vAlign w:val="center"/>
                </w:tcPr>
                <w:p>
                  <w:pPr>
                    <w:shd w:val="clear"/>
                    <w:adjustRightInd w:val="0"/>
                    <w:snapToGrid w:val="0"/>
                    <w:jc w:val="center"/>
                    <w:rPr>
                      <w:snapToGrid w:val="0"/>
                      <w:color w:val="auto"/>
                      <w:kern w:val="0"/>
                      <w:szCs w:val="21"/>
                    </w:rPr>
                  </w:pPr>
                  <w:r>
                    <w:rPr>
                      <w:rFonts w:hint="eastAsia"/>
                      <w:snapToGrid w:val="0"/>
                      <w:color w:val="auto"/>
                      <w:kern w:val="0"/>
                      <w:szCs w:val="21"/>
                    </w:rPr>
                    <w:t>重点管控单元</w:t>
                  </w:r>
                </w:p>
              </w:tc>
              <w:tc>
                <w:tcPr>
                  <w:tcW w:w="300" w:type="pct"/>
                  <w:tcBorders>
                    <w:tl2br w:val="nil"/>
                    <w:tr2bl w:val="nil"/>
                  </w:tcBorders>
                  <w:vAlign w:val="center"/>
                </w:tcPr>
                <w:p>
                  <w:pPr>
                    <w:shd w:val="clear"/>
                    <w:adjustRightInd w:val="0"/>
                    <w:snapToGrid w:val="0"/>
                    <w:jc w:val="center"/>
                    <w:rPr>
                      <w:snapToGrid w:val="0"/>
                      <w:color w:val="auto"/>
                      <w:kern w:val="0"/>
                      <w:szCs w:val="21"/>
                    </w:rPr>
                  </w:pPr>
                  <w:r>
                    <w:rPr>
                      <w:rFonts w:hint="eastAsia"/>
                      <w:snapToGrid w:val="0"/>
                      <w:color w:val="auto"/>
                      <w:kern w:val="0"/>
                      <w:szCs w:val="21"/>
                    </w:rPr>
                    <w:t>空间布局</w:t>
                  </w:r>
                </w:p>
                <w:p>
                  <w:pPr>
                    <w:shd w:val="clear"/>
                    <w:adjustRightInd w:val="0"/>
                    <w:snapToGrid w:val="0"/>
                    <w:jc w:val="center"/>
                    <w:rPr>
                      <w:snapToGrid w:val="0"/>
                      <w:color w:val="auto"/>
                      <w:kern w:val="0"/>
                      <w:szCs w:val="21"/>
                    </w:rPr>
                  </w:pPr>
                  <w:r>
                    <w:rPr>
                      <w:rFonts w:hint="eastAsia"/>
                      <w:snapToGrid w:val="0"/>
                      <w:color w:val="auto"/>
                      <w:kern w:val="0"/>
                      <w:szCs w:val="21"/>
                    </w:rPr>
                    <w:t>约束</w:t>
                  </w:r>
                </w:p>
              </w:tc>
              <w:tc>
                <w:tcPr>
                  <w:tcW w:w="1969" w:type="pct"/>
                  <w:tcBorders>
                    <w:tl2br w:val="nil"/>
                    <w:tr2bl w:val="nil"/>
                  </w:tcBorders>
                  <w:vAlign w:val="center"/>
                </w:tcPr>
                <w:p>
                  <w:pPr>
                    <w:shd w:val="clear"/>
                    <w:adjustRightInd w:val="0"/>
                    <w:snapToGrid w:val="0"/>
                    <w:jc w:val="left"/>
                    <w:rPr>
                      <w:snapToGrid w:val="0"/>
                      <w:color w:val="auto"/>
                      <w:kern w:val="0"/>
                      <w:szCs w:val="21"/>
                    </w:rPr>
                  </w:pPr>
                  <w:r>
                    <w:rPr>
                      <w:rFonts w:hint="eastAsia"/>
                      <w:snapToGrid w:val="0"/>
                      <w:color w:val="auto"/>
                      <w:kern w:val="0"/>
                      <w:szCs w:val="21"/>
                    </w:rPr>
                    <w:t>1.合理划分畜禽养殖区，严格区分养殖区、限养殖区与禁止养殖区。</w:t>
                  </w:r>
                </w:p>
                <w:p>
                  <w:pPr>
                    <w:shd w:val="clear"/>
                    <w:adjustRightInd w:val="0"/>
                    <w:snapToGrid w:val="0"/>
                    <w:jc w:val="left"/>
                    <w:rPr>
                      <w:snapToGrid w:val="0"/>
                      <w:color w:val="auto"/>
                      <w:kern w:val="0"/>
                      <w:szCs w:val="21"/>
                    </w:rPr>
                  </w:pPr>
                  <w:r>
                    <w:rPr>
                      <w:rFonts w:hint="eastAsia"/>
                      <w:snapToGrid w:val="0"/>
                      <w:color w:val="auto"/>
                      <w:kern w:val="0"/>
                      <w:szCs w:val="21"/>
                    </w:rPr>
                    <w:t>2.加快农业结构调整。松嫩平原地下水易受污染地区优先种植需肥需药量低、环境效益突出的农作物。</w:t>
                  </w:r>
                </w:p>
              </w:tc>
              <w:tc>
                <w:tcPr>
                  <w:tcW w:w="790" w:type="pct"/>
                  <w:tcBorders>
                    <w:tl2br w:val="nil"/>
                    <w:tr2bl w:val="nil"/>
                  </w:tcBorders>
                  <w:vAlign w:val="center"/>
                </w:tcPr>
                <w:p>
                  <w:pPr>
                    <w:shd w:val="clear"/>
                    <w:adjustRightInd w:val="0"/>
                    <w:snapToGrid w:val="0"/>
                    <w:jc w:val="left"/>
                    <w:rPr>
                      <w:snapToGrid w:val="0"/>
                      <w:color w:val="auto"/>
                      <w:kern w:val="0"/>
                      <w:szCs w:val="21"/>
                    </w:rPr>
                  </w:pPr>
                  <w:r>
                    <w:rPr>
                      <w:rFonts w:hint="eastAsia"/>
                      <w:snapToGrid w:val="0"/>
                      <w:color w:val="auto"/>
                      <w:kern w:val="0"/>
                      <w:szCs w:val="21"/>
                      <w:highlight w:val="none"/>
                    </w:rPr>
                    <w:t>本</w:t>
                  </w:r>
                  <w:r>
                    <w:rPr>
                      <w:color w:val="auto"/>
                      <w:szCs w:val="21"/>
                      <w:highlight w:val="none"/>
                    </w:rPr>
                    <w:t>属于</w:t>
                  </w:r>
                  <w:r>
                    <w:rPr>
                      <w:rFonts w:hint="eastAsia"/>
                      <w:color w:val="auto"/>
                      <w:szCs w:val="21"/>
                      <w:highlight w:val="none"/>
                      <w:lang w:val="en-US" w:eastAsia="zh-CN"/>
                    </w:rPr>
                    <w:t>鲜食</w:t>
                  </w:r>
                  <w:r>
                    <w:rPr>
                      <w:rFonts w:hint="eastAsia"/>
                      <w:color w:val="auto"/>
                      <w:szCs w:val="21"/>
                      <w:highlight w:val="none"/>
                    </w:rPr>
                    <w:t>玉米</w:t>
                  </w:r>
                  <w:r>
                    <w:rPr>
                      <w:rFonts w:hint="eastAsia"/>
                      <w:color w:val="auto"/>
                      <w:szCs w:val="21"/>
                      <w:highlight w:val="none"/>
                      <w:lang w:val="en-US" w:eastAsia="zh-CN"/>
                    </w:rPr>
                    <w:t>加工</w:t>
                  </w:r>
                  <w:r>
                    <w:rPr>
                      <w:color w:val="auto"/>
                      <w:szCs w:val="21"/>
                      <w:highlight w:val="none"/>
                    </w:rPr>
                    <w:t>项目，不属于</w:t>
                  </w:r>
                  <w:r>
                    <w:rPr>
                      <w:rFonts w:hint="eastAsia"/>
                      <w:color w:val="auto"/>
                      <w:szCs w:val="21"/>
                      <w:highlight w:val="none"/>
                    </w:rPr>
                    <w:t>畜禽养殖项目</w:t>
                  </w:r>
                  <w:r>
                    <w:rPr>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19" w:hRule="atLeast"/>
                <w:jc w:val="center"/>
              </w:trPr>
              <w:tc>
                <w:tcPr>
                  <w:tcW w:w="676" w:type="pct"/>
                  <w:vMerge w:val="continue"/>
                  <w:tcBorders>
                    <w:tl2br w:val="nil"/>
                    <w:tr2bl w:val="nil"/>
                  </w:tcBorders>
                  <w:vAlign w:val="center"/>
                </w:tcPr>
                <w:p>
                  <w:pPr>
                    <w:shd w:val="clear"/>
                    <w:adjustRightInd w:val="0"/>
                    <w:snapToGrid w:val="0"/>
                    <w:jc w:val="center"/>
                    <w:rPr>
                      <w:snapToGrid w:val="0"/>
                      <w:color w:val="auto"/>
                      <w:kern w:val="0"/>
                      <w:szCs w:val="21"/>
                    </w:rPr>
                  </w:pPr>
                </w:p>
              </w:tc>
              <w:tc>
                <w:tcPr>
                  <w:tcW w:w="671" w:type="pct"/>
                  <w:vMerge w:val="continue"/>
                  <w:tcBorders>
                    <w:tl2br w:val="nil"/>
                    <w:tr2bl w:val="nil"/>
                  </w:tcBorders>
                  <w:vAlign w:val="center"/>
                </w:tcPr>
                <w:p>
                  <w:pPr>
                    <w:shd w:val="clear"/>
                    <w:adjustRightInd w:val="0"/>
                    <w:snapToGrid w:val="0"/>
                    <w:jc w:val="center"/>
                    <w:rPr>
                      <w:snapToGrid w:val="0"/>
                      <w:color w:val="auto"/>
                      <w:kern w:val="0"/>
                      <w:szCs w:val="21"/>
                    </w:rPr>
                  </w:pPr>
                </w:p>
              </w:tc>
              <w:tc>
                <w:tcPr>
                  <w:tcW w:w="591" w:type="pct"/>
                  <w:vMerge w:val="continue"/>
                  <w:tcBorders>
                    <w:tl2br w:val="nil"/>
                    <w:tr2bl w:val="nil"/>
                  </w:tcBorders>
                  <w:vAlign w:val="center"/>
                </w:tcPr>
                <w:p>
                  <w:pPr>
                    <w:shd w:val="clear"/>
                    <w:adjustRightInd w:val="0"/>
                    <w:snapToGrid w:val="0"/>
                    <w:jc w:val="center"/>
                    <w:rPr>
                      <w:snapToGrid w:val="0"/>
                      <w:color w:val="auto"/>
                      <w:kern w:val="0"/>
                      <w:szCs w:val="21"/>
                    </w:rPr>
                  </w:pPr>
                </w:p>
              </w:tc>
              <w:tc>
                <w:tcPr>
                  <w:tcW w:w="300" w:type="pct"/>
                  <w:tcBorders>
                    <w:tl2br w:val="nil"/>
                    <w:tr2bl w:val="nil"/>
                  </w:tcBorders>
                  <w:vAlign w:val="center"/>
                </w:tcPr>
                <w:p>
                  <w:pPr>
                    <w:shd w:val="clear"/>
                    <w:adjustRightInd w:val="0"/>
                    <w:snapToGrid w:val="0"/>
                    <w:jc w:val="center"/>
                    <w:rPr>
                      <w:snapToGrid w:val="0"/>
                      <w:color w:val="auto"/>
                      <w:kern w:val="0"/>
                      <w:szCs w:val="21"/>
                    </w:rPr>
                  </w:pPr>
                  <w:r>
                    <w:rPr>
                      <w:rFonts w:hint="eastAsia"/>
                      <w:snapToGrid w:val="0"/>
                      <w:color w:val="auto"/>
                      <w:kern w:val="0"/>
                      <w:szCs w:val="21"/>
                    </w:rPr>
                    <w:t>污染物排</w:t>
                  </w:r>
                </w:p>
                <w:p>
                  <w:pPr>
                    <w:shd w:val="clear"/>
                    <w:adjustRightInd w:val="0"/>
                    <w:snapToGrid w:val="0"/>
                    <w:jc w:val="center"/>
                    <w:rPr>
                      <w:snapToGrid w:val="0"/>
                      <w:color w:val="auto"/>
                      <w:kern w:val="0"/>
                      <w:szCs w:val="21"/>
                    </w:rPr>
                  </w:pPr>
                  <w:r>
                    <w:rPr>
                      <w:rFonts w:hint="eastAsia"/>
                      <w:snapToGrid w:val="0"/>
                      <w:color w:val="auto"/>
                      <w:kern w:val="0"/>
                      <w:szCs w:val="21"/>
                    </w:rPr>
                    <w:t>放管控</w:t>
                  </w:r>
                </w:p>
              </w:tc>
              <w:tc>
                <w:tcPr>
                  <w:tcW w:w="1969" w:type="pct"/>
                  <w:tcBorders>
                    <w:tl2br w:val="nil"/>
                    <w:tr2bl w:val="nil"/>
                  </w:tcBorders>
                  <w:vAlign w:val="center"/>
                </w:tcPr>
                <w:p>
                  <w:pPr>
                    <w:shd w:val="clear"/>
                    <w:adjustRightInd w:val="0"/>
                    <w:snapToGrid w:val="0"/>
                    <w:jc w:val="left"/>
                    <w:rPr>
                      <w:snapToGrid w:val="0"/>
                      <w:color w:val="auto"/>
                      <w:kern w:val="0"/>
                      <w:szCs w:val="21"/>
                    </w:rPr>
                  </w:pPr>
                  <w:r>
                    <w:rPr>
                      <w:rFonts w:hint="eastAsia"/>
                      <w:snapToGrid w:val="0"/>
                      <w:color w:val="auto"/>
                      <w:kern w:val="0"/>
                      <w:szCs w:val="21"/>
                    </w:rPr>
                    <w:t>1.加强畜禽养殖污染防治，现有规模化畜禽养殖场（小区）要配套建设粪污水贮存、处理、利用等设施；规范畜禽养殖业发展，推进区域内的畜禽养殖企业粪污的资源化利用。2.控制农业面源污染，加强农村环境综合整治，推进重大病虫统防统治和绿色防控，推广测土配方和精准施肥，加强废弃农药、化肥及包装物回收和监管。</w:t>
                  </w:r>
                </w:p>
              </w:tc>
              <w:tc>
                <w:tcPr>
                  <w:tcW w:w="1098" w:type="dxa"/>
                  <w:tcBorders>
                    <w:tl2br w:val="nil"/>
                    <w:tr2bl w:val="nil"/>
                  </w:tcBorders>
                  <w:vAlign w:val="center"/>
                </w:tcPr>
                <w:p>
                  <w:pPr>
                    <w:shd w:val="clear"/>
                    <w:adjustRightInd w:val="0"/>
                    <w:snapToGrid w:val="0"/>
                    <w:jc w:val="left"/>
                    <w:rPr>
                      <w:snapToGrid w:val="0"/>
                      <w:color w:val="auto"/>
                      <w:kern w:val="0"/>
                      <w:szCs w:val="21"/>
                    </w:rPr>
                  </w:pPr>
                  <w:r>
                    <w:rPr>
                      <w:rFonts w:hint="eastAsia"/>
                      <w:snapToGrid w:val="0"/>
                      <w:color w:val="auto"/>
                      <w:kern w:val="0"/>
                      <w:szCs w:val="21"/>
                      <w:highlight w:val="none"/>
                    </w:rPr>
                    <w:t>本项目</w:t>
                  </w:r>
                  <w:r>
                    <w:rPr>
                      <w:rFonts w:hint="eastAsia"/>
                      <w:snapToGrid w:val="0"/>
                      <w:color w:val="auto"/>
                      <w:kern w:val="0"/>
                      <w:szCs w:val="21"/>
                      <w:highlight w:val="none"/>
                      <w:lang w:val="en-US" w:eastAsia="zh-CN"/>
                    </w:rPr>
                    <w:t>属于</w:t>
                  </w:r>
                  <w:r>
                    <w:rPr>
                      <w:rFonts w:hint="eastAsia"/>
                      <w:color w:val="auto"/>
                      <w:szCs w:val="21"/>
                      <w:highlight w:val="none"/>
                      <w:lang w:val="en-US" w:eastAsia="zh-CN"/>
                    </w:rPr>
                    <w:t>鲜食</w:t>
                  </w:r>
                  <w:r>
                    <w:rPr>
                      <w:rFonts w:hint="eastAsia"/>
                      <w:color w:val="auto"/>
                      <w:szCs w:val="21"/>
                      <w:highlight w:val="none"/>
                    </w:rPr>
                    <w:t>玉米</w:t>
                  </w:r>
                  <w:r>
                    <w:rPr>
                      <w:rFonts w:hint="eastAsia"/>
                      <w:color w:val="auto"/>
                      <w:szCs w:val="21"/>
                      <w:highlight w:val="none"/>
                      <w:lang w:val="en-US" w:eastAsia="zh-CN"/>
                    </w:rPr>
                    <w:t>加工</w:t>
                  </w:r>
                  <w:r>
                    <w:rPr>
                      <w:color w:val="auto"/>
                      <w:szCs w:val="21"/>
                      <w:highlight w:val="none"/>
                    </w:rPr>
                    <w:t>项目，</w:t>
                  </w:r>
                  <w:r>
                    <w:rPr>
                      <w:rFonts w:hint="eastAsia"/>
                      <w:snapToGrid w:val="0"/>
                      <w:color w:val="auto"/>
                      <w:kern w:val="0"/>
                      <w:szCs w:val="21"/>
                      <w:highlight w:val="none"/>
                    </w:rPr>
                    <w:t>不属于畜禽养殖项目和农业种植项目，不会对周边环境产生不良影响。</w:t>
                  </w:r>
                </w:p>
              </w:tc>
            </w:tr>
          </w:tbl>
          <w:p>
            <w:pPr>
              <w:shd w:val="clear"/>
              <w:spacing w:line="360" w:lineRule="auto"/>
              <w:ind w:firstLine="480" w:firstLineChars="200"/>
              <w:rPr>
                <w:color w:val="auto"/>
                <w:sz w:val="24"/>
                <w:lang w:bidi="ar"/>
              </w:rPr>
            </w:pPr>
            <w:r>
              <w:rPr>
                <w:color w:val="auto"/>
                <w:sz w:val="24"/>
                <w:lang w:bidi="ar"/>
              </w:rPr>
              <w:t>综上，本项目</w:t>
            </w:r>
            <w:r>
              <w:rPr>
                <w:rFonts w:hint="eastAsia"/>
                <w:color w:val="auto"/>
                <w:sz w:val="24"/>
                <w:lang w:bidi="ar"/>
              </w:rPr>
              <w:t>的</w:t>
            </w:r>
            <w:r>
              <w:rPr>
                <w:color w:val="auto"/>
                <w:sz w:val="24"/>
                <w:lang w:bidi="ar"/>
              </w:rPr>
              <w:t>建设符合“三线一单”要求。</w:t>
            </w:r>
          </w:p>
          <w:p>
            <w:pPr>
              <w:shd w:val="clear"/>
              <w:autoSpaceDE w:val="0"/>
              <w:autoSpaceDN w:val="0"/>
              <w:adjustRightInd w:val="0"/>
              <w:snapToGrid w:val="0"/>
              <w:spacing w:line="360" w:lineRule="auto"/>
              <w:jc w:val="left"/>
              <w:rPr>
                <w:b/>
                <w:bCs/>
                <w:color w:val="auto"/>
                <w:sz w:val="24"/>
                <w:szCs w:val="32"/>
              </w:rPr>
            </w:pPr>
            <w:r>
              <w:rPr>
                <w:rFonts w:hint="eastAsia"/>
                <w:b/>
                <w:bCs/>
                <w:color w:val="auto"/>
                <w:kern w:val="0"/>
                <w:sz w:val="24"/>
                <w:lang w:val="en-US" w:eastAsia="zh-CN"/>
              </w:rPr>
              <w:t>4</w:t>
            </w:r>
            <w:r>
              <w:rPr>
                <w:rFonts w:hint="eastAsia"/>
                <w:b/>
                <w:bCs/>
                <w:color w:val="auto"/>
                <w:kern w:val="0"/>
                <w:sz w:val="24"/>
              </w:rPr>
              <w:t>.与</w:t>
            </w:r>
            <w:r>
              <w:rPr>
                <w:rFonts w:hint="eastAsia"/>
                <w:b/>
                <w:bCs/>
                <w:color w:val="auto"/>
                <w:sz w:val="24"/>
                <w:szCs w:val="32"/>
              </w:rPr>
              <w:t>《黑龙江省大气污染防治行动计划实施细则》</w:t>
            </w:r>
            <w:r>
              <w:rPr>
                <w:b/>
                <w:bCs/>
                <w:color w:val="auto"/>
                <w:sz w:val="24"/>
                <w:szCs w:val="32"/>
              </w:rPr>
              <w:t>符合性分析</w:t>
            </w:r>
          </w:p>
          <w:p>
            <w:pPr>
              <w:pStyle w:val="9"/>
              <w:keepNext w:val="0"/>
              <w:keepLines w:val="0"/>
              <w:pageBreakBefore w:val="0"/>
              <w:shd w:val="clear"/>
              <w:kinsoku/>
              <w:wordWrap/>
              <w:overflowPunct/>
              <w:topLinePunct w:val="0"/>
              <w:autoSpaceDE/>
              <w:autoSpaceDN/>
              <w:bidi w:val="0"/>
              <w:adjustRightInd/>
              <w:spacing w:before="0" w:after="0" w:line="360" w:lineRule="auto"/>
              <w:ind w:right="0" w:firstLine="480" w:firstLineChars="200"/>
              <w:textAlignment w:val="auto"/>
              <w:rPr>
                <w:rFonts w:hint="eastAsia"/>
                <w:color w:val="auto"/>
                <w:kern w:val="2"/>
                <w:sz w:val="24"/>
                <w:szCs w:val="24"/>
              </w:rPr>
            </w:pPr>
            <w:r>
              <w:rPr>
                <w:rFonts w:hint="eastAsia"/>
                <w:color w:val="auto"/>
                <w:kern w:val="2"/>
                <w:sz w:val="24"/>
                <w:szCs w:val="24"/>
              </w:rPr>
              <w:t>根据《黑龙江省大气污染防治行动计划实施细则》“</w:t>
            </w:r>
            <w:r>
              <w:rPr>
                <w:color w:val="auto"/>
                <w:kern w:val="2"/>
                <w:sz w:val="24"/>
                <w:szCs w:val="24"/>
              </w:rPr>
              <w:t>从2014年起，禁止新建20蒸吨以下燃煤锅炉。到2015年年底，除保留必要的应急、调峰供热锅炉外，哈尔滨建成区，全部淘汰10蒸吨及以下燃煤锅炉、茶浴炉。到2017年年底，除必要保留外，全省地级以上城市建成区，基本淘汰10蒸吨及以下燃煤锅炉。</w:t>
            </w:r>
            <w:r>
              <w:rPr>
                <w:rFonts w:hint="eastAsia"/>
                <w:color w:val="auto"/>
                <w:kern w:val="2"/>
                <w:sz w:val="24"/>
                <w:szCs w:val="24"/>
              </w:rPr>
              <w:t>”</w:t>
            </w:r>
            <w:r>
              <w:rPr>
                <w:rFonts w:hint="eastAsia"/>
                <w:color w:val="auto"/>
                <w:kern w:val="2"/>
                <w:sz w:val="24"/>
                <w:szCs w:val="24"/>
                <w:highlight w:val="none"/>
              </w:rPr>
              <w:t>，</w:t>
            </w:r>
            <w:r>
              <w:rPr>
                <w:rFonts w:hint="eastAsia"/>
                <w:color w:val="auto"/>
                <w:kern w:val="2"/>
                <w:sz w:val="24"/>
                <w:szCs w:val="24"/>
              </w:rPr>
              <w:t>本项目生产用热采用</w:t>
            </w:r>
            <w:r>
              <w:rPr>
                <w:rFonts w:hint="eastAsia"/>
                <w:color w:val="auto"/>
                <w:kern w:val="2"/>
                <w:sz w:val="24"/>
                <w:szCs w:val="24"/>
                <w:lang w:val="en-US" w:eastAsia="zh-CN"/>
              </w:rPr>
              <w:t>1台4</w:t>
            </w:r>
            <w:r>
              <w:rPr>
                <w:rFonts w:hint="eastAsia"/>
                <w:color w:val="auto"/>
                <w:kern w:val="2"/>
                <w:sz w:val="24"/>
                <w:szCs w:val="24"/>
              </w:rPr>
              <w:t>t</w:t>
            </w:r>
            <w:r>
              <w:rPr>
                <w:color w:val="auto"/>
                <w:kern w:val="2"/>
                <w:sz w:val="24"/>
                <w:szCs w:val="24"/>
              </w:rPr>
              <w:t>/</w:t>
            </w:r>
            <w:r>
              <w:rPr>
                <w:rFonts w:hint="eastAsia"/>
                <w:color w:val="auto"/>
                <w:kern w:val="2"/>
                <w:sz w:val="24"/>
                <w:szCs w:val="24"/>
              </w:rPr>
              <w:t>h蒸汽</w:t>
            </w:r>
            <w:r>
              <w:rPr>
                <w:color w:val="auto"/>
                <w:kern w:val="2"/>
                <w:sz w:val="24"/>
                <w:szCs w:val="24"/>
              </w:rPr>
              <w:t>锅炉</w:t>
            </w:r>
            <w:r>
              <w:rPr>
                <w:rFonts w:hint="eastAsia"/>
                <w:color w:val="auto"/>
                <w:kern w:val="2"/>
                <w:sz w:val="24"/>
                <w:szCs w:val="24"/>
              </w:rPr>
              <w:t>，燃料采用生物质</w:t>
            </w:r>
            <w:r>
              <w:rPr>
                <w:rFonts w:hint="eastAsia"/>
                <w:color w:val="auto"/>
                <w:kern w:val="2"/>
                <w:sz w:val="24"/>
                <w:szCs w:val="24"/>
                <w:lang w:val="en-US" w:eastAsia="zh-CN"/>
              </w:rPr>
              <w:t>颗粒</w:t>
            </w:r>
            <w:r>
              <w:rPr>
                <w:rFonts w:hint="eastAsia"/>
                <w:color w:val="auto"/>
                <w:kern w:val="2"/>
                <w:sz w:val="24"/>
                <w:szCs w:val="24"/>
              </w:rPr>
              <w:t>，不采用燃煤锅炉，冬季供暖采用电取暖，符合《黑龙江省大气污染防治行动计划实施细则》中相关要求。</w:t>
            </w:r>
          </w:p>
          <w:p>
            <w:pPr>
              <w:keepNext w:val="0"/>
              <w:keepLines w:val="0"/>
              <w:pageBreakBefore w:val="0"/>
              <w:widowControl w:val="0"/>
              <w:shd w:val="clear"/>
              <w:kinsoku/>
              <w:wordWrap/>
              <w:overflowPunct/>
              <w:topLinePunct w:val="0"/>
              <w:autoSpaceDE/>
              <w:autoSpaceDN/>
              <w:bidi w:val="0"/>
              <w:adjustRightInd/>
              <w:spacing w:line="360" w:lineRule="auto"/>
              <w:jc w:val="both"/>
              <w:textAlignment w:val="auto"/>
              <w:rPr>
                <w:rFonts w:hint="eastAsia" w:ascii="Times New Roman" w:hAnsi="Times New Roman" w:eastAsia="宋体" w:cs="Times New Roman"/>
                <w:b/>
                <w:bCs/>
                <w:color w:val="auto"/>
                <w:kern w:val="0"/>
                <w:sz w:val="24"/>
                <w:szCs w:val="24"/>
                <w:lang w:val="en-US" w:eastAsia="zh-CN" w:bidi="ar-SA"/>
              </w:rPr>
            </w:pPr>
            <w:r>
              <w:rPr>
                <w:rFonts w:hint="eastAsia" w:cs="Times New Roman"/>
                <w:b/>
                <w:bCs/>
                <w:color w:val="auto"/>
                <w:kern w:val="0"/>
                <w:sz w:val="24"/>
                <w:szCs w:val="24"/>
                <w:lang w:val="en-US" w:eastAsia="zh-CN" w:bidi="ar-SA"/>
              </w:rPr>
              <w:t>5</w:t>
            </w:r>
            <w:r>
              <w:rPr>
                <w:rFonts w:hint="eastAsia" w:ascii="Times New Roman" w:hAnsi="Times New Roman" w:eastAsia="宋体" w:cs="Times New Roman"/>
                <w:b/>
                <w:bCs/>
                <w:color w:val="auto"/>
                <w:kern w:val="0"/>
                <w:sz w:val="24"/>
                <w:szCs w:val="24"/>
                <w:lang w:val="en-US" w:eastAsia="zh-CN" w:bidi="ar-SA"/>
              </w:rPr>
              <w:t>.与《地下水管理条例》符合性分析</w:t>
            </w:r>
          </w:p>
          <w:p>
            <w:pPr>
              <w:keepNext w:val="0"/>
              <w:keepLines w:val="0"/>
              <w:pageBreakBefore w:val="0"/>
              <w:widowControl w:val="0"/>
              <w:shd w:val="clear"/>
              <w:kinsoku/>
              <w:wordWrap/>
              <w:overflowPunct/>
              <w:topLinePunct w:val="0"/>
              <w:autoSpaceDE/>
              <w:autoSpaceDN/>
              <w:bidi w:val="0"/>
              <w:adjustRightInd/>
              <w:snapToGrid/>
              <w:spacing w:line="240" w:lineRule="auto"/>
              <w:ind w:firstLine="241" w:firstLineChars="100"/>
              <w:jc w:val="center"/>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表1-3  与《地下水管理条例》符合性分析</w:t>
            </w:r>
          </w:p>
          <w:tbl>
            <w:tblPr>
              <w:tblStyle w:val="2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22"/>
              <w:gridCol w:w="22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6" w:type="dxa"/>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要求</w:t>
                  </w:r>
                </w:p>
              </w:tc>
              <w:tc>
                <w:tcPr>
                  <w:tcW w:w="2300" w:type="dxa"/>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6" w:type="dxa"/>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第二十一条 取用地下水的单位和个人应当遵守取水总量控制和定额管理要求，使用先进节约用水技术、工艺和设备，采取循环用水、综合利用及废水处理回用等措施，实施技术改造，降低用水消耗。</w:t>
                  </w:r>
                </w:p>
                <w:p>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对下列工艺、设备和产品，应当在规定的期限内停止生产、销售、进口或者使用：</w:t>
                  </w:r>
                </w:p>
                <w:p>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（一）列入淘汰落后的、耗水量高的工艺、设备和产品名录的；</w:t>
                  </w:r>
                </w:p>
                <w:p>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（二）列入限期禁止采用的严重污染水环境的工艺名录和限期禁止生产、销售、进口、使用的严重污染水环境的设备名录的。</w:t>
                  </w:r>
                </w:p>
              </w:tc>
              <w:tc>
                <w:tcPr>
                  <w:tcW w:w="2300" w:type="dxa"/>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本项目用水为生活用水、生产用水，企业已遵守取水总量控制和定额管理要求，采用先进工艺设备等措施，节约用水</w:t>
                  </w:r>
                  <w:r>
                    <w:rPr>
                      <w:rFonts w:hint="default" w:ascii="Times New Roman" w:hAnsi="Times New Roman" w:eastAsia="宋体" w:cs="Times New Roman"/>
                      <w:color w:val="auto"/>
                      <w:sz w:val="21"/>
                      <w:szCs w:val="21"/>
                      <w:shd w:val="clear"/>
                      <w:lang w:val="en-US" w:eastAsia="zh-CN"/>
                    </w:rPr>
                    <w:t>，建议企业取得取水许可。</w:t>
                  </w:r>
                </w:p>
              </w:tc>
            </w:tr>
          </w:tbl>
          <w:p>
            <w:pPr>
              <w:keepNext w:val="0"/>
              <w:keepLines w:val="0"/>
              <w:pageBreakBefore w:val="0"/>
              <w:widowControl w:val="0"/>
              <w:shd w:val="clear"/>
              <w:kinsoku/>
              <w:wordWrap/>
              <w:overflowPunct/>
              <w:topLinePunct w:val="0"/>
              <w:autoSpaceDE w:val="0"/>
              <w:autoSpaceDN w:val="0"/>
              <w:bidi w:val="0"/>
              <w:adjustRightInd w:val="0"/>
              <w:snapToGrid w:val="0"/>
              <w:spacing w:line="360" w:lineRule="auto"/>
              <w:jc w:val="left"/>
              <w:textAlignment w:val="auto"/>
              <w:rPr>
                <w:rFonts w:hint="eastAsia" w:cs="Times New Roman"/>
                <w:b/>
                <w:bCs/>
                <w:color w:val="auto"/>
                <w:kern w:val="0"/>
                <w:sz w:val="24"/>
                <w:szCs w:val="24"/>
                <w:lang w:val="en-US" w:eastAsia="zh-CN" w:bidi="ar-SA"/>
              </w:rPr>
            </w:pP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jc w:val="left"/>
              <w:textAlignment w:val="auto"/>
              <w:rPr>
                <w:rFonts w:hint="eastAsia" w:cs="Times New Roman"/>
                <w:b/>
                <w:bCs/>
                <w:color w:val="auto"/>
                <w:kern w:val="0"/>
                <w:sz w:val="24"/>
                <w:szCs w:val="24"/>
                <w:lang w:val="en-US" w:eastAsia="zh-CN" w:bidi="ar-SA"/>
              </w:rPr>
            </w:pP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jc w:val="left"/>
              <w:textAlignment w:val="auto"/>
              <w:rPr>
                <w:b/>
                <w:bCs/>
                <w:color w:val="auto"/>
                <w:sz w:val="24"/>
                <w:szCs w:val="32"/>
                <w:highlight w:val="none"/>
              </w:rPr>
            </w:pPr>
            <w:r>
              <w:rPr>
                <w:rFonts w:hint="eastAsia" w:cs="Times New Roman"/>
                <w:b/>
                <w:bCs/>
                <w:color w:val="auto"/>
                <w:kern w:val="0"/>
                <w:sz w:val="24"/>
                <w:szCs w:val="24"/>
                <w:lang w:val="en-US" w:eastAsia="zh-CN" w:bidi="ar-SA"/>
              </w:rPr>
              <w:t>6</w:t>
            </w:r>
            <w:r>
              <w:rPr>
                <w:rFonts w:hint="eastAsia" w:ascii="Times New Roman" w:hAnsi="Times New Roman" w:eastAsia="宋体" w:cs="Times New Roman"/>
                <w:b/>
                <w:bCs/>
                <w:color w:val="auto"/>
                <w:kern w:val="0"/>
                <w:sz w:val="24"/>
                <w:szCs w:val="24"/>
                <w:lang w:val="en-US" w:eastAsia="zh-CN" w:bidi="ar-SA"/>
              </w:rPr>
              <w:t>.</w:t>
            </w:r>
            <w:r>
              <w:rPr>
                <w:rFonts w:hint="default" w:ascii="Times New Roman" w:hAnsi="Times New Roman" w:eastAsia="宋体" w:cs="Times New Roman"/>
                <w:b/>
                <w:bCs/>
                <w:color w:val="auto"/>
                <w:kern w:val="0"/>
                <w:sz w:val="24"/>
                <w:szCs w:val="21"/>
                <w:highlight w:val="none"/>
              </w:rPr>
              <w:t>与《黑龙江省大气污染防治条例》符合性分析</w:t>
            </w:r>
          </w:p>
          <w:p>
            <w:pPr>
              <w:pStyle w:val="25"/>
              <w:keepNext w:val="0"/>
              <w:keepLines w:val="0"/>
              <w:pageBreakBefore w:val="0"/>
              <w:widowControl/>
              <w:shd w:val="clear"/>
              <w:kinsoku w:val="0"/>
              <w:wordWrap/>
              <w:overflowPunct/>
              <w:topLinePunct w:val="0"/>
              <w:autoSpaceDE w:val="0"/>
              <w:autoSpaceDN w:val="0"/>
              <w:bidi w:val="0"/>
              <w:adjustRightInd w:val="0"/>
              <w:snapToGrid w:val="0"/>
              <w:spacing w:before="0" w:after="0" w:line="360" w:lineRule="auto"/>
              <w:ind w:right="0" w:firstLine="480" w:firstLineChars="200"/>
              <w:jc w:val="both"/>
              <w:textAlignment w:val="baseline"/>
              <w:rPr>
                <w:rFonts w:hint="eastAsia" w:ascii="Times New Roman" w:hAnsi="Times New Roman" w:eastAsia="宋体"/>
                <w:b w:val="0"/>
                <w:bCs w:val="0"/>
                <w:color w:val="auto"/>
                <w:sz w:val="24"/>
                <w:highlight w:val="none"/>
                <w:lang w:eastAsia="zh-CN"/>
              </w:rPr>
            </w:pPr>
            <w:r>
              <w:rPr>
                <w:rFonts w:hint="eastAsia" w:ascii="Times New Roman" w:hAnsi="Times New Roman" w:eastAsia="宋体"/>
                <w:b w:val="0"/>
                <w:bCs w:val="0"/>
                <w:color w:val="auto"/>
                <w:sz w:val="24"/>
                <w:highlight w:val="none"/>
                <w:lang w:eastAsia="zh-CN"/>
              </w:rPr>
              <w:t>（</w:t>
            </w:r>
            <w:r>
              <w:rPr>
                <w:rFonts w:hint="eastAsia" w:ascii="Times New Roman" w:hAnsi="Times New Roman" w:eastAsia="宋体"/>
                <w:b w:val="0"/>
                <w:bCs w:val="0"/>
                <w:color w:val="auto"/>
                <w:sz w:val="24"/>
                <w:highlight w:val="none"/>
                <w:lang w:val="en-US" w:eastAsia="zh-CN"/>
              </w:rPr>
              <w:t>1</w:t>
            </w:r>
            <w:r>
              <w:rPr>
                <w:rFonts w:hint="eastAsia" w:ascii="Times New Roman" w:hAnsi="Times New Roman" w:eastAsia="宋体"/>
                <w:b w:val="0"/>
                <w:bCs w:val="0"/>
                <w:color w:val="auto"/>
                <w:sz w:val="24"/>
                <w:highlight w:val="none"/>
                <w:lang w:eastAsia="zh-CN"/>
              </w:rPr>
              <w:t>）相关内容</w:t>
            </w:r>
          </w:p>
          <w:p>
            <w:pPr>
              <w:pStyle w:val="25"/>
              <w:keepNext w:val="0"/>
              <w:keepLines w:val="0"/>
              <w:pageBreakBefore w:val="0"/>
              <w:widowControl/>
              <w:shd w:val="clear"/>
              <w:kinsoku w:val="0"/>
              <w:wordWrap/>
              <w:overflowPunct/>
              <w:topLinePunct w:val="0"/>
              <w:autoSpaceDE w:val="0"/>
              <w:autoSpaceDN w:val="0"/>
              <w:bidi w:val="0"/>
              <w:adjustRightInd w:val="0"/>
              <w:snapToGrid w:val="0"/>
              <w:spacing w:before="0" w:after="0" w:line="360" w:lineRule="auto"/>
              <w:ind w:right="0" w:firstLine="480" w:firstLineChars="200"/>
              <w:jc w:val="both"/>
              <w:textAlignment w:val="baseline"/>
              <w:rPr>
                <w:rFonts w:hint="eastAsia" w:ascii="Times New Roman" w:hAnsi="Times New Roman" w:eastAsia="宋体"/>
                <w:b w:val="0"/>
                <w:bCs w:val="0"/>
                <w:color w:val="auto"/>
                <w:sz w:val="24"/>
                <w:highlight w:val="none"/>
              </w:rPr>
            </w:pPr>
            <w:r>
              <w:rPr>
                <w:rFonts w:hint="eastAsia" w:ascii="Times New Roman" w:hAnsi="Times New Roman" w:eastAsia="宋体"/>
                <w:b w:val="0"/>
                <w:bCs w:val="0"/>
                <w:color w:val="auto"/>
                <w:sz w:val="24"/>
                <w:highlight w:val="none"/>
              </w:rPr>
              <w:t>根据《黑龙江省大气污染防治条例》，工业和信息化部门负责工业节能降耗，淘汰落后产能，推进工业锅炉升级改造和清洁生产，燃煤电厂、燃煤供热锅炉以及其他燃煤单位，应当采用清洁生产工艺，配套建设除尘、脱硫、脱硝等装置或者采用技术改造等措施，减少大气污染物的产生和排放，排放的大气污染物应当达到规定标准。</w:t>
            </w:r>
          </w:p>
          <w:p>
            <w:pPr>
              <w:pStyle w:val="25"/>
              <w:keepNext w:val="0"/>
              <w:keepLines w:val="0"/>
              <w:pageBreakBefore w:val="0"/>
              <w:widowControl/>
              <w:shd w:val="clear"/>
              <w:kinsoku w:val="0"/>
              <w:wordWrap/>
              <w:overflowPunct/>
              <w:topLinePunct w:val="0"/>
              <w:autoSpaceDE w:val="0"/>
              <w:autoSpaceDN w:val="0"/>
              <w:bidi w:val="0"/>
              <w:adjustRightInd w:val="0"/>
              <w:snapToGrid w:val="0"/>
              <w:spacing w:after="0" w:line="360" w:lineRule="auto"/>
              <w:ind w:right="0" w:firstLine="480" w:firstLineChars="200"/>
              <w:jc w:val="both"/>
              <w:textAlignment w:val="baseline"/>
              <w:rPr>
                <w:rFonts w:hint="eastAsia" w:ascii="Times New Roman" w:hAnsi="Times New Roman" w:eastAsia="宋体"/>
                <w:b w:val="0"/>
                <w:bCs w:val="0"/>
                <w:color w:val="auto"/>
                <w:sz w:val="24"/>
                <w:highlight w:val="none"/>
                <w:lang w:eastAsia="zh-CN"/>
              </w:rPr>
            </w:pPr>
            <w:r>
              <w:rPr>
                <w:rFonts w:hint="eastAsia" w:ascii="Times New Roman" w:hAnsi="Times New Roman" w:eastAsia="宋体"/>
                <w:b w:val="0"/>
                <w:bCs w:val="0"/>
                <w:color w:val="auto"/>
                <w:sz w:val="24"/>
                <w:highlight w:val="none"/>
                <w:lang w:eastAsia="zh-CN"/>
              </w:rPr>
              <w:t>（</w:t>
            </w:r>
            <w:r>
              <w:rPr>
                <w:rFonts w:hint="eastAsia" w:ascii="Times New Roman" w:hAnsi="Times New Roman" w:eastAsia="宋体"/>
                <w:b w:val="0"/>
                <w:bCs w:val="0"/>
                <w:color w:val="auto"/>
                <w:sz w:val="24"/>
                <w:highlight w:val="none"/>
                <w:lang w:val="en-US" w:eastAsia="zh-CN"/>
              </w:rPr>
              <w:t>2</w:t>
            </w:r>
            <w:r>
              <w:rPr>
                <w:rFonts w:hint="eastAsia" w:ascii="Times New Roman" w:hAnsi="Times New Roman" w:eastAsia="宋体"/>
                <w:b w:val="0"/>
                <w:bCs w:val="0"/>
                <w:color w:val="auto"/>
                <w:sz w:val="24"/>
                <w:highlight w:val="none"/>
                <w:lang w:eastAsia="zh-CN"/>
              </w:rPr>
              <w:t>）符合性分析</w:t>
            </w:r>
          </w:p>
          <w:p>
            <w:pPr>
              <w:pStyle w:val="25"/>
              <w:keepNext w:val="0"/>
              <w:keepLines w:val="0"/>
              <w:pageBreakBefore w:val="0"/>
              <w:widowControl/>
              <w:shd w:val="clear"/>
              <w:kinsoku w:val="0"/>
              <w:wordWrap/>
              <w:overflowPunct/>
              <w:topLinePunct w:val="0"/>
              <w:autoSpaceDE w:val="0"/>
              <w:autoSpaceDN w:val="0"/>
              <w:bidi w:val="0"/>
              <w:adjustRightInd w:val="0"/>
              <w:snapToGrid w:val="0"/>
              <w:spacing w:before="0" w:after="0" w:line="360" w:lineRule="auto"/>
              <w:ind w:right="0" w:firstLine="480" w:firstLineChars="200"/>
              <w:jc w:val="both"/>
              <w:textAlignment w:val="baseline"/>
              <w:rPr>
                <w:rFonts w:hint="eastAsia" w:ascii="Times New Roman" w:hAnsi="Times New Roman" w:eastAsia="宋体" w:cs="Times New Roman"/>
                <w:b w:val="0"/>
                <w:bCs w:val="0"/>
                <w:color w:val="auto"/>
                <w:sz w:val="24"/>
                <w:highlight w:val="none"/>
                <w:lang w:val="en-US" w:eastAsia="zh-CN"/>
              </w:rPr>
            </w:pPr>
            <w:r>
              <w:rPr>
                <w:rFonts w:hint="eastAsia" w:ascii="Times New Roman" w:hAnsi="Times New Roman" w:eastAsia="宋体"/>
                <w:b w:val="0"/>
                <w:bCs w:val="0"/>
                <w:color w:val="auto"/>
                <w:sz w:val="24"/>
                <w:highlight w:val="none"/>
                <w:lang w:eastAsia="zh-CN"/>
              </w:rPr>
              <w:t>本项目新建</w:t>
            </w:r>
            <w:r>
              <w:rPr>
                <w:rFonts w:hint="eastAsia" w:ascii="Times New Roman" w:hAnsi="Times New Roman" w:eastAsia="宋体"/>
                <w:b w:val="0"/>
                <w:bCs w:val="0"/>
                <w:color w:val="auto"/>
                <w:sz w:val="24"/>
                <w:highlight w:val="none"/>
                <w:lang w:val="en-US" w:eastAsia="zh-CN"/>
              </w:rPr>
              <w:t>1</w:t>
            </w:r>
            <w:r>
              <w:rPr>
                <w:rFonts w:hint="eastAsia" w:ascii="Times New Roman" w:hAnsi="Times New Roman" w:eastAsia="宋体"/>
                <w:b w:val="0"/>
                <w:bCs w:val="0"/>
                <w:color w:val="auto"/>
                <w:sz w:val="24"/>
                <w:highlight w:val="none"/>
                <w:lang w:eastAsia="zh-CN"/>
              </w:rPr>
              <w:t>台</w:t>
            </w:r>
            <w:r>
              <w:rPr>
                <w:rFonts w:hint="eastAsia" w:ascii="Times New Roman" w:hAnsi="Times New Roman" w:eastAsia="宋体"/>
                <w:b w:val="0"/>
                <w:bCs w:val="0"/>
                <w:color w:val="auto"/>
                <w:sz w:val="24"/>
                <w:highlight w:val="none"/>
                <w:lang w:val="en-US" w:eastAsia="zh-CN"/>
              </w:rPr>
              <w:t>4t/h燃生</w:t>
            </w:r>
            <w:r>
              <w:rPr>
                <w:rFonts w:hint="eastAsia" w:ascii="Times New Roman" w:hAnsi="Times New Roman" w:eastAsia="宋体" w:cs="Times New Roman"/>
                <w:b w:val="0"/>
                <w:bCs w:val="0"/>
                <w:color w:val="auto"/>
                <w:sz w:val="24"/>
                <w:highlight w:val="none"/>
                <w:lang w:val="en-US" w:eastAsia="zh-CN"/>
              </w:rPr>
              <w:t>物质蒸汽锅炉</w:t>
            </w:r>
            <w:r>
              <w:rPr>
                <w:rFonts w:hint="eastAsia" w:ascii="Times New Roman" w:hAnsi="Times New Roman" w:eastAsia="宋体" w:cs="Times New Roman"/>
                <w:b w:val="0"/>
                <w:bCs w:val="0"/>
                <w:color w:val="auto"/>
                <w:sz w:val="24"/>
                <w:highlight w:val="none"/>
                <w:lang w:eastAsia="zh-CN"/>
              </w:rPr>
              <w:t>产生</w:t>
            </w:r>
            <w:r>
              <w:rPr>
                <w:rFonts w:hint="eastAsia" w:ascii="Times New Roman" w:hAnsi="Times New Roman" w:eastAsia="宋体" w:cs="Times New Roman"/>
                <w:b w:val="0"/>
                <w:bCs w:val="0"/>
                <w:color w:val="auto"/>
                <w:sz w:val="24"/>
                <w:highlight w:val="none"/>
                <w:lang w:val="en-US" w:eastAsia="zh-CN"/>
              </w:rPr>
              <w:t>的</w:t>
            </w:r>
            <w:r>
              <w:rPr>
                <w:rFonts w:hint="eastAsia" w:ascii="Times New Roman" w:hAnsi="Times New Roman" w:eastAsia="宋体" w:cs="Times New Roman"/>
                <w:b w:val="0"/>
                <w:bCs w:val="0"/>
                <w:color w:val="auto"/>
                <w:sz w:val="24"/>
                <w:highlight w:val="none"/>
                <w:lang w:eastAsia="zh-CN"/>
              </w:rPr>
              <w:t>废气经布袋除尘器处理后经3</w:t>
            </w:r>
            <w:r>
              <w:rPr>
                <w:rFonts w:hint="eastAsia" w:ascii="Times New Roman" w:hAnsi="Times New Roman" w:eastAsia="宋体" w:cs="Times New Roman"/>
                <w:b w:val="0"/>
                <w:bCs w:val="0"/>
                <w:color w:val="auto"/>
                <w:sz w:val="24"/>
                <w:highlight w:val="none"/>
                <w:lang w:val="en-US" w:eastAsia="zh-CN"/>
              </w:rPr>
              <w:t>5</w:t>
            </w:r>
            <w:r>
              <w:rPr>
                <w:rFonts w:hint="eastAsia" w:ascii="Times New Roman" w:hAnsi="Times New Roman" w:eastAsia="宋体" w:cs="Times New Roman"/>
                <w:b w:val="0"/>
                <w:bCs w:val="0"/>
                <w:color w:val="auto"/>
                <w:sz w:val="24"/>
                <w:highlight w:val="none"/>
                <w:lang w:eastAsia="zh-CN"/>
              </w:rPr>
              <w:t>米高烟囱排放，布袋除尘器处理效率为99.9%，满足《锅炉大气污染物排放标准》（GB13271-2014）表2新建锅炉大气污染物排放浓度限值中燃煤锅炉要求。玉米漂烫工序会产生少量异味（以臭气浓度计），玉米蒸煮工序会产生少量异味（以臭气浓度计），蒸煮工序产生异味在生产车间内散溢，加强车间通风，蒸煮工序异味对外环境影响较小。厂界臭气浓度能够满足《恶臭污染物排放标准》（GB14554-93）表2中臭气浓度20（无量纲）标准限值。</w:t>
            </w:r>
            <w:r>
              <w:rPr>
                <w:rFonts w:hint="default" w:ascii="Times New Roman" w:hAnsi="Times New Roman" w:eastAsia="宋体" w:cs="Times New Roman"/>
                <w:b w:val="0"/>
                <w:bCs w:val="0"/>
                <w:color w:val="auto"/>
                <w:sz w:val="24"/>
                <w:highlight w:val="none"/>
                <w:lang w:val="en-US" w:eastAsia="zh-CN"/>
              </w:rPr>
              <w:t>厂界颗粒物排放满足《大气污染物综合排放标准》（GB16297-1996）标准的要求</w:t>
            </w:r>
            <w:r>
              <w:rPr>
                <w:rFonts w:hint="eastAsia" w:ascii="Times New Roman" w:hAnsi="Times New Roman" w:eastAsia="宋体" w:cs="Times New Roman"/>
                <w:b w:val="0"/>
                <w:bCs w:val="0"/>
                <w:color w:val="auto"/>
                <w:sz w:val="24"/>
                <w:highlight w:val="none"/>
                <w:lang w:val="en-US" w:eastAsia="zh-CN"/>
              </w:rPr>
              <w:t>。</w:t>
            </w:r>
          </w:p>
          <w:p>
            <w:pPr>
              <w:pStyle w:val="25"/>
              <w:keepNext w:val="0"/>
              <w:keepLines w:val="0"/>
              <w:pageBreakBefore w:val="0"/>
              <w:widowControl/>
              <w:shd w:val="clear"/>
              <w:kinsoku w:val="0"/>
              <w:wordWrap/>
              <w:overflowPunct/>
              <w:topLinePunct w:val="0"/>
              <w:autoSpaceDE w:val="0"/>
              <w:autoSpaceDN w:val="0"/>
              <w:bidi w:val="0"/>
              <w:adjustRightInd w:val="0"/>
              <w:snapToGrid w:val="0"/>
              <w:spacing w:before="0" w:after="0" w:line="360" w:lineRule="auto"/>
              <w:ind w:right="0" w:firstLine="480" w:firstLineChars="200"/>
              <w:jc w:val="both"/>
              <w:textAlignment w:val="baseline"/>
              <w:rPr>
                <w:rFonts w:hint="eastAsia" w:ascii="Times New Roman" w:hAnsi="Times New Roman" w:eastAsia="宋体" w:cs="Times New Roman"/>
                <w:b w:val="0"/>
                <w:bCs w:val="0"/>
                <w:color w:val="auto"/>
                <w:sz w:val="24"/>
                <w:highlight w:val="none"/>
                <w:lang w:eastAsia="zh-CN"/>
              </w:rPr>
            </w:pPr>
            <w:r>
              <w:rPr>
                <w:rFonts w:hint="eastAsia" w:ascii="Times New Roman" w:hAnsi="Times New Roman" w:eastAsia="宋体" w:cs="Times New Roman"/>
                <w:b w:val="0"/>
                <w:bCs w:val="0"/>
                <w:color w:val="auto"/>
                <w:sz w:val="24"/>
                <w:highlight w:val="none"/>
                <w:lang w:val="en-US" w:eastAsia="zh-CN"/>
              </w:rPr>
              <w:t>综上所述本项目建设符合《黑龙江省大气污染防治条例》相关要求</w:t>
            </w:r>
            <w:r>
              <w:rPr>
                <w:rFonts w:hint="eastAsia" w:ascii="Times New Roman" w:hAnsi="Times New Roman" w:eastAsia="宋体" w:cs="Times New Roman"/>
                <w:b w:val="0"/>
                <w:bCs w:val="0"/>
                <w:color w:val="auto"/>
                <w:sz w:val="24"/>
                <w:highlight w:val="none"/>
                <w:lang w:eastAsia="zh-CN"/>
              </w:rPr>
              <w:t>。</w:t>
            </w:r>
          </w:p>
          <w:p>
            <w:pPr>
              <w:keepNext w:val="0"/>
              <w:keepLines w:val="0"/>
              <w:pageBreakBefore w:val="0"/>
              <w:widowControl w:val="0"/>
              <w:shd w:val="clear"/>
              <w:kinsoku/>
              <w:wordWrap/>
              <w:overflowPunct/>
              <w:topLinePunct w:val="0"/>
              <w:autoSpaceDE/>
              <w:autoSpaceDN/>
              <w:bidi w:val="0"/>
              <w:adjustRightInd/>
              <w:snapToGrid/>
              <w:spacing w:line="360" w:lineRule="auto"/>
              <w:jc w:val="both"/>
              <w:textAlignment w:val="auto"/>
              <w:rPr>
                <w:rFonts w:hint="eastAsia" w:ascii="Times New Roman" w:hAnsi="Times New Roman" w:eastAsia="宋体" w:cs="Times New Roman"/>
                <w:b/>
                <w:bCs/>
                <w:color w:val="auto"/>
                <w:kern w:val="0"/>
                <w:sz w:val="24"/>
                <w:szCs w:val="24"/>
                <w:highlight w:val="none"/>
                <w:lang w:val="en-US" w:eastAsia="zh-CN" w:bidi="ar-SA"/>
              </w:rPr>
            </w:pPr>
            <w:r>
              <w:rPr>
                <w:rFonts w:hint="eastAsia" w:ascii="Times New Roman" w:hAnsi="Times New Roman" w:eastAsia="宋体"/>
                <w:b/>
                <w:bCs/>
                <w:color w:val="auto"/>
                <w:sz w:val="24"/>
                <w:highlight w:val="none"/>
                <w:lang w:val="en-US" w:eastAsia="zh-CN"/>
              </w:rPr>
              <w:t>7.与《环境空气细颗粒物污染综合防治技术政策》符合性分析</w:t>
            </w:r>
          </w:p>
          <w:p>
            <w:pPr>
              <w:pStyle w:val="25"/>
              <w:keepNext w:val="0"/>
              <w:keepLines w:val="0"/>
              <w:pageBreakBefore w:val="0"/>
              <w:widowControl/>
              <w:shd w:val="clear"/>
              <w:kinsoku w:val="0"/>
              <w:wordWrap/>
              <w:overflowPunct/>
              <w:topLinePunct w:val="0"/>
              <w:autoSpaceDE w:val="0"/>
              <w:autoSpaceDN w:val="0"/>
              <w:bidi w:val="0"/>
              <w:adjustRightInd w:val="0"/>
              <w:snapToGrid w:val="0"/>
              <w:spacing w:after="0" w:line="360" w:lineRule="auto"/>
              <w:ind w:right="0" w:firstLine="480" w:firstLineChars="200"/>
              <w:jc w:val="both"/>
              <w:textAlignment w:val="baseline"/>
              <w:rPr>
                <w:rFonts w:hint="eastAsia" w:ascii="Times New Roman" w:hAnsi="Times New Roman" w:eastAsia="宋体"/>
                <w:b w:val="0"/>
                <w:bCs w:val="0"/>
                <w:color w:val="auto"/>
                <w:sz w:val="24"/>
                <w:highlight w:val="none"/>
                <w:lang w:val="en-US" w:eastAsia="zh-CN"/>
              </w:rPr>
            </w:pPr>
            <w:r>
              <w:rPr>
                <w:rFonts w:hint="eastAsia" w:ascii="Times New Roman" w:hAnsi="Times New Roman" w:eastAsia="宋体"/>
                <w:b w:val="0"/>
                <w:bCs w:val="0"/>
                <w:color w:val="auto"/>
                <w:sz w:val="24"/>
                <w:highlight w:val="none"/>
                <w:lang w:val="en-US" w:eastAsia="zh-CN"/>
              </w:rPr>
              <w:t>（1）相关内容</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b w:val="0"/>
                <w:bCs w:val="0"/>
                <w:color w:val="auto"/>
                <w:sz w:val="24"/>
                <w:highlight w:val="none"/>
                <w:lang w:val="en-US" w:eastAsia="zh-CN"/>
              </w:rPr>
              <w:t>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b w:val="0"/>
                <w:bCs w:val="0"/>
                <w:color w:val="auto"/>
                <w:sz w:val="24"/>
                <w:highlight w:val="none"/>
                <w:lang w:val="en-US" w:eastAsia="zh-CN"/>
              </w:rPr>
              <w:t>向大气排放污染物的企业事业单位和其他生产经营者，应当配套建设大气污染防治设施。配套建设的大气污染防治设施，应当与主体工程同时设计、同时施工、同时投产使用，不得擅自拆除或者闲置。</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b w:val="0"/>
                <w:bCs w:val="0"/>
                <w:color w:val="auto"/>
                <w:sz w:val="24"/>
                <w:highlight w:val="none"/>
                <w:lang w:val="en-US" w:eastAsia="zh-CN"/>
              </w:rPr>
            </w:pPr>
            <w:r>
              <w:rPr>
                <w:rFonts w:hint="eastAsia" w:ascii="Times New Roman" w:hAnsi="Times New Roman" w:eastAsia="宋体"/>
                <w:b w:val="0"/>
                <w:bCs w:val="0"/>
                <w:color w:val="auto"/>
                <w:sz w:val="24"/>
                <w:highlight w:val="none"/>
                <w:lang w:val="en-US" w:eastAsia="zh-CN"/>
              </w:rPr>
              <w:t>（2）符合性分析</w:t>
            </w:r>
          </w:p>
          <w:p>
            <w:pPr>
              <w:pStyle w:val="25"/>
              <w:keepNext w:val="0"/>
              <w:keepLines w:val="0"/>
              <w:pageBreakBefore w:val="0"/>
              <w:widowControl/>
              <w:shd w:val="clear"/>
              <w:kinsoku w:val="0"/>
              <w:wordWrap/>
              <w:overflowPunct/>
              <w:topLinePunct w:val="0"/>
              <w:autoSpaceDE w:val="0"/>
              <w:autoSpaceDN w:val="0"/>
              <w:bidi w:val="0"/>
              <w:adjustRightInd w:val="0"/>
              <w:snapToGrid w:val="0"/>
              <w:spacing w:before="0" w:after="0" w:line="360" w:lineRule="auto"/>
              <w:ind w:right="0" w:firstLine="480" w:firstLineChars="200"/>
              <w:jc w:val="both"/>
              <w:textAlignment w:val="baseline"/>
              <w:rPr>
                <w:rFonts w:hint="eastAsia" w:ascii="Times New Roman" w:hAnsi="Times New Roman" w:eastAsia="宋体" w:cs="Times New Roman"/>
                <w:b w:val="0"/>
                <w:bCs w:val="0"/>
                <w:color w:val="auto"/>
                <w:sz w:val="24"/>
                <w:highlight w:val="none"/>
                <w:lang w:val="en-US" w:eastAsia="zh-CN"/>
              </w:rPr>
            </w:pPr>
            <w:r>
              <w:rPr>
                <w:rFonts w:hint="eastAsia" w:ascii="Times New Roman" w:hAnsi="Times New Roman" w:eastAsia="宋体"/>
                <w:b w:val="0"/>
                <w:bCs w:val="0"/>
                <w:color w:val="auto"/>
                <w:sz w:val="24"/>
                <w:highlight w:val="none"/>
                <w:lang w:eastAsia="zh-CN"/>
              </w:rPr>
              <w:t>本项目新建</w:t>
            </w:r>
            <w:r>
              <w:rPr>
                <w:rFonts w:hint="eastAsia" w:ascii="Times New Roman" w:hAnsi="Times New Roman" w:eastAsia="宋体"/>
                <w:b w:val="0"/>
                <w:bCs w:val="0"/>
                <w:color w:val="auto"/>
                <w:sz w:val="24"/>
                <w:highlight w:val="none"/>
                <w:lang w:val="en-US" w:eastAsia="zh-CN"/>
              </w:rPr>
              <w:t>1</w:t>
            </w:r>
            <w:r>
              <w:rPr>
                <w:rFonts w:hint="eastAsia" w:ascii="Times New Roman" w:hAnsi="Times New Roman" w:eastAsia="宋体"/>
                <w:b w:val="0"/>
                <w:bCs w:val="0"/>
                <w:color w:val="auto"/>
                <w:sz w:val="24"/>
                <w:highlight w:val="none"/>
                <w:lang w:eastAsia="zh-CN"/>
              </w:rPr>
              <w:t>台</w:t>
            </w:r>
            <w:r>
              <w:rPr>
                <w:rFonts w:hint="eastAsia" w:ascii="Times New Roman" w:hAnsi="Times New Roman" w:eastAsia="宋体"/>
                <w:b w:val="0"/>
                <w:bCs w:val="0"/>
                <w:color w:val="auto"/>
                <w:sz w:val="24"/>
                <w:highlight w:val="none"/>
                <w:lang w:val="en-US" w:eastAsia="zh-CN"/>
              </w:rPr>
              <w:t>4t/h燃生</w:t>
            </w:r>
            <w:r>
              <w:rPr>
                <w:rFonts w:hint="eastAsia" w:ascii="Times New Roman" w:hAnsi="Times New Roman" w:eastAsia="宋体" w:cs="Times New Roman"/>
                <w:b w:val="0"/>
                <w:bCs w:val="0"/>
                <w:color w:val="auto"/>
                <w:sz w:val="24"/>
                <w:highlight w:val="none"/>
                <w:lang w:val="en-US" w:eastAsia="zh-CN"/>
              </w:rPr>
              <w:t>物质蒸汽锅炉</w:t>
            </w:r>
            <w:r>
              <w:rPr>
                <w:rFonts w:hint="eastAsia" w:ascii="Times New Roman" w:hAnsi="Times New Roman" w:eastAsia="宋体" w:cs="Times New Roman"/>
                <w:b w:val="0"/>
                <w:bCs w:val="0"/>
                <w:color w:val="auto"/>
                <w:sz w:val="24"/>
                <w:highlight w:val="none"/>
                <w:lang w:eastAsia="zh-CN"/>
              </w:rPr>
              <w:t>产生</w:t>
            </w:r>
            <w:r>
              <w:rPr>
                <w:rFonts w:hint="eastAsia" w:ascii="Times New Roman" w:hAnsi="Times New Roman" w:eastAsia="宋体" w:cs="Times New Roman"/>
                <w:b w:val="0"/>
                <w:bCs w:val="0"/>
                <w:color w:val="auto"/>
                <w:sz w:val="24"/>
                <w:highlight w:val="none"/>
                <w:lang w:val="en-US" w:eastAsia="zh-CN"/>
              </w:rPr>
              <w:t>的</w:t>
            </w:r>
            <w:r>
              <w:rPr>
                <w:rFonts w:hint="eastAsia" w:ascii="Times New Roman" w:hAnsi="Times New Roman" w:eastAsia="宋体" w:cs="Times New Roman"/>
                <w:b w:val="0"/>
                <w:bCs w:val="0"/>
                <w:color w:val="auto"/>
                <w:sz w:val="24"/>
                <w:highlight w:val="none"/>
                <w:lang w:eastAsia="zh-CN"/>
              </w:rPr>
              <w:t>废气经布袋除尘器处理后经3</w:t>
            </w:r>
            <w:r>
              <w:rPr>
                <w:rFonts w:hint="eastAsia" w:ascii="Times New Roman" w:hAnsi="Times New Roman" w:eastAsia="宋体" w:cs="Times New Roman"/>
                <w:b w:val="0"/>
                <w:bCs w:val="0"/>
                <w:color w:val="auto"/>
                <w:sz w:val="24"/>
                <w:highlight w:val="none"/>
                <w:lang w:val="en-US" w:eastAsia="zh-CN"/>
              </w:rPr>
              <w:t>5</w:t>
            </w:r>
            <w:r>
              <w:rPr>
                <w:rFonts w:hint="eastAsia" w:ascii="Times New Roman" w:hAnsi="Times New Roman" w:eastAsia="宋体" w:cs="Times New Roman"/>
                <w:b w:val="0"/>
                <w:bCs w:val="0"/>
                <w:color w:val="auto"/>
                <w:sz w:val="24"/>
                <w:highlight w:val="none"/>
                <w:lang w:eastAsia="zh-CN"/>
              </w:rPr>
              <w:t>米高烟囱排放，布袋除尘器处理效率为99.9%，满足《锅炉大气污染物排放标准》（GB13271-2014）表2新建锅炉大气污染物排放浓度限值中燃煤锅炉要求。玉米漂烫工序会产生少量异味（以臭气浓度计），玉米蒸煮工序会产生少量异味（以臭气浓度计），蒸煮工序产生异味在生产车间内散溢，加强车间通风，蒸煮工序异味对外环境影响较小。厂界臭气浓度能够满足《恶臭污染物排放标准》（GB14554-93）表2中臭气浓度20 （无量纲）标准限值。</w:t>
            </w:r>
            <w:r>
              <w:rPr>
                <w:rFonts w:hint="default" w:ascii="Times New Roman" w:hAnsi="Times New Roman" w:eastAsia="宋体" w:cs="Times New Roman"/>
                <w:b w:val="0"/>
                <w:bCs w:val="0"/>
                <w:color w:val="auto"/>
                <w:sz w:val="24"/>
                <w:highlight w:val="none"/>
                <w:lang w:val="en-US" w:eastAsia="zh-CN"/>
              </w:rPr>
              <w:t>厂界颗粒物排放满足《大气污染物综合排放标准》（GB16297-1996）标准的要求</w:t>
            </w:r>
            <w:r>
              <w:rPr>
                <w:rFonts w:hint="eastAsia" w:ascii="Times New Roman" w:hAnsi="Times New Roman" w:eastAsia="宋体" w:cs="Times New Roman"/>
                <w:b w:val="0"/>
                <w:bCs w:val="0"/>
                <w:color w:val="auto"/>
                <w:sz w:val="24"/>
                <w:highlight w:val="none"/>
                <w:lang w:val="en-US" w:eastAsia="zh-CN"/>
              </w:rPr>
              <w:t>。</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b w:val="0"/>
                <w:bCs w:val="0"/>
                <w:color w:val="auto"/>
                <w:sz w:val="24"/>
                <w:highlight w:val="none"/>
                <w:lang w:val="en-US" w:eastAsia="zh-CN"/>
              </w:rPr>
              <w:t>综上所述本项目符合《环境空气细颗粒物污染综合防治技术政策》相关要求</w:t>
            </w:r>
          </w:p>
          <w:p>
            <w:pPr>
              <w:keepNext w:val="0"/>
              <w:keepLines w:val="0"/>
              <w:pageBreakBefore w:val="0"/>
              <w:widowControl/>
              <w:shd w:val="clear"/>
              <w:kinsoku/>
              <w:wordWrap/>
              <w:overflowPunct/>
              <w:topLinePunct w:val="0"/>
              <w:autoSpaceDE/>
              <w:autoSpaceDN/>
              <w:bidi w:val="0"/>
              <w:adjustRightInd/>
              <w:snapToGrid/>
              <w:spacing w:line="360" w:lineRule="auto"/>
              <w:ind w:right="0"/>
              <w:jc w:val="both"/>
              <w:textAlignment w:val="auto"/>
              <w:rPr>
                <w:rFonts w:hint="eastAsia" w:ascii="Times New Roman" w:hAnsi="Times New Roman" w:eastAsia="宋体"/>
                <w:b/>
                <w:bCs/>
                <w:color w:val="auto"/>
                <w:sz w:val="24"/>
                <w:highlight w:val="none"/>
                <w:lang w:val="en-US" w:eastAsia="zh-CN"/>
              </w:rPr>
            </w:pPr>
            <w:r>
              <w:rPr>
                <w:rFonts w:hint="eastAsia" w:ascii="Times New Roman" w:hAnsi="Times New Roman" w:eastAsia="宋体"/>
                <w:b/>
                <w:bCs/>
                <w:color w:val="auto"/>
                <w:sz w:val="24"/>
                <w:szCs w:val="28"/>
                <w:highlight w:val="none"/>
                <w:lang w:val="en-US" w:eastAsia="zh-CN"/>
              </w:rPr>
              <w:t>8.</w:t>
            </w:r>
            <w:r>
              <w:rPr>
                <w:rFonts w:ascii="Times New Roman" w:hAnsi="Times New Roman" w:eastAsia="宋体"/>
                <w:b/>
                <w:bCs/>
                <w:color w:val="auto"/>
                <w:sz w:val="24"/>
                <w:szCs w:val="28"/>
                <w:highlight w:val="none"/>
              </w:rPr>
              <w:t>与《黑龙江省“十四五”土壤地下水和农村生态环境保护规划》符合性分析</w:t>
            </w:r>
          </w:p>
          <w:p>
            <w:pPr>
              <w:keepNext w:val="0"/>
              <w:keepLines w:val="0"/>
              <w:pageBreakBefore w:val="0"/>
              <w:widowControl/>
              <w:shd w:val="clear"/>
              <w:kinsoku/>
              <w:wordWrap/>
              <w:overflowPunct/>
              <w:topLinePunct w:val="0"/>
              <w:autoSpaceDE/>
              <w:autoSpaceDN/>
              <w:bidi w:val="0"/>
              <w:adjustRightInd/>
              <w:snapToGrid/>
              <w:spacing w:line="360" w:lineRule="auto"/>
              <w:ind w:right="0" w:firstLine="480" w:firstLineChars="200"/>
              <w:jc w:val="both"/>
              <w:textAlignment w:val="auto"/>
              <w:rPr>
                <w:rFonts w:hint="eastAsia" w:ascii="Times New Roman" w:hAnsi="Times New Roman" w:eastAsia="宋体"/>
                <w:color w:val="auto"/>
                <w:sz w:val="24"/>
                <w:highlight w:val="none"/>
                <w:lang w:eastAsia="zh-CN"/>
              </w:rPr>
            </w:pPr>
            <w:r>
              <w:rPr>
                <w:rFonts w:hint="eastAsia" w:ascii="Times New Roman" w:hAnsi="Times New Roman" w:eastAsia="宋体"/>
                <w:color w:val="auto"/>
                <w:sz w:val="24"/>
                <w:highlight w:val="none"/>
                <w:lang w:val="en-US" w:eastAsia="zh-CN"/>
              </w:rPr>
              <w:t>一、</w:t>
            </w:r>
            <w:r>
              <w:rPr>
                <w:rFonts w:hint="eastAsia" w:ascii="Times New Roman" w:hAnsi="Times New Roman" w:eastAsia="宋体"/>
                <w:color w:val="auto"/>
                <w:sz w:val="24"/>
                <w:highlight w:val="none"/>
                <w:lang w:eastAsia="zh-CN"/>
              </w:rPr>
              <w:t>相关内容</w:t>
            </w:r>
          </w:p>
          <w:p>
            <w:pPr>
              <w:keepNext w:val="0"/>
              <w:keepLines w:val="0"/>
              <w:pageBreakBefore w:val="0"/>
              <w:widowControl/>
              <w:shd w:val="clear"/>
              <w:kinsoku/>
              <w:wordWrap/>
              <w:overflowPunct/>
              <w:topLinePunct w:val="0"/>
              <w:autoSpaceDE/>
              <w:autoSpaceDN/>
              <w:bidi w:val="0"/>
              <w:adjustRightInd/>
              <w:snapToGrid/>
              <w:spacing w:line="360" w:lineRule="auto"/>
              <w:ind w:right="0"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1</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加强土壤污染源头治理。</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督促企业依法落实主体责任。依据有关法律法规及重点排污单位名录管理规定，将符合条件的排放镉等有毒有害大气、水污染物的企业纳入重点排污单位名录，督促按规定实现在线自动监测。开展涉镉等重金属行业企业排查整治“回头看”，动态更新污染源整治清单。</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防控矿产资源开发污染土壤。督促矿山企业依法落实环境污染修复工程措施，切实防治土壤污染。以实现资源利用高效化、开采方式科学化、生产工艺绿色化、矿山环境生态化为目标，全面推进绿色矿山建设。推动废弃矿山综合整治和生态修复，因地制宜管控矿区污染土壤和酸性废水环境风险，矿山生态修复可采取人工引导（人工干预）加速自然恢复的措施，重点保障农业生产和生活用水安全，鼓励采取自然恢复等措施。</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推动重点单位实施清洁生产。鼓励土壤污染重点监管单位因地制宜实施管道化、密闭化改造，实施重点区域防腐防渗改造，实施物料、污水、废气管线架空建设和改造，从源头上消除土壤污染。</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严格建设项目环境影响评价制度。对涉及有毒有害物质可能造成土壤污染的建设项目，依法进行环境影响评价，按规定提出并落实防腐蚀、防渗漏、防遗撒等土壤污染防治具体措施。落实国家有关工程建设防腐蚀、防泄漏设施和泄露监测装置的设计、建设和安装要求。</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强化重点监管单位监管。动态调整全省土壤污染重点监管单位名录，监督全面落实土壤污染防治义务，依法纳入排污许可管理。到2025年底，至少完成1轮土壤和地下水污染隐患排查，制定整改方案和台账并落实。各市（地）要定期开展土壤污染重点监管单位周边土壤环境监测。</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2</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持续推进农用地分类管理。</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强化优先保护。严格保护优先保护类耕地，将符合条件的优先保护类耕地划为永久基本农田。高标准农田建设项目要向优先保护类耕地集中的地区倾斜。各市（地）政府（行署）要对本行政区域内优先保护类耕地面积减少或者土壤环境质量下降的县（市、区），进行预警提醒并依法采取环评限批等限制性措施。</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动态调整耕地土壤环境质量类别。根据土地利用变更、土壤和农产品协同监测结果等，动态调整土壤环境质量类别。</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3</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提升黑土区资源利用的可持续性。</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严控耕地保护红线。实行最严格的耕地保护制度，对黑土耕地全面进行管控。落实“三线一单”生态环境分区中与耕地相关管控要求。推广保护性耕作模式。</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4</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提升黑土区生态环境的可持续性。</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统筹推进农膜回收利用。推进农膜回收示范县建设，健全废旧农膜回收利用体系，组织实施降解地膜示范推广、对比评价试验，协助国家完善评价标准体系。优先在重点用膜地区开展废旧农膜回收处理试点及全生物降解地膜示范推广，逐步扩大试点示范范围。推行“以旧换新、经营主体上交、专业化组织回收、生产企业回收”等回收利用机制。培育推广废弃食用菌糠和废弃菌袋综合利用绿色模式。到2025年，全省废旧农膜回收率达到88%。</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5</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严格建设用地准入管理。</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开展建设用地土壤污染状况调查评估。以用途变更为“一住两公”的地块为重点，依法开展土壤污染状况调查和风险评估。各地在编制涉及城市更新的详细规划时，应依法督促相关当事人对用途拟变更为“一住两公”的地块开展土壤污染状况调查。及时将注销、撤销排污许可证的企业用地纳入监管范围，防止腾退地块游离于监管之外。土壤污染重点监管单位生产经营用地的土壤污染状况调查报告应当依法作为不动产登记资料送交不动产登记机构，并报生态环境主管部门备案。</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2</w:t>
            </w:r>
            <w:r>
              <w:rPr>
                <w:rFonts w:hint="eastAsia" w:ascii="Times New Roman" w:hAnsi="Times New Roman" w:eastAsia="宋体"/>
                <w:color w:val="auto"/>
                <w:sz w:val="24"/>
                <w:highlight w:val="none"/>
              </w:rPr>
              <w:t>）推进地下水生态环境保护。以保护和改善地下水环境质量为核心，建立健全地下水生态环境管理体系。扭住“双源”，加强地下水污染源头预防。强化饮用水水源地保护，保障地下水型饮用水水源环境安全。</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1</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建立地下水生态环境管理体系。</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制定地下水环境质量达标方案。针对国家地下水环境质量考核点位，分析地下水环境质量状况，非地质背景导致未达到水质目标要求的，因地制宜制定地下水环境质量达标或保持方案。</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2</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加强污染源头预防与风险管控。</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持续开展地下水环境状况调查评估。开展“一企一库”“两场三区”地下水环境状况调查评估。重点开展化工产业为主导的工业集聚区、危险废物处置场和垃圾填埋场地下水环境调查评估，逐步拓展到对其他污染源的地下水环境调查评估。</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3</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强化地下水型饮用水水源保护。</w:t>
            </w:r>
          </w:p>
          <w:p>
            <w:pPr>
              <w:keepNext w:val="0"/>
              <w:keepLines w:val="0"/>
              <w:pageBreakBefore w:val="0"/>
              <w:widowControl/>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规范地下水型饮用水水源保护区环境管理。强化县级及以上地下水型饮用水水源保护区划定，设立标志，进行规范化建设。针对水质超标的地下水型饮用水水源，分析超标原因，因地制宜采取整治措施，确保水源环境安全。</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jc w:val="both"/>
              <w:textAlignment w:val="auto"/>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olor w:val="auto"/>
                <w:sz w:val="24"/>
                <w:highlight w:val="none"/>
                <w:lang w:val="en-US" w:eastAsia="zh-CN"/>
              </w:rPr>
              <w:t>二、</w:t>
            </w:r>
            <w:r>
              <w:rPr>
                <w:rFonts w:hint="eastAsia" w:ascii="Times New Roman" w:hAnsi="Times New Roman" w:eastAsia="宋体"/>
                <w:color w:val="auto"/>
                <w:sz w:val="24"/>
                <w:highlight w:val="none"/>
              </w:rPr>
              <w:t>符合性分析</w:t>
            </w:r>
          </w:p>
          <w:p>
            <w:pPr>
              <w:keepNext w:val="0"/>
              <w:keepLines w:val="0"/>
              <w:pageBreakBefore w:val="0"/>
              <w:widowControl/>
              <w:shd w:val="clear"/>
              <w:kinsoku/>
              <w:wordWrap/>
              <w:overflowPunct/>
              <w:topLinePunct w:val="0"/>
              <w:autoSpaceDE/>
              <w:autoSpaceDN/>
              <w:bidi w:val="0"/>
              <w:adjustRightInd/>
              <w:snapToGrid/>
              <w:spacing w:line="360" w:lineRule="auto"/>
              <w:ind w:right="0"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lang w:eastAsia="zh-CN"/>
              </w:rPr>
              <w:t>本</w:t>
            </w:r>
            <w:r>
              <w:rPr>
                <w:rFonts w:hint="eastAsia" w:ascii="Times New Roman" w:hAnsi="Times New Roman" w:eastAsia="宋体"/>
                <w:color w:val="auto"/>
                <w:sz w:val="24"/>
                <w:highlight w:val="none"/>
              </w:rPr>
              <w:t>项目位于</w:t>
            </w:r>
            <w:r>
              <w:rPr>
                <w:rFonts w:hint="eastAsia"/>
                <w:color w:val="auto"/>
                <w:sz w:val="24"/>
                <w:highlight w:val="none"/>
              </w:rPr>
              <w:t>黑龙江省绥化市海伦市</w:t>
            </w:r>
            <w:r>
              <w:rPr>
                <w:rFonts w:hint="eastAsia"/>
                <w:color w:val="auto"/>
                <w:sz w:val="24"/>
                <w:highlight w:val="none"/>
                <w:lang w:eastAsia="zh-CN"/>
              </w:rPr>
              <w:t>长发镇长建村刘海山屯</w:t>
            </w:r>
            <w:r>
              <w:rPr>
                <w:rFonts w:hint="eastAsia"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用地性质属于建设用地，</w:t>
            </w:r>
            <w:r>
              <w:rPr>
                <w:rFonts w:hint="eastAsia" w:ascii="Times New Roman" w:hAnsi="Times New Roman" w:eastAsia="宋体"/>
                <w:color w:val="auto"/>
                <w:sz w:val="24"/>
                <w:highlight w:val="none"/>
              </w:rPr>
              <w:t>不涉及饮用水水源保护。本项目不属于排放镉等有毒有害大气、水污染物的企业</w:t>
            </w:r>
            <w:r>
              <w:rPr>
                <w:rFonts w:hint="eastAsia" w:ascii="Times New Roman" w:hAnsi="Times New Roman" w:eastAsia="宋体"/>
                <w:color w:val="auto"/>
                <w:sz w:val="24"/>
                <w:highlight w:val="none"/>
                <w:lang w:eastAsia="zh-CN"/>
              </w:rPr>
              <w:t>。</w:t>
            </w:r>
            <w:r>
              <w:rPr>
                <w:rFonts w:hint="eastAsia" w:ascii="Times New Roman" w:hAnsi="Times New Roman" w:eastAsia="宋体"/>
                <w:b w:val="0"/>
                <w:bCs w:val="0"/>
                <w:color w:val="auto"/>
                <w:sz w:val="24"/>
                <w:highlight w:val="none"/>
                <w:lang w:val="en-US" w:eastAsia="zh-CN"/>
              </w:rPr>
              <w:t>本</w:t>
            </w:r>
            <w:r>
              <w:rPr>
                <w:rFonts w:hint="eastAsia" w:ascii="Times New Roman" w:hAnsi="Times New Roman" w:eastAsia="宋体"/>
                <w:b w:val="0"/>
                <w:bCs w:val="0"/>
                <w:color w:val="auto"/>
                <w:sz w:val="24"/>
                <w:highlight w:val="none"/>
                <w:lang w:eastAsia="zh-CN"/>
              </w:rPr>
              <w:t>项目新建</w:t>
            </w:r>
            <w:r>
              <w:rPr>
                <w:rFonts w:hint="eastAsia" w:ascii="Times New Roman" w:hAnsi="Times New Roman" w:eastAsia="宋体"/>
                <w:b w:val="0"/>
                <w:bCs w:val="0"/>
                <w:color w:val="auto"/>
                <w:sz w:val="24"/>
                <w:highlight w:val="none"/>
                <w:lang w:val="en-US" w:eastAsia="zh-CN"/>
              </w:rPr>
              <w:t>1</w:t>
            </w:r>
            <w:r>
              <w:rPr>
                <w:rFonts w:hint="eastAsia" w:ascii="Times New Roman" w:hAnsi="Times New Roman" w:eastAsia="宋体"/>
                <w:b w:val="0"/>
                <w:bCs w:val="0"/>
                <w:color w:val="auto"/>
                <w:sz w:val="24"/>
                <w:highlight w:val="none"/>
                <w:lang w:eastAsia="zh-CN"/>
              </w:rPr>
              <w:t>台</w:t>
            </w:r>
            <w:r>
              <w:rPr>
                <w:rFonts w:hint="eastAsia" w:ascii="Times New Roman" w:hAnsi="Times New Roman" w:eastAsia="宋体"/>
                <w:b w:val="0"/>
                <w:bCs w:val="0"/>
                <w:color w:val="auto"/>
                <w:sz w:val="24"/>
                <w:highlight w:val="none"/>
                <w:lang w:val="en-US" w:eastAsia="zh-CN"/>
              </w:rPr>
              <w:t>4t/h燃生物质蒸汽锅炉</w:t>
            </w:r>
            <w:r>
              <w:rPr>
                <w:bCs/>
                <w:color w:val="auto"/>
                <w:kern w:val="0"/>
                <w:sz w:val="24"/>
                <w:highlight w:val="none"/>
              </w:rPr>
              <w:t>产生的</w:t>
            </w:r>
            <w:r>
              <w:rPr>
                <w:rFonts w:hint="eastAsia"/>
                <w:bCs/>
                <w:color w:val="auto"/>
                <w:kern w:val="0"/>
                <w:sz w:val="24"/>
                <w:highlight w:val="none"/>
                <w:lang w:val="en-US" w:eastAsia="zh-CN"/>
              </w:rPr>
              <w:t>废</w:t>
            </w:r>
            <w:r>
              <w:rPr>
                <w:bCs/>
                <w:color w:val="auto"/>
                <w:kern w:val="0"/>
                <w:sz w:val="24"/>
                <w:highlight w:val="none"/>
              </w:rPr>
              <w:t>气经布袋除尘器处理后经3</w:t>
            </w:r>
            <w:r>
              <w:rPr>
                <w:rFonts w:hint="eastAsia"/>
                <w:bCs/>
                <w:color w:val="auto"/>
                <w:kern w:val="0"/>
                <w:sz w:val="24"/>
                <w:highlight w:val="none"/>
                <w:lang w:val="en-US" w:eastAsia="zh-CN"/>
              </w:rPr>
              <w:t>5</w:t>
            </w:r>
            <w:r>
              <w:rPr>
                <w:bCs/>
                <w:color w:val="auto"/>
                <w:kern w:val="0"/>
                <w:sz w:val="24"/>
                <w:highlight w:val="none"/>
              </w:rPr>
              <w:t>米高烟囱排放，布袋除尘器处理效率为99.9%</w:t>
            </w:r>
            <w:r>
              <w:rPr>
                <w:rFonts w:hint="eastAsia"/>
                <w:bCs/>
                <w:color w:val="auto"/>
                <w:kern w:val="0"/>
                <w:sz w:val="24"/>
                <w:highlight w:val="none"/>
                <w:lang w:eastAsia="zh-CN"/>
              </w:rPr>
              <w:t>，</w:t>
            </w:r>
            <w:r>
              <w:rPr>
                <w:bCs/>
                <w:color w:val="auto"/>
                <w:kern w:val="0"/>
                <w:sz w:val="24"/>
                <w:highlight w:val="none"/>
              </w:rPr>
              <w:t>满足《锅炉大气污染物排放标准》（GB13271-2014）表2新建锅炉大气污染物排放浓度限值中燃煤锅炉要求。</w:t>
            </w:r>
            <w:r>
              <w:rPr>
                <w:rFonts w:hint="eastAsia" w:ascii="Times New Roman" w:hAnsi="Times New Roman" w:eastAsia="宋体" w:cs="Times New Roman"/>
                <w:b w:val="0"/>
                <w:bCs w:val="0"/>
                <w:color w:val="auto"/>
                <w:sz w:val="24"/>
                <w:highlight w:val="none"/>
                <w:lang w:eastAsia="zh-CN"/>
              </w:rPr>
              <w:t>玉米蒸煮工序会产生少量异味（以臭气浓度计），蒸煮工序产生异味在生产车间内散溢，加强车间通风，蒸煮工序异味对外环境影响较小。厂界臭气浓度能够满足《恶臭污染物排放标准》（GB14554-93）表2中臭气浓度20（无量纲）标准限值。</w:t>
            </w:r>
            <w:r>
              <w:rPr>
                <w:rFonts w:hint="default" w:ascii="Times New Roman" w:hAnsi="Times New Roman" w:eastAsia="宋体" w:cs="Times New Roman"/>
                <w:b w:val="0"/>
                <w:bCs w:val="0"/>
                <w:color w:val="auto"/>
                <w:sz w:val="24"/>
                <w:highlight w:val="none"/>
                <w:lang w:val="en-US" w:eastAsia="zh-CN"/>
              </w:rPr>
              <w:t>厂界颗粒物排放满足《大气污染物综合排放标准》（GB16297-1996）标准的要求</w:t>
            </w:r>
            <w:r>
              <w:rPr>
                <w:rFonts w:hint="eastAsia" w:ascii="Times New Roman" w:hAnsi="Times New Roman" w:eastAsia="宋体" w:cs="Times New Roman"/>
                <w:b w:val="0"/>
                <w:bCs w:val="0"/>
                <w:color w:val="auto"/>
                <w:sz w:val="24"/>
                <w:highlight w:val="none"/>
                <w:lang w:val="en-US" w:eastAsia="zh-CN"/>
              </w:rPr>
              <w:t>。</w:t>
            </w:r>
            <w:r>
              <w:rPr>
                <w:rFonts w:hint="eastAsia" w:ascii="Times New Roman" w:hAnsi="Times New Roman" w:eastAsia="宋体" w:cs="Times New Roman"/>
                <w:b w:val="0"/>
                <w:bCs w:val="0"/>
                <w:color w:val="auto"/>
                <w:sz w:val="24"/>
                <w:highlight w:val="none"/>
                <w:lang w:eastAsia="zh-CN"/>
              </w:rPr>
              <w:t>本项目生活污水排入防渗</w:t>
            </w:r>
            <w:r>
              <w:rPr>
                <w:rFonts w:hint="eastAsia" w:ascii="Times New Roman" w:hAnsi="Times New Roman" w:eastAsia="宋体" w:cs="Times New Roman"/>
                <w:b w:val="0"/>
                <w:bCs w:val="0"/>
                <w:color w:val="auto"/>
                <w:sz w:val="24"/>
                <w:highlight w:val="none"/>
                <w:lang w:val="en-US" w:eastAsia="zh-CN"/>
              </w:rPr>
              <w:t>化粪池</w:t>
            </w:r>
            <w:r>
              <w:rPr>
                <w:rFonts w:hint="eastAsia" w:ascii="Times New Roman" w:hAnsi="Times New Roman" w:eastAsia="宋体" w:cs="Times New Roman"/>
                <w:b w:val="0"/>
                <w:bCs w:val="0"/>
                <w:color w:val="auto"/>
                <w:sz w:val="24"/>
                <w:highlight w:val="none"/>
                <w:lang w:eastAsia="zh-CN"/>
              </w:rPr>
              <w:t>，定期清掏。</w:t>
            </w:r>
            <w:r>
              <w:rPr>
                <w:bCs/>
                <w:color w:val="auto"/>
                <w:kern w:val="0"/>
                <w:sz w:val="24"/>
                <w:shd w:val="clear"/>
              </w:rPr>
              <w:t>（</w:t>
            </w:r>
            <w:r>
              <w:rPr>
                <w:rFonts w:ascii="Times New Roman" w:hAnsi="Times New Roman" w:eastAsia="宋体" w:cs="Times New Roman"/>
                <w:bCs/>
                <w:color w:val="auto"/>
                <w:kern w:val="0"/>
                <w:sz w:val="24"/>
              </w:rPr>
              <w:t>车间地面冲洗废水、</w:t>
            </w:r>
            <w:r>
              <w:rPr>
                <w:rFonts w:hint="eastAsia" w:ascii="Times New Roman" w:hAnsi="Times New Roman" w:eastAsia="宋体" w:cs="Times New Roman"/>
                <w:bCs/>
                <w:color w:val="auto"/>
                <w:kern w:val="0"/>
                <w:sz w:val="24"/>
                <w:lang w:val="en-US" w:eastAsia="zh-CN"/>
              </w:rPr>
              <w:t>清洗废水、</w:t>
            </w:r>
            <w:r>
              <w:rPr>
                <w:rFonts w:ascii="Times New Roman" w:hAnsi="Times New Roman" w:eastAsia="宋体" w:cs="Times New Roman"/>
                <w:bCs/>
                <w:color w:val="auto"/>
                <w:kern w:val="0"/>
                <w:sz w:val="24"/>
              </w:rPr>
              <w:t>锅炉排污水及软化废水</w:t>
            </w:r>
            <w:r>
              <w:rPr>
                <w:rFonts w:hint="eastAsia" w:ascii="Times New Roman" w:hAnsi="Times New Roman" w:cs="Times New Roman"/>
                <w:bCs/>
                <w:color w:val="auto"/>
                <w:kern w:val="0"/>
                <w:sz w:val="24"/>
                <w:lang w:eastAsia="zh-CN"/>
              </w:rPr>
              <w:t>、</w:t>
            </w:r>
            <w:r>
              <w:rPr>
                <w:rFonts w:hint="eastAsia" w:ascii="Times New Roman" w:hAnsi="Times New Roman" w:cs="Times New Roman"/>
                <w:bCs/>
                <w:color w:val="auto"/>
                <w:kern w:val="0"/>
                <w:sz w:val="24"/>
                <w:lang w:val="en-US" w:eastAsia="zh-CN"/>
              </w:rPr>
              <w:t>高温杀菌废水</w:t>
            </w:r>
            <w:r>
              <w:rPr>
                <w:bCs/>
                <w:color w:val="auto"/>
                <w:kern w:val="0"/>
                <w:sz w:val="24"/>
                <w:shd w:val="clear"/>
              </w:rPr>
              <w:t>）暂存于</w:t>
            </w:r>
            <w:r>
              <w:rPr>
                <w:rFonts w:hint="eastAsia"/>
                <w:bCs/>
                <w:color w:val="auto"/>
                <w:kern w:val="0"/>
                <w:sz w:val="24"/>
                <w:shd w:val="clear"/>
                <w:lang w:val="en-US" w:eastAsia="zh-CN"/>
              </w:rPr>
              <w:t>6</w:t>
            </w:r>
            <w:r>
              <w:rPr>
                <w:bCs/>
                <w:color w:val="auto"/>
                <w:kern w:val="0"/>
                <w:sz w:val="24"/>
                <w:shd w:val="clear"/>
              </w:rPr>
              <w:t>0m</w:t>
            </w:r>
            <w:r>
              <w:rPr>
                <w:bCs/>
                <w:color w:val="auto"/>
                <w:kern w:val="0"/>
                <w:sz w:val="24"/>
                <w:shd w:val="clear"/>
                <w:vertAlign w:val="superscript"/>
              </w:rPr>
              <w:t>3</w:t>
            </w:r>
            <w:r>
              <w:rPr>
                <w:bCs/>
                <w:color w:val="auto"/>
                <w:kern w:val="0"/>
                <w:sz w:val="24"/>
                <w:shd w:val="clear"/>
              </w:rPr>
              <w:t>的密闭储罐内，每天由专用罐</w:t>
            </w:r>
            <w:r>
              <w:rPr>
                <w:bCs/>
                <w:color w:val="auto"/>
                <w:kern w:val="0"/>
                <w:sz w:val="24"/>
              </w:rPr>
              <w:t>车拉运至海伦市污水处理厂处理，日产日清</w:t>
            </w:r>
            <w:r>
              <w:rPr>
                <w:rFonts w:hint="eastAsia"/>
                <w:bCs/>
                <w:color w:val="auto"/>
                <w:kern w:val="0"/>
                <w:sz w:val="24"/>
                <w:lang w:eastAsia="zh-CN"/>
              </w:rPr>
              <w:t>。</w:t>
            </w:r>
            <w:r>
              <w:rPr>
                <w:rFonts w:hint="eastAsia"/>
                <w:color w:val="auto"/>
                <w:kern w:val="0"/>
                <w:sz w:val="24"/>
                <w:szCs w:val="24"/>
                <w:highlight w:val="none"/>
                <w:lang w:eastAsia="zh-CN"/>
              </w:rPr>
              <w:t>经海伦市污水处理厂处理后污水满足《城镇污水处理厂污染物排放标准》（GB18918-2002）一级A标准后排放</w:t>
            </w:r>
            <w:r>
              <w:rPr>
                <w:bCs/>
                <w:color w:val="auto"/>
                <w:kern w:val="0"/>
                <w:sz w:val="24"/>
                <w:highlight w:val="none"/>
              </w:rPr>
              <w:t>。</w:t>
            </w:r>
            <w:r>
              <w:rPr>
                <w:rFonts w:hint="eastAsia" w:eastAsia="宋体"/>
                <w:color w:val="auto"/>
                <w:sz w:val="24"/>
                <w:highlight w:val="none"/>
                <w:lang w:eastAsia="zh-CN"/>
              </w:rPr>
              <w:t>因此在正常工况状态下，</w:t>
            </w:r>
            <w:r>
              <w:rPr>
                <w:rFonts w:hint="eastAsia" w:eastAsia="宋体"/>
                <w:color w:val="auto"/>
                <w:sz w:val="24"/>
                <w:highlight w:val="none"/>
                <w:lang w:val="en-US" w:eastAsia="zh-CN"/>
              </w:rPr>
              <w:t>本项目</w:t>
            </w:r>
            <w:r>
              <w:rPr>
                <w:rFonts w:hint="eastAsia" w:eastAsia="宋体"/>
                <w:color w:val="auto"/>
                <w:sz w:val="24"/>
                <w:highlight w:val="none"/>
                <w:lang w:eastAsia="zh-CN"/>
              </w:rPr>
              <w:t>不会对地下水、土壤环境造成污染。</w:t>
            </w:r>
          </w:p>
          <w:p>
            <w:pPr>
              <w:keepNext w:val="0"/>
              <w:keepLines w:val="0"/>
              <w:pageBreakBefore w:val="0"/>
              <w:shd w:val="clear"/>
              <w:kinsoku/>
              <w:wordWrap/>
              <w:overflowPunct/>
              <w:topLinePunct w:val="0"/>
              <w:bidi w:val="0"/>
              <w:spacing w:line="360" w:lineRule="auto"/>
              <w:ind w:firstLine="480" w:firstLineChars="200"/>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综上所述，本项目的建设符合《黑龙江省“十四五”土壤地下水和农村生态环境保护规划》中要求</w:t>
            </w:r>
            <w:r>
              <w:rPr>
                <w:rFonts w:hint="eastAsia" w:ascii="Times New Roman" w:hAnsi="Times New Roman" w:eastAsia="宋体"/>
                <w:color w:val="auto"/>
                <w:sz w:val="24"/>
                <w:highlight w:val="none"/>
                <w:lang w:eastAsia="zh-CN"/>
              </w:rPr>
              <w:t>。</w:t>
            </w:r>
          </w:p>
          <w:p>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adjustRightInd/>
              <w:snapToGrid/>
              <w:spacing w:before="0" w:beforeAutospacing="0" w:after="0" w:afterAutospacing="0" w:line="360" w:lineRule="auto"/>
              <w:jc w:val="both"/>
              <w:textAlignment w:val="auto"/>
              <w:rPr>
                <w:rFonts w:hint="eastAsia" w:ascii="Times New Roman" w:hAnsi="Times New Roman" w:eastAsia="宋体" w:cstheme="minorBidi"/>
                <w:bCs/>
                <w:color w:val="auto"/>
                <w:kern w:val="0"/>
                <w:sz w:val="24"/>
                <w:szCs w:val="24"/>
                <w:highlight w:val="none"/>
                <w:lang w:val="en-US" w:eastAsia="zh-CN" w:bidi="ar-SA"/>
              </w:rPr>
            </w:pPr>
            <w:r>
              <w:rPr>
                <w:rFonts w:hint="eastAsia" w:cs="Times New Roman"/>
                <w:b/>
                <w:bCs/>
                <w:color w:val="auto"/>
                <w:kern w:val="0"/>
                <w:sz w:val="24"/>
                <w:szCs w:val="24"/>
                <w:highlight w:val="none"/>
                <w:lang w:val="en-US" w:eastAsia="zh-CN" w:bidi="ar-SA"/>
              </w:rPr>
              <w:t>9.</w:t>
            </w:r>
            <w:r>
              <w:rPr>
                <w:rFonts w:hint="eastAsia" w:ascii="Times New Roman" w:hAnsi="Times New Roman" w:eastAsia="宋体"/>
                <w:b/>
                <w:bCs/>
                <w:color w:val="auto"/>
                <w:sz w:val="24"/>
                <w:highlight w:val="none"/>
                <w:lang w:val="en-US" w:eastAsia="zh-CN"/>
              </w:rPr>
              <w:t>与《黑龙江省“十四五”生态环境保护规划》符合性分析</w:t>
            </w:r>
          </w:p>
          <w:p>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default" w:ascii="Times New Roman" w:hAnsi="Times New Roman" w:eastAsia="宋体" w:cstheme="minorBidi"/>
                <w:bCs/>
                <w:color w:val="auto"/>
                <w:kern w:val="0"/>
                <w:sz w:val="24"/>
                <w:szCs w:val="24"/>
                <w:highlight w:val="none"/>
                <w:lang w:val="en-US" w:eastAsia="zh-CN" w:bidi="ar-SA"/>
              </w:rPr>
            </w:pPr>
            <w:r>
              <w:rPr>
                <w:rFonts w:hint="eastAsia" w:ascii="Times New Roman" w:hAnsi="Times New Roman" w:eastAsia="宋体" w:cstheme="minorBidi"/>
                <w:bCs/>
                <w:color w:val="auto"/>
                <w:kern w:val="0"/>
                <w:sz w:val="24"/>
                <w:szCs w:val="24"/>
                <w:highlight w:val="none"/>
                <w:lang w:val="en-US" w:eastAsia="zh-CN" w:bidi="ar-SA"/>
              </w:rPr>
              <w:t>（1）相关内容</w:t>
            </w:r>
          </w:p>
          <w:p>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eastAsia" w:ascii="Times New Roman" w:hAnsi="Times New Roman" w:eastAsia="宋体" w:cstheme="minorBidi"/>
                <w:bCs/>
                <w:color w:val="auto"/>
                <w:kern w:val="0"/>
                <w:sz w:val="24"/>
                <w:szCs w:val="24"/>
                <w:highlight w:val="none"/>
                <w:lang w:val="en-US" w:eastAsia="zh-CN" w:bidi="ar-SA"/>
              </w:rPr>
            </w:pPr>
            <w:r>
              <w:rPr>
                <w:rFonts w:hint="default" w:ascii="Times New Roman" w:hAnsi="Times New Roman" w:eastAsia="宋体" w:cstheme="minorBidi"/>
                <w:bCs/>
                <w:color w:val="auto"/>
                <w:kern w:val="0"/>
                <w:sz w:val="24"/>
                <w:szCs w:val="24"/>
                <w:highlight w:val="none"/>
                <w:lang w:val="en-US" w:eastAsia="zh-CN" w:bidi="ar-SA"/>
              </w:rPr>
              <w:t>（三）深化协同防治，全面改善空气质量。</w:t>
            </w:r>
          </w:p>
          <w:p>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eastAsia" w:ascii="Times New Roman" w:hAnsi="Times New Roman" w:eastAsia="宋体" w:cstheme="minorBidi"/>
                <w:bCs/>
                <w:color w:val="auto"/>
                <w:kern w:val="0"/>
                <w:sz w:val="24"/>
                <w:szCs w:val="24"/>
                <w:highlight w:val="none"/>
                <w:lang w:val="en-US" w:eastAsia="zh-CN" w:bidi="ar-SA"/>
              </w:rPr>
            </w:pPr>
            <w:r>
              <w:rPr>
                <w:rFonts w:hint="default" w:ascii="Times New Roman" w:hAnsi="Times New Roman" w:eastAsia="宋体" w:cstheme="minorBidi"/>
                <w:bCs/>
                <w:color w:val="auto"/>
                <w:kern w:val="0"/>
                <w:sz w:val="24"/>
                <w:szCs w:val="24"/>
                <w:highlight w:val="none"/>
                <w:lang w:val="en-US" w:eastAsia="zh-CN" w:bidi="ar-SA"/>
              </w:rPr>
              <w:t>1.加强细颗粒物污染防治。</w:t>
            </w:r>
          </w:p>
          <w:p>
            <w:pPr>
              <w:keepNext w:val="0"/>
              <w:keepLines w:val="0"/>
              <w:pageBreakBefore w:val="0"/>
              <w:shd w:val="clea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heme="minorBidi"/>
                <w:bCs/>
                <w:color w:val="auto"/>
                <w:kern w:val="0"/>
                <w:sz w:val="24"/>
                <w:szCs w:val="24"/>
                <w:highlight w:val="none"/>
                <w:lang w:val="en-US" w:eastAsia="zh-CN" w:bidi="ar-SA"/>
              </w:rPr>
            </w:pPr>
            <w:r>
              <w:rPr>
                <w:rFonts w:hint="default" w:ascii="Times New Roman" w:hAnsi="Times New Roman" w:eastAsia="宋体" w:cstheme="minorBidi"/>
                <w:bCs/>
                <w:color w:val="auto"/>
                <w:kern w:val="0"/>
                <w:sz w:val="24"/>
                <w:szCs w:val="24"/>
                <w:highlight w:val="none"/>
                <w:lang w:val="en-US" w:eastAsia="zh-CN" w:bidi="ar-SA"/>
              </w:rPr>
              <w:t>开展PM</w:t>
            </w:r>
            <w:r>
              <w:rPr>
                <w:rFonts w:hint="default" w:ascii="Times New Roman" w:hAnsi="Times New Roman" w:eastAsia="宋体" w:cstheme="minorBidi"/>
                <w:bCs/>
                <w:color w:val="auto"/>
                <w:kern w:val="0"/>
                <w:sz w:val="24"/>
                <w:szCs w:val="24"/>
                <w:highlight w:val="none"/>
                <w:vertAlign w:val="subscript"/>
                <w:lang w:val="en-US" w:eastAsia="zh-CN" w:bidi="ar-SA"/>
              </w:rPr>
              <w:t>2.5</w:t>
            </w:r>
            <w:r>
              <w:rPr>
                <w:rFonts w:hint="default" w:ascii="Times New Roman" w:hAnsi="Times New Roman" w:eastAsia="宋体" w:cstheme="minorBidi"/>
                <w:bCs/>
                <w:color w:val="auto"/>
                <w:kern w:val="0"/>
                <w:sz w:val="24"/>
                <w:szCs w:val="24"/>
                <w:highlight w:val="none"/>
                <w:lang w:val="en-US" w:eastAsia="zh-CN" w:bidi="ar-SA"/>
              </w:rPr>
              <w:t>（细颗粒物）与臭氧污染协同防治。制定加强PM</w:t>
            </w:r>
            <w:r>
              <w:rPr>
                <w:rFonts w:hint="default" w:ascii="Times New Roman" w:hAnsi="Times New Roman" w:eastAsia="宋体" w:cstheme="minorBidi"/>
                <w:bCs/>
                <w:color w:val="auto"/>
                <w:kern w:val="0"/>
                <w:sz w:val="24"/>
                <w:szCs w:val="24"/>
                <w:highlight w:val="none"/>
                <w:vertAlign w:val="subscript"/>
                <w:lang w:val="en-US" w:eastAsia="zh-CN" w:bidi="ar-SA"/>
              </w:rPr>
              <w:t>2.5</w:t>
            </w:r>
            <w:r>
              <w:rPr>
                <w:rFonts w:hint="default" w:ascii="Times New Roman" w:hAnsi="Times New Roman" w:eastAsia="宋体" w:cstheme="minorBidi"/>
                <w:bCs/>
                <w:color w:val="auto"/>
                <w:kern w:val="0"/>
                <w:sz w:val="24"/>
                <w:szCs w:val="24"/>
                <w:highlight w:val="none"/>
                <w:lang w:val="en-US" w:eastAsia="zh-CN" w:bidi="ar-SA"/>
              </w:rPr>
              <w:t>和臭氧协同控制的空气质量改善规划，明确控制目标、路线图和时间表。针对秋冬季PM</w:t>
            </w:r>
            <w:r>
              <w:rPr>
                <w:rFonts w:hint="default" w:ascii="Times New Roman" w:hAnsi="Times New Roman" w:eastAsia="宋体" w:cstheme="minorBidi"/>
                <w:bCs/>
                <w:color w:val="auto"/>
                <w:kern w:val="0"/>
                <w:sz w:val="24"/>
                <w:szCs w:val="24"/>
                <w:highlight w:val="none"/>
                <w:vertAlign w:val="subscript"/>
                <w:lang w:val="en-US" w:eastAsia="zh-CN" w:bidi="ar-SA"/>
              </w:rPr>
              <w:t>2.5</w:t>
            </w:r>
            <w:r>
              <w:rPr>
                <w:rFonts w:hint="default" w:ascii="Times New Roman" w:hAnsi="Times New Roman" w:eastAsia="宋体" w:cstheme="minorBidi"/>
                <w:bCs/>
                <w:color w:val="auto"/>
                <w:kern w:val="0"/>
                <w:sz w:val="24"/>
                <w:szCs w:val="24"/>
                <w:highlight w:val="none"/>
                <w:lang w:val="en-US" w:eastAsia="zh-CN" w:bidi="ar-SA"/>
              </w:rPr>
              <w:t>污染和夏季臭氧浓度偏高问题，统筹考虑污染区域传输规律和季节性特征，加强重点区域、重点时段、重点领域治理，强化分区分时分类的差异化和精细化协同管控。加大燃煤污染治理力度。深入实施散煤污染治理“三重一改”攻坚行动，统筹城市棚户区、城中村、城乡结合部、商户和农村地区散煤污染治理，到2022年，“两市两县两景区”等重点地区散煤用量大幅下降。各地持续推进散煤污染治理，到2025年，哈尔滨市、齐齐哈尔市、大庆市、绥化市散煤用量分别减少50%，哈尔滨市主城区建成区基本实现散煤清零。加快淘汰地级城市建成区10—35蒸吨/小时燃煤锅炉，推进65蒸吨/小时及以上燃煤锅炉（含电力）超低排放改造。实现20蒸吨/小时及以上锅炉稳定达标排放全覆盖。</w:t>
            </w:r>
          </w:p>
          <w:p>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eastAsia" w:ascii="Times New Roman" w:hAnsi="Times New Roman" w:eastAsia="宋体" w:cstheme="minorBidi"/>
                <w:bCs/>
                <w:color w:val="auto"/>
                <w:kern w:val="0"/>
                <w:sz w:val="24"/>
                <w:szCs w:val="24"/>
                <w:highlight w:val="none"/>
                <w:lang w:val="en-US" w:eastAsia="zh-CN" w:bidi="ar-SA"/>
              </w:rPr>
            </w:pPr>
            <w:r>
              <w:rPr>
                <w:rFonts w:hint="eastAsia" w:ascii="Times New Roman" w:hAnsi="Times New Roman" w:eastAsia="宋体" w:cstheme="minorBidi"/>
                <w:bCs/>
                <w:color w:val="auto"/>
                <w:kern w:val="0"/>
                <w:sz w:val="24"/>
                <w:szCs w:val="24"/>
                <w:highlight w:val="none"/>
                <w:lang w:val="en-US" w:eastAsia="zh-CN" w:bidi="ar-SA"/>
              </w:rPr>
              <w:t>2</w:t>
            </w:r>
            <w:r>
              <w:rPr>
                <w:rFonts w:hint="default" w:ascii="Times New Roman" w:hAnsi="Times New Roman" w:eastAsia="宋体" w:cstheme="minorBidi"/>
                <w:bCs/>
                <w:color w:val="auto"/>
                <w:kern w:val="0"/>
                <w:sz w:val="24"/>
                <w:szCs w:val="24"/>
                <w:highlight w:val="none"/>
                <w:lang w:val="en-US" w:eastAsia="zh-CN" w:bidi="ar-SA"/>
              </w:rPr>
              <w:t>.强化噪声污染防治。</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heme="minorBidi"/>
                <w:bCs/>
                <w:color w:val="auto"/>
                <w:kern w:val="0"/>
                <w:sz w:val="24"/>
                <w:szCs w:val="24"/>
                <w:highlight w:val="none"/>
                <w:lang w:val="en-US" w:eastAsia="zh-CN" w:bidi="ar-SA"/>
              </w:rPr>
            </w:pPr>
            <w:r>
              <w:rPr>
                <w:rFonts w:hint="default" w:ascii="Times New Roman" w:hAnsi="Times New Roman" w:eastAsia="宋体" w:cstheme="minorBidi"/>
                <w:bCs/>
                <w:color w:val="auto"/>
                <w:kern w:val="0"/>
                <w:sz w:val="24"/>
                <w:szCs w:val="24"/>
                <w:highlight w:val="none"/>
                <w:lang w:val="en-US" w:eastAsia="zh-CN" w:bidi="ar-SA"/>
              </w:rPr>
              <w:t>制定实施噪声污染防治行动计划。开展环境功能区评估与调整。地级及以上城市在声环境功能区安装噪声自动监测系统。在制定国土空间规划及交通运输等相关规划时，合理划定防噪声距离，明确规划设计要求。因特殊需要必须连续作业的，必须有县级以上政府或者其有关主管部门的证明，并公告附近居民。鼓励采用低噪声施工设备和工艺。依法将工业企业噪声纳入排污许可管理，严厉查处工业企业噪声排放超标扰民行为。加强对文化娱乐、商业经营中社会生活噪声热点问题日常监管和集中整治。到2025年，地级及以上城市全面实现功能区声环境质量自动监测，声环境功能区夜间达标率达到国家要求</w:t>
            </w:r>
            <w:r>
              <w:rPr>
                <w:rFonts w:hint="eastAsia" w:ascii="Times New Roman" w:hAnsi="Times New Roman" w:eastAsia="宋体" w:cstheme="minorBidi"/>
                <w:bCs/>
                <w:color w:val="auto"/>
                <w:kern w:val="0"/>
                <w:sz w:val="24"/>
                <w:szCs w:val="24"/>
                <w:highlight w:val="none"/>
                <w:lang w:val="en-US" w:eastAsia="zh-CN" w:bidi="ar-SA"/>
              </w:rPr>
              <w:t>。</w:t>
            </w:r>
          </w:p>
          <w:p>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default" w:ascii="Times New Roman" w:hAnsi="Times New Roman" w:eastAsia="宋体" w:cstheme="minorBidi"/>
                <w:bCs/>
                <w:color w:val="auto"/>
                <w:kern w:val="0"/>
                <w:sz w:val="24"/>
                <w:szCs w:val="24"/>
                <w:highlight w:val="none"/>
                <w:lang w:val="en-US" w:eastAsia="zh-CN" w:bidi="ar-SA"/>
              </w:rPr>
            </w:pPr>
            <w:r>
              <w:rPr>
                <w:rFonts w:hint="default" w:ascii="Times New Roman" w:hAnsi="Times New Roman" w:eastAsia="宋体" w:cstheme="minorBidi"/>
                <w:bCs/>
                <w:color w:val="auto"/>
                <w:kern w:val="0"/>
                <w:sz w:val="24"/>
                <w:szCs w:val="24"/>
                <w:highlight w:val="none"/>
                <w:lang w:val="en-US" w:eastAsia="zh-CN" w:bidi="ar-SA"/>
              </w:rPr>
              <w:t>（四）强化系统治理，持续提升水环境质量。</w:t>
            </w:r>
          </w:p>
          <w:p>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eastAsia" w:ascii="Times New Roman" w:hAnsi="Times New Roman" w:eastAsia="宋体" w:cstheme="minorBidi"/>
                <w:bCs/>
                <w:color w:val="auto"/>
                <w:kern w:val="0"/>
                <w:sz w:val="24"/>
                <w:szCs w:val="24"/>
                <w:highlight w:val="none"/>
                <w:lang w:val="en-US" w:eastAsia="zh-CN" w:bidi="ar-SA"/>
              </w:rPr>
            </w:pPr>
            <w:r>
              <w:rPr>
                <w:rFonts w:hint="default" w:ascii="Times New Roman" w:hAnsi="Times New Roman" w:eastAsia="宋体" w:cstheme="minorBidi"/>
                <w:bCs/>
                <w:color w:val="auto"/>
                <w:kern w:val="0"/>
                <w:sz w:val="24"/>
                <w:szCs w:val="24"/>
                <w:highlight w:val="none"/>
                <w:lang w:val="en-US" w:eastAsia="zh-CN" w:bidi="ar-SA"/>
              </w:rPr>
              <w:t>4.持续深化水污染治理。</w:t>
            </w:r>
          </w:p>
          <w:p>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eastAsia" w:ascii="Times New Roman" w:hAnsi="Times New Roman" w:eastAsia="宋体" w:cstheme="minorBidi"/>
                <w:bCs/>
                <w:color w:val="auto"/>
                <w:kern w:val="0"/>
                <w:sz w:val="24"/>
                <w:szCs w:val="24"/>
                <w:highlight w:val="none"/>
                <w:lang w:val="en-US" w:eastAsia="zh-CN" w:bidi="ar-SA"/>
              </w:rPr>
            </w:pPr>
            <w:r>
              <w:rPr>
                <w:rFonts w:hint="default" w:ascii="Times New Roman" w:hAnsi="Times New Roman" w:eastAsia="宋体" w:cstheme="minorBidi"/>
                <w:bCs/>
                <w:color w:val="auto"/>
                <w:kern w:val="0"/>
                <w:sz w:val="24"/>
                <w:szCs w:val="24"/>
                <w:highlight w:val="none"/>
                <w:lang w:val="en-US" w:eastAsia="zh-CN" w:bidi="ar-SA"/>
              </w:rPr>
              <w:t>实施重点流域入河排污口排查整治全覆盖。全面开展松花江干流入河排污口排查，按照“取缔一批、规范一批、合并一批”工作原则，分类推进入河排污口规范整治。依托排污许可证信息，建立“水体—入河排污口—排污管线—污染源”全链条管理的水污染物排放治理体系。</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heme="minorBidi"/>
                <w:bCs/>
                <w:color w:val="auto"/>
                <w:kern w:val="0"/>
                <w:sz w:val="24"/>
                <w:szCs w:val="24"/>
                <w:highlight w:val="none"/>
                <w:lang w:val="en-US" w:eastAsia="zh-CN" w:bidi="ar-SA"/>
              </w:rPr>
            </w:pPr>
            <w:r>
              <w:rPr>
                <w:rFonts w:hint="default" w:ascii="Times New Roman" w:hAnsi="Times New Roman" w:eastAsia="宋体" w:cstheme="minorBidi"/>
                <w:bCs/>
                <w:color w:val="auto"/>
                <w:kern w:val="0"/>
                <w:sz w:val="24"/>
                <w:szCs w:val="24"/>
                <w:highlight w:val="none"/>
                <w:lang w:val="en-US" w:eastAsia="zh-CN" w:bidi="ar-SA"/>
              </w:rPr>
              <w:t>持续推进工业污染防治。加强农副产品加工、化工、印染等行业综合治理，推进玉米淀粉、糖醇生产、肉类及水产品加工、印染企业等清洁化改造。实现省级及以上工业园区污水集中处理全覆盖，工业企业污水稳定排放全覆盖。</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jc w:val="both"/>
              <w:textAlignment w:val="auto"/>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olor w:val="auto"/>
                <w:sz w:val="24"/>
                <w:highlight w:val="none"/>
              </w:rPr>
              <w:t>（2）符合性分析</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b w:val="0"/>
                <w:bCs w:val="0"/>
                <w:color w:val="auto"/>
                <w:sz w:val="24"/>
                <w:highlight w:val="none"/>
                <w:lang w:eastAsia="zh-CN"/>
              </w:rPr>
            </w:pPr>
            <w:r>
              <w:rPr>
                <w:rFonts w:hint="eastAsia"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bCs/>
                <w:color w:val="auto"/>
                <w:kern w:val="0"/>
                <w:sz w:val="24"/>
                <w:highlight w:val="none"/>
                <w:lang w:val="en-US" w:eastAsia="zh-CN"/>
              </w:rPr>
              <w:t>1台</w:t>
            </w:r>
            <w:r>
              <w:rPr>
                <w:rFonts w:hint="eastAsia" w:ascii="Times New Roman" w:hAnsi="Times New Roman" w:eastAsia="宋体" w:cs="Times New Roman"/>
                <w:color w:val="auto"/>
                <w:sz w:val="24"/>
                <w:szCs w:val="24"/>
                <w:highlight w:val="none"/>
                <w:lang w:val="en-US" w:eastAsia="zh-CN"/>
              </w:rPr>
              <w:t>4t/h</w:t>
            </w:r>
            <w:r>
              <w:rPr>
                <w:rFonts w:ascii="Times New Roman" w:hAnsi="Times New Roman" w:eastAsia="宋体"/>
                <w:bCs/>
                <w:color w:val="auto"/>
                <w:kern w:val="0"/>
                <w:sz w:val="24"/>
                <w:highlight w:val="none"/>
              </w:rPr>
              <w:t>蒸汽</w:t>
            </w:r>
            <w:r>
              <w:rPr>
                <w:rFonts w:hint="eastAsia" w:ascii="Times New Roman" w:hAnsi="Times New Roman" w:eastAsia="宋体" w:cs="Times New Roman"/>
                <w:color w:val="auto"/>
                <w:sz w:val="24"/>
                <w:szCs w:val="24"/>
                <w:highlight w:val="none"/>
                <w:lang w:val="en-US" w:eastAsia="zh-CN"/>
              </w:rPr>
              <w:t>锅炉，以生物质作为燃料，不使用燃煤，</w:t>
            </w:r>
            <w:r>
              <w:rPr>
                <w:rFonts w:ascii="Times New Roman" w:hAnsi="Times New Roman" w:eastAsia="宋体"/>
                <w:bCs/>
                <w:color w:val="auto"/>
                <w:kern w:val="0"/>
                <w:sz w:val="24"/>
                <w:highlight w:val="none"/>
              </w:rPr>
              <w:t>产生的</w:t>
            </w:r>
            <w:r>
              <w:rPr>
                <w:rFonts w:hint="eastAsia" w:ascii="Times New Roman" w:hAnsi="Times New Roman" w:eastAsia="宋体"/>
                <w:bCs/>
                <w:color w:val="auto"/>
                <w:kern w:val="0"/>
                <w:sz w:val="24"/>
                <w:highlight w:val="none"/>
                <w:lang w:val="en-US" w:eastAsia="zh-CN"/>
              </w:rPr>
              <w:t>废气经</w:t>
            </w:r>
            <w:r>
              <w:rPr>
                <w:rFonts w:ascii="Times New Roman" w:hAnsi="Times New Roman" w:eastAsia="宋体"/>
                <w:bCs/>
                <w:color w:val="auto"/>
                <w:kern w:val="0"/>
                <w:sz w:val="24"/>
                <w:highlight w:val="none"/>
              </w:rPr>
              <w:t>布袋除尘器处理后经3</w:t>
            </w:r>
            <w:r>
              <w:rPr>
                <w:rFonts w:hint="eastAsia" w:ascii="Times New Roman" w:hAnsi="Times New Roman" w:eastAsia="宋体"/>
                <w:bCs/>
                <w:color w:val="auto"/>
                <w:kern w:val="0"/>
                <w:sz w:val="24"/>
                <w:highlight w:val="none"/>
                <w:lang w:val="en-US" w:eastAsia="zh-CN"/>
              </w:rPr>
              <w:t>5</w:t>
            </w:r>
            <w:r>
              <w:rPr>
                <w:rFonts w:ascii="Times New Roman" w:hAnsi="Times New Roman" w:eastAsia="宋体"/>
                <w:bCs/>
                <w:color w:val="auto"/>
                <w:kern w:val="0"/>
                <w:sz w:val="24"/>
                <w:highlight w:val="none"/>
              </w:rPr>
              <w:t>米高烟囱</w:t>
            </w:r>
            <w:r>
              <w:rPr>
                <w:rFonts w:hint="eastAsia"/>
                <w:bCs/>
                <w:color w:val="auto"/>
                <w:kern w:val="0"/>
                <w:sz w:val="24"/>
                <w:highlight w:val="none"/>
                <w:lang w:val="en-US" w:eastAsia="zh-CN"/>
              </w:rPr>
              <w:t>达标</w:t>
            </w:r>
            <w:r>
              <w:rPr>
                <w:rFonts w:ascii="Times New Roman" w:hAnsi="Times New Roman" w:eastAsia="宋体"/>
                <w:bCs/>
                <w:color w:val="auto"/>
                <w:kern w:val="0"/>
                <w:sz w:val="24"/>
                <w:highlight w:val="none"/>
              </w:rPr>
              <w:t>排放，布袋除尘器处理效率为99.9%，满足《锅炉大气污染物排放标准》（GB13271-2014）表2新建锅炉大气污染物排放浓度限值中燃煤锅炉要求</w:t>
            </w:r>
            <w:r>
              <w:rPr>
                <w:rFonts w:hint="eastAsia" w:ascii="Times New Roman" w:hAnsi="Times New Roman" w:eastAsia="宋体"/>
                <w:bCs/>
                <w:color w:val="auto"/>
                <w:kern w:val="0"/>
                <w:sz w:val="24"/>
                <w:highlight w:val="none"/>
                <w:lang w:eastAsia="zh-CN"/>
              </w:rPr>
              <w:t>；</w:t>
            </w:r>
            <w:r>
              <w:rPr>
                <w:rFonts w:hint="eastAsia" w:ascii="Times New Roman" w:hAnsi="Times New Roman" w:eastAsia="宋体" w:cs="Times New Roman"/>
                <w:b w:val="0"/>
                <w:bCs w:val="0"/>
                <w:color w:val="auto"/>
                <w:sz w:val="24"/>
                <w:highlight w:val="none"/>
                <w:lang w:eastAsia="zh-CN"/>
              </w:rPr>
              <w:t>玉米蒸煮工序会产生少量异味（以臭气浓度计），蒸煮工序产生异味在生产车间内散溢，加强车间通风，蒸煮工序异味对外环境影响较小。厂界臭气浓度能够满足《恶臭污染物排放标准》（GB14554-93）表2中臭气浓度20（无量纲）标准限值。通过相应大气污染防治措施可使全部大气污染物达标排放，对环境空气影响较小。本项目生活污水排入防渗</w:t>
            </w:r>
            <w:r>
              <w:rPr>
                <w:rFonts w:hint="eastAsia" w:ascii="Times New Roman" w:hAnsi="Times New Roman" w:eastAsia="宋体" w:cs="Times New Roman"/>
                <w:b w:val="0"/>
                <w:bCs w:val="0"/>
                <w:color w:val="auto"/>
                <w:sz w:val="24"/>
                <w:highlight w:val="none"/>
                <w:lang w:val="en-US" w:eastAsia="zh-CN"/>
              </w:rPr>
              <w:t>化粪池</w:t>
            </w:r>
            <w:r>
              <w:rPr>
                <w:rFonts w:hint="eastAsia" w:ascii="Times New Roman" w:hAnsi="Times New Roman" w:eastAsia="宋体" w:cs="Times New Roman"/>
                <w:b w:val="0"/>
                <w:bCs w:val="0"/>
                <w:color w:val="auto"/>
                <w:sz w:val="24"/>
                <w:highlight w:val="none"/>
                <w:lang w:eastAsia="zh-CN"/>
              </w:rPr>
              <w:t>，定期清掏；生产废水（车间地面冲洗废水、</w:t>
            </w:r>
            <w:r>
              <w:rPr>
                <w:rFonts w:hint="eastAsia" w:ascii="Times New Roman" w:hAnsi="Times New Roman" w:eastAsia="宋体" w:cs="Times New Roman"/>
                <w:b w:val="0"/>
                <w:bCs w:val="0"/>
                <w:color w:val="auto"/>
                <w:sz w:val="24"/>
                <w:highlight w:val="none"/>
                <w:lang w:val="en-US" w:eastAsia="zh-CN"/>
              </w:rPr>
              <w:t>清洗废水、</w:t>
            </w:r>
            <w:r>
              <w:rPr>
                <w:rFonts w:hint="eastAsia" w:ascii="Times New Roman" w:hAnsi="Times New Roman" w:eastAsia="宋体" w:cs="Times New Roman"/>
                <w:b w:val="0"/>
                <w:bCs w:val="0"/>
                <w:color w:val="auto"/>
                <w:sz w:val="24"/>
                <w:highlight w:val="none"/>
                <w:lang w:eastAsia="zh-CN"/>
              </w:rPr>
              <w:t>锅炉排污水及软化废水）暂存于</w:t>
            </w:r>
            <w:r>
              <w:rPr>
                <w:rFonts w:hint="eastAsia" w:ascii="Times New Roman" w:hAnsi="Times New Roman" w:eastAsia="宋体" w:cs="Times New Roman"/>
                <w:b w:val="0"/>
                <w:bCs w:val="0"/>
                <w:color w:val="auto"/>
                <w:sz w:val="24"/>
                <w:highlight w:val="none"/>
                <w:lang w:val="en-US" w:eastAsia="zh-CN"/>
              </w:rPr>
              <w:t>6</w:t>
            </w:r>
            <w:r>
              <w:rPr>
                <w:rFonts w:hint="eastAsia" w:ascii="Times New Roman" w:hAnsi="Times New Roman" w:eastAsia="宋体" w:cs="Times New Roman"/>
                <w:b w:val="0"/>
                <w:bCs w:val="0"/>
                <w:color w:val="auto"/>
                <w:sz w:val="24"/>
                <w:highlight w:val="none"/>
                <w:lang w:eastAsia="zh-CN"/>
              </w:rPr>
              <w:t>0m</w:t>
            </w:r>
            <w:r>
              <w:rPr>
                <w:rFonts w:hint="eastAsia" w:ascii="Times New Roman" w:hAnsi="Times New Roman" w:eastAsia="宋体" w:cs="Times New Roman"/>
                <w:b w:val="0"/>
                <w:bCs w:val="0"/>
                <w:color w:val="auto"/>
                <w:sz w:val="24"/>
                <w:highlight w:val="none"/>
                <w:vertAlign w:val="superscript"/>
                <w:lang w:eastAsia="zh-CN"/>
              </w:rPr>
              <w:t>3</w:t>
            </w:r>
            <w:r>
              <w:rPr>
                <w:rFonts w:hint="eastAsia" w:ascii="Times New Roman" w:hAnsi="Times New Roman" w:eastAsia="宋体" w:cs="Times New Roman"/>
                <w:b w:val="0"/>
                <w:bCs w:val="0"/>
                <w:color w:val="auto"/>
                <w:sz w:val="24"/>
                <w:highlight w:val="none"/>
                <w:lang w:eastAsia="zh-CN"/>
              </w:rPr>
              <w:t>的密闭储罐内，每天由专用罐车拉运至海伦市污水处理厂处理，日产日清。经海伦市污水处理厂处理后污水满足《城镇污水处理厂污染物排放标准》（GB18918-2002）一级A标准后排放，对地表水环境影响较小。项目选用低噪声设备、隔声和减振等措施，项目</w:t>
            </w:r>
            <w:r>
              <w:rPr>
                <w:rFonts w:hint="eastAsia" w:ascii="Times New Roman" w:hAnsi="Times New Roman" w:eastAsia="宋体" w:cs="Times New Roman"/>
                <w:b w:val="0"/>
                <w:bCs w:val="0"/>
                <w:color w:val="auto"/>
                <w:sz w:val="24"/>
                <w:highlight w:val="none"/>
                <w:lang w:val="en-US" w:eastAsia="zh-CN"/>
              </w:rPr>
              <w:t>西</w:t>
            </w:r>
            <w:r>
              <w:rPr>
                <w:rFonts w:hint="eastAsia" w:ascii="Times New Roman" w:hAnsi="Times New Roman" w:eastAsia="宋体" w:cs="Times New Roman"/>
                <w:b w:val="0"/>
                <w:bCs w:val="0"/>
                <w:color w:val="auto"/>
                <w:sz w:val="24"/>
                <w:highlight w:val="none"/>
                <w:lang w:eastAsia="zh-CN"/>
              </w:rPr>
              <w:t>侧厂界满足《工业企业厂界环境噪声排放标准》（GB12348-2008）4类标准、其余厂界噪声达到《工业企业厂界环境噪声排放标准》（GB12348-2008）2类标准要求。本项目产生的固体废物通过采取相应的处理措施后，可实现固体废物处理的无害化，减量化及资源化的目标。</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宋体"/>
                <w:color w:val="auto"/>
                <w:sz w:val="24"/>
                <w:szCs w:val="20"/>
                <w:highlight w:val="none"/>
                <w:lang w:eastAsia="zh-CN"/>
              </w:rPr>
            </w:pPr>
            <w:r>
              <w:rPr>
                <w:rFonts w:hint="eastAsia" w:ascii="Times New Roman" w:hAnsi="Times New Roman" w:eastAsia="宋体" w:cs="Times New Roman"/>
                <w:b w:val="0"/>
                <w:bCs w:val="0"/>
                <w:color w:val="auto"/>
                <w:sz w:val="24"/>
                <w:highlight w:val="none"/>
                <w:lang w:val="en-US" w:eastAsia="zh-CN"/>
              </w:rPr>
              <w:t>综上所述，本项目建设符合《黑龙江省“十四五”生态环境保护规划》相关要求。</w:t>
            </w:r>
          </w:p>
          <w:p>
            <w:pPr>
              <w:pStyle w:val="9"/>
              <w:keepNext w:val="0"/>
              <w:keepLines w:val="0"/>
              <w:pageBreakBefore w:val="0"/>
              <w:shd w:val="clear"/>
              <w:kinsoku/>
              <w:wordWrap/>
              <w:overflowPunct/>
              <w:topLinePunct w:val="0"/>
              <w:bidi w:val="0"/>
              <w:spacing w:after="0" w:afterLines="0" w:line="360" w:lineRule="auto"/>
              <w:jc w:val="both"/>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b/>
                <w:bCs/>
                <w:color w:val="auto"/>
                <w:sz w:val="24"/>
                <w:highlight w:val="none"/>
                <w:lang w:val="en-US" w:eastAsia="zh-CN"/>
              </w:rPr>
              <w:t>10、与《绥化市“十四五”生态环境保护规划》符合性分析</w:t>
            </w:r>
          </w:p>
          <w:p>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default" w:ascii="Times New Roman" w:hAnsi="Times New Roman" w:eastAsia="宋体" w:cstheme="minorBidi"/>
                <w:bCs/>
                <w:color w:val="auto"/>
                <w:kern w:val="0"/>
                <w:sz w:val="24"/>
                <w:szCs w:val="24"/>
                <w:highlight w:val="none"/>
                <w:lang w:val="en-US" w:eastAsia="zh-CN" w:bidi="ar-SA"/>
              </w:rPr>
            </w:pPr>
            <w:r>
              <w:rPr>
                <w:rFonts w:hint="eastAsia" w:ascii="Times New Roman" w:hAnsi="Times New Roman" w:eastAsia="宋体" w:cstheme="minorBidi"/>
                <w:bCs/>
                <w:color w:val="auto"/>
                <w:kern w:val="0"/>
                <w:sz w:val="24"/>
                <w:szCs w:val="24"/>
                <w:highlight w:val="none"/>
                <w:lang w:val="en-US" w:eastAsia="zh-CN" w:bidi="ar-SA"/>
              </w:rPr>
              <w:t>（1）相关内容</w:t>
            </w:r>
          </w:p>
          <w:p>
            <w:pPr>
              <w:pStyle w:val="9"/>
              <w:keepNext w:val="0"/>
              <w:keepLines w:val="0"/>
              <w:pageBreakBefore w:val="0"/>
              <w:shd w:val="clear"/>
              <w:kinsoku/>
              <w:wordWrap/>
              <w:overflowPunct/>
              <w:topLinePunct w:val="0"/>
              <w:autoSpaceDE/>
              <w:autoSpaceDN/>
              <w:bidi w:val="0"/>
              <w:adjustRightInd/>
              <w:snapToGrid/>
              <w:spacing w:after="0" w:afterLines="0" w:line="360" w:lineRule="auto"/>
              <w:ind w:firstLine="480" w:firstLineChars="200"/>
              <w:jc w:val="both"/>
              <w:textAlignment w:val="auto"/>
              <w:rPr>
                <w:rFonts w:hint="eastAsia" w:ascii="Times New Roman" w:hAnsi="Times New Roman" w:eastAsia="宋体"/>
                <w:color w:val="auto"/>
                <w:sz w:val="24"/>
                <w:highlight w:val="none"/>
                <w:lang w:eastAsia="zh-CN"/>
              </w:rPr>
            </w:pPr>
            <w:r>
              <w:rPr>
                <w:rFonts w:hint="eastAsia" w:ascii="Times New Roman" w:hAnsi="Times New Roman" w:eastAsia="宋体"/>
                <w:color w:val="auto"/>
                <w:sz w:val="24"/>
                <w:highlight w:val="none"/>
                <w:lang w:eastAsia="zh-CN"/>
              </w:rPr>
              <w:t>(一)强化系统治理，持续提升水环境质量。</w:t>
            </w:r>
          </w:p>
          <w:p>
            <w:pPr>
              <w:pStyle w:val="9"/>
              <w:keepNext w:val="0"/>
              <w:keepLines w:val="0"/>
              <w:pageBreakBefore w:val="0"/>
              <w:shd w:val="clear"/>
              <w:kinsoku/>
              <w:wordWrap/>
              <w:overflowPunct/>
              <w:topLinePunct w:val="0"/>
              <w:autoSpaceDE/>
              <w:autoSpaceDN/>
              <w:bidi w:val="0"/>
              <w:adjustRightInd/>
              <w:snapToGrid/>
              <w:spacing w:after="0" w:afterLines="0" w:line="360" w:lineRule="auto"/>
              <w:ind w:firstLine="480" w:firstLineChars="200"/>
              <w:jc w:val="both"/>
              <w:textAlignment w:val="auto"/>
              <w:rPr>
                <w:rFonts w:hint="eastAsia" w:ascii="Times New Roman" w:hAnsi="Times New Roman" w:eastAsia="宋体"/>
                <w:color w:val="auto"/>
                <w:sz w:val="24"/>
                <w:highlight w:val="none"/>
                <w:lang w:eastAsia="zh-CN"/>
              </w:rPr>
            </w:pPr>
            <w:r>
              <w:rPr>
                <w:rFonts w:hint="eastAsia" w:ascii="Times New Roman" w:hAnsi="Times New Roman" w:eastAsia="宋体"/>
                <w:color w:val="auto"/>
                <w:sz w:val="24"/>
                <w:highlight w:val="none"/>
                <w:lang w:eastAsia="zh-CN"/>
              </w:rPr>
              <w:t>4.持续深化水污染治理。实施重点流域入河排污口排查整治 全覆盖。全面开展入河排污口排查，按照“取缔一批、规范一批、 合并一批”工作原则，分类推进入河排污口规范整治。依托排污 许可证信息，建立“水体一入河排污口一排污管线一污染源”全链条管理的水污染物排放治理体系。持续推进工业污染防治。实现省级及以上工业园区污水集中处理全覆盖，工业企业污水稳定排放全覆盖。深入开展城镇生活污水处理设施建设工作。加快补齐城市和 县城污水处理能力缺口，稳步推进建制镇污水处理设施建设。加大城镇污水管线建设力度。推动城镇生活污水资源化利用，加大污泥无害化和资源化处理处置力度。加强初期雨水收集和处理。</w:t>
            </w:r>
          </w:p>
          <w:p>
            <w:pPr>
              <w:pStyle w:val="10"/>
              <w:keepNext w:val="0"/>
              <w:keepLines w:val="0"/>
              <w:pageBreakBefore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lang w:eastAsia="zh-CN"/>
              </w:rPr>
            </w:pPr>
            <w:r>
              <w:rPr>
                <w:rFonts w:hint="eastAsia" w:ascii="Times New Roman" w:hAnsi="Times New Roman" w:eastAsia="宋体"/>
                <w:color w:val="auto"/>
                <w:sz w:val="24"/>
                <w:highlight w:val="none"/>
                <w:lang w:eastAsia="zh-CN"/>
              </w:rPr>
              <w:t>(二)建立健全应对气候变化管理机制，全面改善空气质量。</w:t>
            </w:r>
          </w:p>
          <w:p>
            <w:pPr>
              <w:pStyle w:val="10"/>
              <w:keepNext w:val="0"/>
              <w:keepLines w:val="0"/>
              <w:pageBreakBefore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lang w:eastAsia="zh-CN"/>
              </w:rPr>
            </w:pPr>
            <w:r>
              <w:rPr>
                <w:rFonts w:hint="eastAsia" w:ascii="Times New Roman" w:hAnsi="Times New Roman" w:eastAsia="宋体"/>
                <w:color w:val="auto"/>
                <w:sz w:val="24"/>
                <w:highlight w:val="none"/>
                <w:lang w:eastAsia="zh-CN"/>
              </w:rPr>
              <w:t>1.建立健全应对气候变化管理机制。落实省、市碳达峰碳中 和相关任务。按照碳达峰碳中和工作要点要求，推进散煤污染治 理“三重一改”、实施强制性清洁生产审核、落实碳核查和配额清缴工作。</w:t>
            </w:r>
          </w:p>
          <w:p>
            <w:pPr>
              <w:pStyle w:val="11"/>
              <w:keepNext w:val="0"/>
              <w:keepLines w:val="0"/>
              <w:pageBreakBefore w:val="0"/>
              <w:shd w:val="clea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olor w:val="auto"/>
                <w:sz w:val="24"/>
                <w:highlight w:val="none"/>
                <w:lang w:eastAsia="zh-CN"/>
              </w:rPr>
            </w:pPr>
            <w:r>
              <w:rPr>
                <w:rFonts w:hint="eastAsia" w:ascii="Times New Roman" w:hAnsi="Times New Roman" w:eastAsia="宋体"/>
                <w:color w:val="auto"/>
                <w:sz w:val="24"/>
                <w:highlight w:val="none"/>
                <w:lang w:eastAsia="zh-CN"/>
              </w:rPr>
              <w:t>2.持续提升环境空气质量。持续推进散煤污染治理“三重一 改”工作。按照《黑龙江省散煤污染治理“三重一改”攻坚行动 实施方案(2020-2022年)》和《绥化市冬季燃煤污染治理三年(2020-2022)行动方案》要求，持续推进散煤污染治理“三重一改”工作，确保完成年度任务。按照省文件要求，制定“十四五”散煤污染治理方案，在2020年的基础上削减散煤50%。</w:t>
            </w:r>
          </w:p>
          <w:p>
            <w:pPr>
              <w:keepNext w:val="0"/>
              <w:keepLines w:val="0"/>
              <w:pageBreakBefore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lang w:eastAsia="zh-CN"/>
              </w:rPr>
            </w:pPr>
            <w:r>
              <w:rPr>
                <w:rFonts w:hint="eastAsia" w:ascii="Times New Roman" w:hAnsi="Times New Roman" w:eastAsia="宋体"/>
                <w:color w:val="auto"/>
                <w:sz w:val="24"/>
                <w:highlight w:val="none"/>
                <w:lang w:eastAsia="zh-CN"/>
              </w:rPr>
              <w:t>3.强化噪声污染防治。制定实施噪声污染防治行动计划。开 展环境功能区评估与调整。市本级在声环境功能区安装噪声自动监测系统。在制定国土空间规划及交通运输等相关规划时，合理划定防噪声距离，明确规划设计要求。因特殊需要必须连续作业的，必须有县级以上政府或者其有关主管部门的证明，并公告附近居民。鼓励采用低噪声施工设备和工艺。依法将工业企业噪声、纳入排污许可管理，严厉查处工业企业噪声排放超标扰民行为。加强对文化娱乐、商业经营中社会生活噪声热点问题日常监管和集中整治。到2025年，全面实现功能区声环境质量自动监测，声环境功能区夜间达标率达到国家要求。</w:t>
            </w:r>
          </w:p>
          <w:p>
            <w:pPr>
              <w:keepNext w:val="0"/>
              <w:keepLines w:val="0"/>
              <w:pageBreakBefore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lang w:eastAsia="zh-CN"/>
              </w:rPr>
            </w:pPr>
            <w:r>
              <w:rPr>
                <w:rFonts w:hint="eastAsia" w:ascii="Times New Roman" w:hAnsi="Times New Roman" w:eastAsia="宋体"/>
                <w:color w:val="auto"/>
                <w:sz w:val="24"/>
                <w:highlight w:val="none"/>
                <w:lang w:eastAsia="zh-CN"/>
              </w:rPr>
              <w:t>(三)加强黑土地保护，维护土壤环境安全。</w:t>
            </w:r>
          </w:p>
          <w:p>
            <w:pPr>
              <w:keepNext w:val="0"/>
              <w:keepLines w:val="0"/>
              <w:pageBreakBefore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lang w:eastAsia="zh-CN"/>
              </w:rPr>
            </w:pPr>
            <w:r>
              <w:rPr>
                <w:rFonts w:hint="eastAsia" w:ascii="Times New Roman" w:hAnsi="Times New Roman" w:eastAsia="宋体"/>
                <w:color w:val="auto"/>
                <w:sz w:val="24"/>
                <w:highlight w:val="none"/>
                <w:lang w:eastAsia="zh-CN"/>
              </w:rPr>
              <w:t>1.加强土壤污染源头治理。督促企业依法落实主体责任。依 据有关法律法规及重点排污单位名录管理规定，将符合条件的排放镉等有毒有害大气、水污染物的企业纳入重点排污单位名录，督促按规定实现在线自动监测。开展涉镉等重金属行业企业排查整治“回头看”,动态更新污染源整治清单。</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jc w:val="both"/>
              <w:textAlignment w:val="auto"/>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olor w:val="auto"/>
                <w:sz w:val="24"/>
                <w:highlight w:val="none"/>
              </w:rPr>
              <w:t>（2）符合性分析</w:t>
            </w:r>
          </w:p>
          <w:p>
            <w:pPr>
              <w:keepNext w:val="0"/>
              <w:keepLines w:val="0"/>
              <w:pageBreakBefore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宋体"/>
                <w:color w:val="auto"/>
                <w:sz w:val="24"/>
                <w:szCs w:val="20"/>
                <w:highlight w:val="none"/>
                <w:lang w:eastAsia="zh-CN"/>
              </w:rPr>
            </w:pPr>
            <w:r>
              <w:rPr>
                <w:rFonts w:hint="eastAsia"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bCs/>
                <w:color w:val="auto"/>
                <w:kern w:val="0"/>
                <w:sz w:val="24"/>
                <w:highlight w:val="none"/>
                <w:lang w:val="en-US" w:eastAsia="zh-CN"/>
              </w:rPr>
              <w:t>1台</w:t>
            </w:r>
            <w:r>
              <w:rPr>
                <w:rFonts w:hint="eastAsia" w:ascii="Times New Roman" w:hAnsi="Times New Roman" w:eastAsia="宋体" w:cs="Times New Roman"/>
                <w:color w:val="auto"/>
                <w:sz w:val="24"/>
                <w:szCs w:val="24"/>
                <w:highlight w:val="none"/>
                <w:lang w:val="en-US" w:eastAsia="zh-CN"/>
              </w:rPr>
              <w:t>4t/h</w:t>
            </w:r>
            <w:r>
              <w:rPr>
                <w:rFonts w:ascii="Times New Roman" w:hAnsi="Times New Roman" w:eastAsia="宋体"/>
                <w:bCs/>
                <w:color w:val="auto"/>
                <w:kern w:val="0"/>
                <w:sz w:val="24"/>
                <w:highlight w:val="none"/>
              </w:rPr>
              <w:t>蒸汽</w:t>
            </w:r>
            <w:r>
              <w:rPr>
                <w:rFonts w:hint="eastAsia" w:ascii="Times New Roman" w:hAnsi="Times New Roman" w:eastAsia="宋体" w:cs="Times New Roman"/>
                <w:color w:val="auto"/>
                <w:sz w:val="24"/>
                <w:szCs w:val="24"/>
                <w:highlight w:val="none"/>
                <w:lang w:val="en-US" w:eastAsia="zh-CN"/>
              </w:rPr>
              <w:t>锅炉，以生物质作为燃料，不使用燃煤，</w:t>
            </w:r>
            <w:r>
              <w:rPr>
                <w:rFonts w:ascii="Times New Roman" w:hAnsi="Times New Roman" w:eastAsia="宋体"/>
                <w:bCs/>
                <w:color w:val="auto"/>
                <w:kern w:val="0"/>
                <w:sz w:val="24"/>
                <w:highlight w:val="none"/>
              </w:rPr>
              <w:t>产生的</w:t>
            </w:r>
            <w:r>
              <w:rPr>
                <w:rFonts w:hint="eastAsia" w:ascii="Times New Roman" w:hAnsi="Times New Roman" w:eastAsia="宋体"/>
                <w:bCs/>
                <w:color w:val="auto"/>
                <w:kern w:val="0"/>
                <w:sz w:val="24"/>
                <w:highlight w:val="none"/>
                <w:lang w:val="en-US" w:eastAsia="zh-CN"/>
              </w:rPr>
              <w:t>废气</w:t>
            </w:r>
            <w:r>
              <w:rPr>
                <w:rFonts w:ascii="Times New Roman" w:hAnsi="Times New Roman" w:eastAsia="宋体"/>
                <w:bCs/>
                <w:color w:val="auto"/>
                <w:kern w:val="0"/>
                <w:sz w:val="24"/>
                <w:highlight w:val="none"/>
              </w:rPr>
              <w:t>经布袋除尘器处理后经3</w:t>
            </w:r>
            <w:r>
              <w:rPr>
                <w:rFonts w:hint="eastAsia" w:ascii="Times New Roman" w:hAnsi="Times New Roman" w:eastAsia="宋体"/>
                <w:bCs/>
                <w:color w:val="auto"/>
                <w:kern w:val="0"/>
                <w:sz w:val="24"/>
                <w:highlight w:val="none"/>
                <w:lang w:val="en-US" w:eastAsia="zh-CN"/>
              </w:rPr>
              <w:t>5</w:t>
            </w:r>
            <w:r>
              <w:rPr>
                <w:rFonts w:ascii="Times New Roman" w:hAnsi="Times New Roman" w:eastAsia="宋体"/>
                <w:bCs/>
                <w:color w:val="auto"/>
                <w:kern w:val="0"/>
                <w:sz w:val="24"/>
                <w:highlight w:val="none"/>
              </w:rPr>
              <w:t>米高烟囱排放，布袋除尘器处理效率为99.9%，满足《锅炉大气污染物排放标准》（GB13271-2014）表2新建锅炉大气污染物排放浓度限值中燃煤锅炉要求</w:t>
            </w:r>
            <w:r>
              <w:rPr>
                <w:rFonts w:hint="eastAsia" w:ascii="Times New Roman" w:hAnsi="Times New Roman" w:eastAsia="宋体"/>
                <w:bCs/>
                <w:color w:val="auto"/>
                <w:kern w:val="0"/>
                <w:sz w:val="24"/>
                <w:highlight w:val="none"/>
                <w:lang w:eastAsia="zh-CN"/>
              </w:rPr>
              <w:t>；</w:t>
            </w:r>
            <w:r>
              <w:rPr>
                <w:rFonts w:hint="eastAsia" w:ascii="Times New Roman" w:hAnsi="Times New Roman" w:eastAsia="宋体" w:cs="Times New Roman"/>
                <w:b w:val="0"/>
                <w:bCs w:val="0"/>
                <w:color w:val="auto"/>
                <w:sz w:val="24"/>
                <w:highlight w:val="none"/>
                <w:lang w:eastAsia="zh-CN"/>
              </w:rPr>
              <w:t>玉米蒸煮工序会产生少量异味（以臭气浓度计），蒸煮工序产生异味在生产车间内散溢，加强车间通风，蒸煮工序异味对外环境影响较小。厂界臭气浓度能够满足《恶臭污染物排放标准》（GB14554-93）表2中臭气浓度20（无量纲）标准限值。通过相应大气污染防治措施可使全部大气污染物达标排放，对环境空气影响较小。本项目生活污水排入防渗</w:t>
            </w:r>
            <w:r>
              <w:rPr>
                <w:rFonts w:hint="eastAsia" w:ascii="Times New Roman" w:hAnsi="Times New Roman" w:eastAsia="宋体" w:cs="Times New Roman"/>
                <w:b w:val="0"/>
                <w:bCs w:val="0"/>
                <w:color w:val="auto"/>
                <w:sz w:val="24"/>
                <w:highlight w:val="none"/>
                <w:lang w:val="en-US" w:eastAsia="zh-CN"/>
              </w:rPr>
              <w:t>化粪池</w:t>
            </w:r>
            <w:r>
              <w:rPr>
                <w:rFonts w:hint="eastAsia" w:ascii="Times New Roman" w:hAnsi="Times New Roman" w:eastAsia="宋体" w:cs="Times New Roman"/>
                <w:b w:val="0"/>
                <w:bCs w:val="0"/>
                <w:color w:val="auto"/>
                <w:sz w:val="24"/>
                <w:highlight w:val="none"/>
                <w:lang w:eastAsia="zh-CN"/>
              </w:rPr>
              <w:t>，定期清掏；生产废水（车间地面冲洗废水、</w:t>
            </w:r>
            <w:r>
              <w:rPr>
                <w:rFonts w:hint="eastAsia" w:ascii="Times New Roman" w:hAnsi="Times New Roman" w:eastAsia="宋体" w:cs="Times New Roman"/>
                <w:b w:val="0"/>
                <w:bCs w:val="0"/>
                <w:color w:val="auto"/>
                <w:sz w:val="24"/>
                <w:highlight w:val="none"/>
                <w:lang w:val="en-US" w:eastAsia="zh-CN"/>
              </w:rPr>
              <w:t>清洗废水、</w:t>
            </w:r>
            <w:r>
              <w:rPr>
                <w:rFonts w:hint="eastAsia" w:ascii="Times New Roman" w:hAnsi="Times New Roman" w:eastAsia="宋体" w:cs="Times New Roman"/>
                <w:b w:val="0"/>
                <w:bCs w:val="0"/>
                <w:color w:val="auto"/>
                <w:sz w:val="24"/>
                <w:highlight w:val="none"/>
                <w:lang w:eastAsia="zh-CN"/>
              </w:rPr>
              <w:t>锅炉排污水及软化废水）暂存于</w:t>
            </w:r>
            <w:r>
              <w:rPr>
                <w:rFonts w:hint="eastAsia" w:ascii="Times New Roman" w:hAnsi="Times New Roman" w:eastAsia="宋体" w:cs="Times New Roman"/>
                <w:b w:val="0"/>
                <w:bCs w:val="0"/>
                <w:color w:val="auto"/>
                <w:sz w:val="24"/>
                <w:highlight w:val="none"/>
                <w:lang w:val="en-US" w:eastAsia="zh-CN"/>
              </w:rPr>
              <w:t>6</w:t>
            </w:r>
            <w:r>
              <w:rPr>
                <w:rFonts w:hint="eastAsia" w:ascii="Times New Roman" w:hAnsi="Times New Roman" w:eastAsia="宋体" w:cs="Times New Roman"/>
                <w:b w:val="0"/>
                <w:bCs w:val="0"/>
                <w:color w:val="auto"/>
                <w:sz w:val="24"/>
                <w:highlight w:val="none"/>
                <w:lang w:eastAsia="zh-CN"/>
              </w:rPr>
              <w:t>0m</w:t>
            </w:r>
            <w:r>
              <w:rPr>
                <w:rFonts w:hint="eastAsia" w:ascii="Times New Roman" w:hAnsi="Times New Roman" w:eastAsia="宋体" w:cs="Times New Roman"/>
                <w:b w:val="0"/>
                <w:bCs w:val="0"/>
                <w:color w:val="auto"/>
                <w:sz w:val="24"/>
                <w:highlight w:val="none"/>
                <w:vertAlign w:val="superscript"/>
                <w:lang w:eastAsia="zh-CN"/>
              </w:rPr>
              <w:t>3</w:t>
            </w:r>
            <w:r>
              <w:rPr>
                <w:rFonts w:hint="eastAsia" w:ascii="Times New Roman" w:hAnsi="Times New Roman" w:eastAsia="宋体" w:cs="Times New Roman"/>
                <w:b w:val="0"/>
                <w:bCs w:val="0"/>
                <w:color w:val="auto"/>
                <w:sz w:val="24"/>
                <w:highlight w:val="none"/>
                <w:lang w:eastAsia="zh-CN"/>
              </w:rPr>
              <w:t>的密闭储罐内，每天由专用罐车拉运至海伦市污水处理厂处理，日产日清。经海伦市污水处理厂处理后污水满足《城镇污水处理厂污染物排放标准》（GB18918-2002）一级A标准后排放，对地表水环境影响较小。项目选用低噪声设备、隔声和减振等措施，项目</w:t>
            </w:r>
            <w:r>
              <w:rPr>
                <w:rFonts w:hint="eastAsia" w:ascii="Times New Roman" w:hAnsi="Times New Roman" w:eastAsia="宋体" w:cs="Times New Roman"/>
                <w:b w:val="0"/>
                <w:bCs w:val="0"/>
                <w:color w:val="auto"/>
                <w:sz w:val="24"/>
                <w:highlight w:val="none"/>
                <w:lang w:val="en-US" w:eastAsia="zh-CN"/>
              </w:rPr>
              <w:t>西</w:t>
            </w:r>
            <w:r>
              <w:rPr>
                <w:rFonts w:hint="eastAsia" w:ascii="Times New Roman" w:hAnsi="Times New Roman" w:eastAsia="宋体" w:cs="Times New Roman"/>
                <w:b w:val="0"/>
                <w:bCs w:val="0"/>
                <w:color w:val="auto"/>
                <w:sz w:val="24"/>
                <w:highlight w:val="none"/>
                <w:lang w:eastAsia="zh-CN"/>
              </w:rPr>
              <w:t>侧厂界满足《工业企业厂界环境噪声排放标准》（GB12348-2008）4类标准、其余厂界噪声达到《工业企业厂界环境噪声排放标准》（GB12348-2008）2类标准要求。</w:t>
            </w:r>
            <w:r>
              <w:rPr>
                <w:color w:val="auto"/>
                <w:sz w:val="24"/>
                <w:szCs w:val="20"/>
                <w:highlight w:val="none"/>
              </w:rPr>
              <w:t>本项目产生的固体废物通过采取相应的处理措施后，可实现固</w:t>
            </w:r>
            <w:r>
              <w:rPr>
                <w:rFonts w:ascii="宋体"/>
                <w:color w:val="auto"/>
                <w:sz w:val="24"/>
                <w:szCs w:val="20"/>
                <w:highlight w:val="none"/>
              </w:rPr>
              <w:t>体废物处理的无害化，减量化及资源化的目标</w:t>
            </w:r>
            <w:r>
              <w:rPr>
                <w:rFonts w:hint="eastAsia" w:ascii="宋体"/>
                <w:color w:val="auto"/>
                <w:sz w:val="24"/>
                <w:szCs w:val="20"/>
                <w:highlight w:val="none"/>
                <w:lang w:eastAsia="zh-CN"/>
              </w:rPr>
              <w:t>，</w:t>
            </w:r>
            <w:r>
              <w:rPr>
                <w:rFonts w:hint="default" w:ascii="Times New Roman" w:hAnsi="Times New Roman" w:eastAsia="宋体" w:cs="Times New Roman"/>
                <w:color w:val="auto"/>
                <w:sz w:val="24"/>
                <w:szCs w:val="24"/>
                <w:highlight w:val="none"/>
              </w:rPr>
              <w:t>本项目用地性质为</w:t>
            </w:r>
            <w:r>
              <w:rPr>
                <w:rFonts w:hint="eastAsia" w:ascii="Times New Roman" w:hAnsi="Times New Roman" w:eastAsia="宋体" w:cs="Times New Roman"/>
                <w:color w:val="auto"/>
                <w:sz w:val="24"/>
                <w:szCs w:val="24"/>
                <w:highlight w:val="none"/>
                <w:lang w:val="en-US" w:eastAsia="zh-CN"/>
              </w:rPr>
              <w:t>建设</w:t>
            </w:r>
            <w:r>
              <w:rPr>
                <w:rFonts w:hint="default" w:ascii="Times New Roman" w:hAnsi="Times New Roman" w:eastAsia="宋体" w:cs="Times New Roman"/>
                <w:color w:val="auto"/>
                <w:sz w:val="24"/>
                <w:szCs w:val="24"/>
                <w:highlight w:val="none"/>
              </w:rPr>
              <w:t>用地（见附件2）</w:t>
            </w:r>
            <w:r>
              <w:rPr>
                <w:rFonts w:hint="eastAsia" w:ascii="宋体"/>
                <w:color w:val="auto"/>
                <w:sz w:val="24"/>
                <w:szCs w:val="20"/>
                <w:highlight w:val="none"/>
                <w:lang w:eastAsia="zh-CN"/>
              </w:rPr>
              <w:t>。</w:t>
            </w:r>
          </w:p>
          <w:p>
            <w:pPr>
              <w:keepNext w:val="0"/>
              <w:keepLines w:val="0"/>
              <w:pageBreakBefore w:val="0"/>
              <w:shd w:val="clear"/>
              <w:kinsoku/>
              <w:wordWrap/>
              <w:overflowPunct/>
              <w:topLinePunct w:val="0"/>
              <w:autoSpaceDE/>
              <w:autoSpaceDN/>
              <w:bidi w:val="0"/>
              <w:adjustRightInd/>
              <w:snapToGrid/>
              <w:spacing w:line="360" w:lineRule="auto"/>
              <w:jc w:val="both"/>
              <w:textAlignment w:val="auto"/>
              <w:rPr>
                <w:rFonts w:hint="eastAsia" w:ascii="Times New Roman" w:hAnsi="Times New Roman" w:eastAsia="宋体" w:cs="Times New Roman"/>
                <w:b/>
                <w:bCs/>
                <w:color w:val="auto"/>
                <w:kern w:val="0"/>
                <w:sz w:val="24"/>
                <w:szCs w:val="20"/>
                <w:highlight w:val="none"/>
                <w:lang w:val="en-US" w:eastAsia="zh-CN" w:bidi="ar-SA"/>
              </w:rPr>
            </w:pPr>
            <w:r>
              <w:rPr>
                <w:rFonts w:hint="eastAsia" w:ascii="Times New Roman" w:hAnsi="Times New Roman" w:eastAsia="宋体" w:cs="Times New Roman"/>
                <w:b/>
                <w:bCs/>
                <w:color w:val="auto"/>
                <w:kern w:val="0"/>
                <w:sz w:val="24"/>
                <w:szCs w:val="20"/>
                <w:highlight w:val="none"/>
                <w:lang w:val="en-US" w:eastAsia="zh-CN" w:bidi="ar-SA"/>
              </w:rPr>
              <w:t>1</w:t>
            </w:r>
            <w:r>
              <w:rPr>
                <w:rFonts w:hint="eastAsia" w:cs="Times New Roman"/>
                <w:b/>
                <w:bCs/>
                <w:color w:val="auto"/>
                <w:kern w:val="0"/>
                <w:sz w:val="24"/>
                <w:szCs w:val="20"/>
                <w:highlight w:val="none"/>
                <w:lang w:val="en-US" w:eastAsia="zh-CN" w:bidi="ar-SA"/>
              </w:rPr>
              <w:t>1</w:t>
            </w:r>
            <w:r>
              <w:rPr>
                <w:rFonts w:hint="eastAsia" w:ascii="Times New Roman" w:hAnsi="Times New Roman" w:eastAsia="宋体" w:cs="Times New Roman"/>
                <w:b/>
                <w:bCs/>
                <w:color w:val="auto"/>
                <w:kern w:val="0"/>
                <w:sz w:val="24"/>
                <w:szCs w:val="20"/>
                <w:highlight w:val="none"/>
                <w:lang w:val="en-US" w:eastAsia="zh-CN" w:bidi="ar-SA"/>
              </w:rPr>
              <w:t>.与《绥化市扬尘综合治理集中整治行动方案》（绥气联发【2021】4号）符合性分析</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相关内容</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三、整治内容</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一)控制建筑施工现场扬尘污染。施工单位要在施工工地设置硬质围挡，并负责维护；公示扬尘污染防治措施、负责人、扬尘监督管理主管部门等信息；在出口设置车辆冲洗设施，车辆不得带泥上路，施工工地通道以及出入口周边的道路禁止存放建筑垃圾；施工工地出入口、主要通道、</w:t>
            </w:r>
            <w:r>
              <w:rPr>
                <w:rFonts w:hint="eastAsia" w:ascii="Times New Roman" w:hAnsi="Times New Roman" w:eastAsia="宋体" w:cs="Times New Roman"/>
                <w:color w:val="0000FF"/>
                <w:sz w:val="24"/>
                <w:szCs w:val="24"/>
                <w:highlight w:val="none"/>
                <w:lang w:val="en-US" w:eastAsia="zh-CN"/>
              </w:rPr>
              <w:t>加工区等应采取硬化处理措施</w:t>
            </w:r>
            <w:r>
              <w:rPr>
                <w:rFonts w:hint="eastAsia" w:ascii="Times New Roman" w:hAnsi="Times New Roman" w:eastAsia="宋体" w:cs="Times New Roman"/>
                <w:color w:val="auto"/>
                <w:sz w:val="24"/>
                <w:szCs w:val="24"/>
                <w:highlight w:val="none"/>
                <w:lang w:val="en-US" w:eastAsia="zh-CN"/>
              </w:rPr>
              <w:t>；对施工工地内堆存的建筑土方、工程渣土、建筑垃圾，应采取密闭式防尘网遮盖；施工工地建筑结构脚手架外侧应设置有效抑尘的密闭式防尘网；采取封闭方式及时清运建筑垃圾；有效防尘、降尘的其他措施。[责任单位：市住建局、各县(市、区)政府]</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二)控制工业企业堆场料场扬尘污染。严格执行环评及“三同时”制度，完善防扬尘、防流失、防渗漏“三防”措施。煤炭、煤砰石、煤渣、煤灰、水泥、石灰、石子、砂土、粉煤灰等易产生扬尘的粉性物料、固体废弃物应当密闭存放，临时性堆放场所必须采取严格的篷盖、围挡和防风抑尘网等措施。堆场路面必须进行硬化处理，定期清扫、洒水，保持整洁；露天装卸粉</w:t>
            </w:r>
            <w:r>
              <w:rPr>
                <w:rFonts w:hint="eastAsia" w:cs="Times New Roman"/>
                <w:color w:val="auto"/>
                <w:sz w:val="24"/>
                <w:szCs w:val="24"/>
                <w:highlight w:val="none"/>
                <w:lang w:val="en-US" w:eastAsia="zh-CN"/>
              </w:rPr>
              <w:t>状物</w:t>
            </w:r>
            <w:r>
              <w:rPr>
                <w:rFonts w:hint="eastAsia" w:ascii="Times New Roman" w:hAnsi="Times New Roman" w:eastAsia="宋体" w:cs="Times New Roman"/>
                <w:color w:val="auto"/>
                <w:sz w:val="24"/>
                <w:szCs w:val="24"/>
                <w:highlight w:val="none"/>
                <w:lang w:val="en-US" w:eastAsia="zh-CN"/>
              </w:rPr>
              <w:t>料的要采取洒水、喷淋等抑尘措施。场内要配备喷淋、篷盖和围挡等抑尘措施。[责任单位：市生态环境局、各县(市、区)政府]</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三)控制道路扬尘污染。对主要街路洒水降尘每日时间达到6小时，道路洗扫和洒水要做到路面清洁无灰、路牙无积尘，确保无漏洗，保证路面清洁无扬尘，见本色。对次干路进行轮流洒水制，确保次干路平均每周降尘两次、洗扫三次，确定作业时间。水车在气温达到30度以上的天气，增加洒水频次。[责任单位：市综合行政执法局、各县(市、区)政府]</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四)控制城区运输车辆扬尘污染。做好基建施工单位出入口清扫保洁监管工作，防止车轮带泥，对未经清洗的车辆，一律不予出门，并督促基建施工单位对运输渣土和物料车辆进行全覆盖。加大执法和巡查管控力度、增加检查频次，依法依规查处市区道路运输渣土和建筑材料车辆污染路面行为，最大限度减少对城区道路的污染。[责任单位：市综合行政执法局、各县(市、区)政府]</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（2）符合性分析</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本项目施工期</w:t>
            </w:r>
            <w:r>
              <w:rPr>
                <w:rFonts w:hint="default" w:ascii="Times New Roman" w:hAnsi="Times New Roman" w:eastAsia="宋体" w:cs="Times New Roman"/>
                <w:color w:val="auto"/>
                <w:sz w:val="24"/>
                <w:szCs w:val="24"/>
                <w:highlight w:val="none"/>
                <w:lang w:val="en-US" w:eastAsia="zh-CN"/>
              </w:rPr>
              <w:t>在施工作业现场设置围挡。容易产生粉尘的施工过程应洒水作业，使作业面保持一定的湿度；回填土方时，在表层土质干燥时应适当洒水，防止粉尘飞扬；使用预拌混凝土，粉性物料采取封闭、遮盖等措施</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运输车辆加蓬盖，且出装、卸场地前应先冲洗干净，减少车轮、底盘等携带泥土散落路面</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经上述治理后，施工期产生的粉尘、扬尘对环境空气及敏感点的影响较小。满足《大气污染物综合排放标准》（GB16297-1996）表2中无组织排放标准要求。本项目</w:t>
            </w:r>
            <w:r>
              <w:rPr>
                <w:rFonts w:hint="eastAsia" w:ascii="Times New Roman" w:hAnsi="Times New Roman" w:eastAsia="宋体" w:cs="Times New Roman"/>
                <w:color w:val="auto"/>
                <w:sz w:val="24"/>
                <w:szCs w:val="24"/>
                <w:highlight w:val="none"/>
                <w:lang w:val="en-US" w:eastAsia="zh-CN"/>
              </w:rPr>
              <w:t>堆场路面必须进行硬化处理，锅炉产生的灰渣暂存于</w:t>
            </w:r>
            <w:r>
              <w:rPr>
                <w:rFonts w:hint="default" w:ascii="Times New Roman" w:hAnsi="Times New Roman" w:eastAsia="宋体" w:cs="Times New Roman"/>
                <w:color w:val="auto"/>
                <w:sz w:val="24"/>
                <w:szCs w:val="24"/>
                <w:highlight w:val="none"/>
                <w:lang w:val="en-US" w:eastAsia="zh-CN"/>
              </w:rPr>
              <w:t>灰渣</w:t>
            </w:r>
            <w:r>
              <w:rPr>
                <w:rFonts w:hint="eastAsia" w:ascii="Times New Roman" w:hAnsi="Times New Roman" w:eastAsia="宋体" w:cs="Times New Roman"/>
                <w:color w:val="auto"/>
                <w:sz w:val="24"/>
                <w:szCs w:val="24"/>
                <w:highlight w:val="none"/>
                <w:lang w:val="en-US" w:eastAsia="zh-CN"/>
              </w:rPr>
              <w:t>库内</w:t>
            </w:r>
            <w:r>
              <w:rPr>
                <w:rFonts w:hint="default" w:ascii="Times New Roman" w:hAnsi="Times New Roman" w:eastAsia="宋体" w:cs="Times New Roman"/>
                <w:color w:val="auto"/>
                <w:sz w:val="24"/>
                <w:szCs w:val="24"/>
                <w:highlight w:val="none"/>
                <w:lang w:val="en-US" w:eastAsia="zh-CN"/>
              </w:rPr>
              <w:t>，灰渣</w:t>
            </w:r>
            <w:r>
              <w:rPr>
                <w:rFonts w:hint="eastAsia" w:ascii="Times New Roman" w:hAnsi="Times New Roman" w:eastAsia="宋体" w:cs="Times New Roman"/>
                <w:color w:val="auto"/>
                <w:sz w:val="24"/>
                <w:szCs w:val="24"/>
                <w:highlight w:val="none"/>
                <w:lang w:val="en-US" w:eastAsia="zh-CN"/>
              </w:rPr>
              <w:t>库</w:t>
            </w:r>
            <w:r>
              <w:rPr>
                <w:rFonts w:hint="default" w:ascii="Times New Roman" w:hAnsi="Times New Roman" w:eastAsia="宋体" w:cs="Times New Roman"/>
                <w:color w:val="auto"/>
                <w:sz w:val="24"/>
                <w:szCs w:val="24"/>
                <w:highlight w:val="none"/>
                <w:lang w:val="en-US" w:eastAsia="zh-CN"/>
              </w:rPr>
              <w:t>采用喷洒水降尘</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处理效率70%</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灰渣由封闭汽车外运</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满足《大气污染物综合排放标准》（GB16297-1996）表2中无组织排放标准要求。</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综上所述，本项目建设符合《绥化市扬尘综合治理集中整治行动方案》（绥气联发【2021】4号）相关要求。</w:t>
            </w:r>
          </w:p>
          <w:p>
            <w:pPr>
              <w:keepNext w:val="0"/>
              <w:keepLines w:val="0"/>
              <w:pageBreakBefore w:val="0"/>
              <w:shd w:val="clear"/>
              <w:kinsoku/>
              <w:wordWrap/>
              <w:overflowPunct/>
              <w:topLinePunct w:val="0"/>
              <w:autoSpaceDE/>
              <w:autoSpaceDN/>
              <w:bidi w:val="0"/>
              <w:adjustRightInd/>
              <w:snapToGrid/>
              <w:spacing w:line="360" w:lineRule="auto"/>
              <w:jc w:val="both"/>
              <w:textAlignment w:val="auto"/>
              <w:rPr>
                <w:rFonts w:hint="eastAsia" w:ascii="Times New Roman" w:hAnsi="Times New Roman" w:eastAsia="宋体" w:cs="Times New Roman"/>
                <w:b/>
                <w:bCs/>
                <w:color w:val="auto"/>
                <w:kern w:val="0"/>
                <w:sz w:val="24"/>
                <w:szCs w:val="20"/>
                <w:highlight w:val="none"/>
                <w:lang w:val="en-US" w:eastAsia="zh-CN" w:bidi="ar-SA"/>
              </w:rPr>
            </w:pPr>
            <w:r>
              <w:rPr>
                <w:rFonts w:hint="eastAsia" w:ascii="Times New Roman" w:hAnsi="Times New Roman" w:eastAsia="宋体" w:cs="Times New Roman"/>
                <w:b/>
                <w:bCs/>
                <w:color w:val="auto"/>
                <w:kern w:val="0"/>
                <w:sz w:val="24"/>
                <w:szCs w:val="20"/>
                <w:highlight w:val="none"/>
                <w:lang w:val="en-US" w:eastAsia="zh-CN" w:bidi="ar-SA"/>
              </w:rPr>
              <w:t>11.与《黑龙江省空气质量持续改善行动计划实施方案》（黑政发〔2023〕19号）的符合性分析</w:t>
            </w:r>
          </w:p>
          <w:p>
            <w:pPr>
              <w:pStyle w:val="25"/>
              <w:keepNext w:val="0"/>
              <w:keepLines w:val="0"/>
              <w:pageBreakBefore w:val="0"/>
              <w:widowControl/>
              <w:shd w:val="clear"/>
              <w:kinsoku w:val="0"/>
              <w:wordWrap/>
              <w:overflowPunct/>
              <w:topLinePunct w:val="0"/>
              <w:autoSpaceDE w:val="0"/>
              <w:autoSpaceDN w:val="0"/>
              <w:bidi w:val="0"/>
              <w:adjustRightInd w:val="0"/>
              <w:snapToGrid w:val="0"/>
              <w:spacing w:before="0" w:after="0" w:line="360" w:lineRule="auto"/>
              <w:ind w:right="0" w:firstLine="480" w:firstLineChars="200"/>
              <w:jc w:val="both"/>
              <w:textAlignment w:val="baseline"/>
              <w:rPr>
                <w:rFonts w:hint="default"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（1）相关内容</w:t>
            </w:r>
          </w:p>
          <w:p>
            <w:pPr>
              <w:keepNext w:val="0"/>
              <w:keepLines w:val="0"/>
              <w:pageBreakBefore w:val="0"/>
              <w:shd w:val="clear"/>
              <w:wordWrap/>
              <w:overflowPunct/>
              <w:topLinePunct w:val="0"/>
              <w:bidi w:val="0"/>
              <w:spacing w:line="360" w:lineRule="auto"/>
              <w:ind w:firstLine="480" w:firstLineChars="200"/>
              <w:rPr>
                <w:rFonts w:hint="eastAsia"/>
                <w:color w:val="auto"/>
                <w:lang w:val="en-US" w:eastAsia="zh-CN"/>
              </w:rPr>
            </w:pPr>
            <w:r>
              <w:rPr>
                <w:rFonts w:hint="eastAsia" w:ascii="Times New Roman" w:hAnsi="Times New Roman" w:eastAsia="宋体"/>
                <w:bCs/>
                <w:color w:val="auto"/>
                <w:kern w:val="0"/>
                <w:sz w:val="24"/>
                <w:highlight w:val="none"/>
                <w:lang w:val="en-US" w:eastAsia="zh-CN"/>
              </w:rPr>
              <w:t>加强工业企业监管，确保全面稳定达标排放。结合新制修)订的排放标准，推进玻璃、石灰、矿棉、有色等行业实施深度治理。全面排查锅炉、炉窑、VOCs 等低效失效大气污染治理设施，对采用脱硫脱硝一体化、湿法脱硝、微生物法脱硝、单一低温等离子、光氧化、光催化以及非水溶性 VOCs 废气采用单一喷淋吸收等治理工艺实施整治。燃气锅炉实施低氮燃烧改造，对低氮燃烧器、烟气再循环系统、分级燃烧系统、燃料及风量调配系统等关键部件要严把质量关，确保低氮燃烧系统稳定运行。生物质锅炉采用专用锅炉，配套布袋等高效除尘设施，禁止掺烧煤炭、生活垃圾等其他物料</w:t>
            </w:r>
            <w:r>
              <w:rPr>
                <w:rFonts w:hint="eastAsia"/>
                <w:color w:val="auto"/>
                <w:lang w:val="en-US" w:eastAsia="zh-CN"/>
              </w:rPr>
              <w:t>。</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（2）符合性分析</w:t>
            </w:r>
          </w:p>
          <w:p>
            <w:pPr>
              <w:shd w:val="clear"/>
              <w:spacing w:line="360" w:lineRule="auto"/>
              <w:ind w:firstLine="480" w:firstLineChars="200"/>
              <w:rPr>
                <w:rFonts w:hint="eastAsia"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bCs/>
                <w:color w:val="auto"/>
                <w:kern w:val="0"/>
                <w:sz w:val="24"/>
                <w:highlight w:val="none"/>
                <w:lang w:val="en-US" w:eastAsia="zh-CN"/>
              </w:rPr>
              <w:t>1台</w:t>
            </w:r>
            <w:r>
              <w:rPr>
                <w:rFonts w:hint="eastAsia" w:ascii="Times New Roman" w:hAnsi="Times New Roman" w:eastAsia="宋体" w:cs="Times New Roman"/>
                <w:color w:val="auto"/>
                <w:sz w:val="24"/>
                <w:szCs w:val="24"/>
                <w:highlight w:val="none"/>
                <w:lang w:val="en-US" w:eastAsia="zh-CN"/>
              </w:rPr>
              <w:t>4t/h</w:t>
            </w:r>
            <w:r>
              <w:rPr>
                <w:rFonts w:ascii="Times New Roman" w:hAnsi="Times New Roman" w:eastAsia="宋体"/>
                <w:bCs/>
                <w:color w:val="auto"/>
                <w:kern w:val="0"/>
                <w:sz w:val="24"/>
                <w:highlight w:val="none"/>
              </w:rPr>
              <w:t>蒸汽</w:t>
            </w:r>
            <w:r>
              <w:rPr>
                <w:rFonts w:hint="eastAsia" w:ascii="Times New Roman" w:hAnsi="Times New Roman" w:eastAsia="宋体" w:cs="Times New Roman"/>
                <w:color w:val="auto"/>
                <w:sz w:val="24"/>
                <w:szCs w:val="24"/>
                <w:highlight w:val="none"/>
                <w:lang w:val="en-US" w:eastAsia="zh-CN"/>
              </w:rPr>
              <w:t>锅炉，以生物质作为燃料，不使用燃煤，</w:t>
            </w:r>
            <w:r>
              <w:rPr>
                <w:rFonts w:ascii="Times New Roman" w:hAnsi="Times New Roman" w:eastAsia="宋体"/>
                <w:bCs/>
                <w:color w:val="auto"/>
                <w:kern w:val="0"/>
                <w:sz w:val="24"/>
                <w:highlight w:val="none"/>
              </w:rPr>
              <w:t>产生的</w:t>
            </w:r>
            <w:r>
              <w:rPr>
                <w:rFonts w:hint="eastAsia" w:ascii="Times New Roman" w:hAnsi="Times New Roman" w:eastAsia="宋体"/>
                <w:bCs/>
                <w:color w:val="auto"/>
                <w:kern w:val="0"/>
                <w:sz w:val="24"/>
                <w:highlight w:val="none"/>
                <w:lang w:val="en-US" w:eastAsia="zh-CN"/>
              </w:rPr>
              <w:t>废气</w:t>
            </w:r>
            <w:r>
              <w:rPr>
                <w:rFonts w:ascii="Times New Roman" w:hAnsi="Times New Roman" w:eastAsia="宋体"/>
                <w:bCs/>
                <w:color w:val="auto"/>
                <w:kern w:val="0"/>
                <w:sz w:val="24"/>
                <w:highlight w:val="none"/>
              </w:rPr>
              <w:t>经布袋除尘器处理后经3</w:t>
            </w:r>
            <w:r>
              <w:rPr>
                <w:rFonts w:hint="eastAsia" w:ascii="Times New Roman" w:hAnsi="Times New Roman" w:eastAsia="宋体"/>
                <w:bCs/>
                <w:color w:val="auto"/>
                <w:kern w:val="0"/>
                <w:sz w:val="24"/>
                <w:highlight w:val="none"/>
                <w:lang w:val="en-US" w:eastAsia="zh-CN"/>
              </w:rPr>
              <w:t>5</w:t>
            </w:r>
            <w:r>
              <w:rPr>
                <w:rFonts w:ascii="Times New Roman" w:hAnsi="Times New Roman" w:eastAsia="宋体"/>
                <w:bCs/>
                <w:color w:val="auto"/>
                <w:kern w:val="0"/>
                <w:sz w:val="24"/>
                <w:highlight w:val="none"/>
              </w:rPr>
              <w:t>米高烟囱排放，布袋除尘器处理效率为99.9%，满足《锅炉大气污染物排放标准》（GB13271-2014）表2新建锅炉大气污染物排放浓度限值中燃煤锅炉要求</w:t>
            </w:r>
            <w:r>
              <w:rPr>
                <w:rFonts w:hint="eastAsia" w:ascii="Times New Roman" w:hAnsi="Times New Roman" w:eastAsia="宋体"/>
                <w:bCs/>
                <w:color w:val="auto"/>
                <w:kern w:val="0"/>
                <w:sz w:val="24"/>
                <w:highlight w:val="none"/>
                <w:lang w:eastAsia="zh-CN"/>
              </w:rPr>
              <w:t>；</w:t>
            </w:r>
            <w:r>
              <w:rPr>
                <w:rFonts w:hint="eastAsia" w:ascii="Times New Roman" w:hAnsi="Times New Roman" w:eastAsia="宋体" w:cs="Times New Roman"/>
                <w:b w:val="0"/>
                <w:bCs w:val="0"/>
                <w:color w:val="auto"/>
                <w:sz w:val="24"/>
                <w:highlight w:val="none"/>
                <w:lang w:eastAsia="zh-CN"/>
              </w:rPr>
              <w:t>玉米蒸煮工序会产生少量异味（以臭气浓度计），蒸煮工序产生异味在生产车间内散溢，加强车间通风，蒸煮工序异味对外环境影响较小。厂界臭气浓度能够满足《恶臭污染物排放标准》（GB14554-93）表2中臭气浓度20（无量纲）标准限值。通过相应大气污染防治措施可使全部大气污染物达标排放，</w:t>
            </w:r>
            <w:r>
              <w:rPr>
                <w:rFonts w:hint="eastAsia" w:ascii="Times New Roman" w:hAnsi="Times New Roman" w:eastAsia="宋体" w:cs="Times New Roman"/>
                <w:b w:val="0"/>
                <w:bCs w:val="0"/>
                <w:color w:val="auto"/>
                <w:sz w:val="24"/>
                <w:highlight w:val="none"/>
                <w:lang w:val="en-US" w:eastAsia="zh-CN"/>
              </w:rPr>
              <w:t>颗粒物、二氧化硫、氮氧化物核定排放总量分别为0.164t/a、0.790t/a、0.987t/a</w:t>
            </w:r>
            <w:r>
              <w:rPr>
                <w:rFonts w:hint="eastAsia" w:ascii="Times New Roman" w:hAnsi="Times New Roman" w:eastAsia="宋体" w:cs="Times New Roman"/>
                <w:b w:val="0"/>
                <w:bCs w:val="0"/>
                <w:color w:val="auto"/>
                <w:sz w:val="24"/>
                <w:highlight w:val="none"/>
                <w:lang w:eastAsia="zh-CN"/>
              </w:rPr>
              <w:t>对环境空气影响较小。</w:t>
            </w:r>
            <w:r>
              <w:rPr>
                <w:rFonts w:hint="eastAsia" w:ascii="Times New Roman" w:hAnsi="Times New Roman" w:eastAsia="宋体" w:cs="Times New Roman"/>
                <w:b w:val="0"/>
                <w:bCs w:val="0"/>
                <w:color w:val="auto"/>
                <w:sz w:val="24"/>
                <w:highlight w:val="none"/>
                <w:lang w:val="en-US" w:eastAsia="zh-CN"/>
              </w:rPr>
              <w:t>符合《黑龙江省空气质量持续改善行动计划实施方案》相关要求。</w:t>
            </w:r>
          </w:p>
          <w:p>
            <w:pPr>
              <w:keepNext w:val="0"/>
              <w:keepLines w:val="0"/>
              <w:pageBreakBefore w:val="0"/>
              <w:shd w:val="clear"/>
              <w:kinsoku/>
              <w:wordWrap/>
              <w:overflowPunct/>
              <w:topLinePunct w:val="0"/>
              <w:autoSpaceDE/>
              <w:autoSpaceDN/>
              <w:bidi w:val="0"/>
              <w:adjustRightInd/>
              <w:snapToGrid/>
              <w:spacing w:line="360" w:lineRule="auto"/>
              <w:jc w:val="both"/>
              <w:textAlignment w:val="auto"/>
              <w:rPr>
                <w:rFonts w:hint="eastAsia" w:ascii="Times New Roman" w:hAnsi="Times New Roman" w:eastAsia="宋体" w:cs="Times New Roman"/>
                <w:b/>
                <w:bCs/>
                <w:color w:val="auto"/>
                <w:kern w:val="0"/>
                <w:sz w:val="24"/>
                <w:szCs w:val="20"/>
                <w:highlight w:val="none"/>
                <w:lang w:val="en-US" w:eastAsia="zh-CN" w:bidi="ar-SA"/>
              </w:rPr>
            </w:pPr>
            <w:r>
              <w:rPr>
                <w:rFonts w:hint="eastAsia" w:ascii="Times New Roman" w:hAnsi="Times New Roman" w:eastAsia="宋体" w:cs="Times New Roman"/>
                <w:b/>
                <w:bCs/>
                <w:color w:val="auto"/>
                <w:kern w:val="0"/>
                <w:sz w:val="24"/>
                <w:szCs w:val="20"/>
                <w:highlight w:val="none"/>
                <w:lang w:val="en-US" w:eastAsia="zh-CN" w:bidi="ar-SA"/>
              </w:rPr>
              <w:t>12.与《黑龙江省水污染防治条例》（2023年12月1日施行）的符合性分析</w:t>
            </w:r>
          </w:p>
          <w:p>
            <w:pPr>
              <w:pStyle w:val="25"/>
              <w:keepNext w:val="0"/>
              <w:keepLines w:val="0"/>
              <w:pageBreakBefore w:val="0"/>
              <w:widowControl/>
              <w:shd w:val="clear"/>
              <w:kinsoku w:val="0"/>
              <w:wordWrap/>
              <w:overflowPunct/>
              <w:topLinePunct w:val="0"/>
              <w:autoSpaceDE w:val="0"/>
              <w:autoSpaceDN w:val="0"/>
              <w:bidi w:val="0"/>
              <w:adjustRightInd w:val="0"/>
              <w:snapToGrid w:val="0"/>
              <w:spacing w:before="0" w:after="0" w:line="360" w:lineRule="auto"/>
              <w:ind w:right="0" w:firstLine="480" w:firstLineChars="200"/>
              <w:jc w:val="both"/>
              <w:textAlignment w:val="baseline"/>
              <w:rPr>
                <w:rFonts w:hint="default" w:ascii="Times New Roman" w:hAnsi="Times New Roman" w:eastAsia="宋体" w:cs="Times New Roman"/>
                <w:bCs/>
                <w:color w:val="auto"/>
                <w:kern w:val="0"/>
                <w:sz w:val="24"/>
                <w:szCs w:val="24"/>
                <w:highlight w:val="none"/>
                <w:lang w:val="en-US" w:eastAsia="zh-CN" w:bidi="ar-SA"/>
              </w:rPr>
            </w:pPr>
            <w:r>
              <w:rPr>
                <w:rFonts w:hint="default" w:ascii="Times New Roman" w:hAnsi="Times New Roman" w:eastAsia="宋体" w:cs="Times New Roman"/>
                <w:bCs/>
                <w:color w:val="auto"/>
                <w:kern w:val="0"/>
                <w:sz w:val="24"/>
                <w:szCs w:val="24"/>
                <w:highlight w:val="none"/>
                <w:lang w:val="en-US" w:eastAsia="zh-CN" w:bidi="ar-SA"/>
              </w:rPr>
              <w:t>（1）相关内容</w:t>
            </w:r>
          </w:p>
          <w:p>
            <w:pPr>
              <w:pStyle w:val="9"/>
              <w:keepNext w:val="0"/>
              <w:keepLines w:val="0"/>
              <w:pageBreakBefore w:val="0"/>
              <w:widowControl/>
              <w:shd w:val="clear"/>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bCs/>
                <w:color w:val="auto"/>
                <w:kern w:val="0"/>
                <w:sz w:val="24"/>
                <w:szCs w:val="24"/>
                <w:highlight w:val="none"/>
                <w:lang w:val="en-US" w:eastAsia="zh-CN" w:bidi="ar-SA"/>
              </w:rPr>
            </w:pPr>
            <w:r>
              <w:rPr>
                <w:rFonts w:hint="default" w:ascii="Times New Roman" w:hAnsi="Times New Roman" w:eastAsia="宋体" w:cs="Times New Roman"/>
                <w:bCs/>
                <w:color w:val="auto"/>
                <w:kern w:val="0"/>
                <w:sz w:val="24"/>
                <w:szCs w:val="24"/>
                <w:highlight w:val="none"/>
                <w:lang w:val="en-US" w:eastAsia="zh-CN" w:bidi="ar-SA"/>
              </w:rPr>
              <w:t>第三十三条 排放工业废水的企业应当采取有效措施</w:t>
            </w:r>
            <w:r>
              <w:rPr>
                <w:rFonts w:hint="eastAsia" w:cs="Times New Roman"/>
                <w:bCs/>
                <w:color w:val="auto"/>
                <w:kern w:val="0"/>
                <w:sz w:val="24"/>
                <w:szCs w:val="24"/>
                <w:highlight w:val="none"/>
                <w:lang w:val="en-US" w:eastAsia="zh-CN" w:bidi="ar-SA"/>
              </w:rPr>
              <w:t>，</w:t>
            </w:r>
            <w:r>
              <w:rPr>
                <w:rFonts w:hint="default" w:ascii="Times New Roman" w:hAnsi="Times New Roman" w:eastAsia="宋体" w:cs="Times New Roman"/>
                <w:bCs/>
                <w:color w:val="auto"/>
                <w:kern w:val="0"/>
                <w:sz w:val="24"/>
                <w:szCs w:val="24"/>
                <w:highlight w:val="none"/>
                <w:lang w:val="en-US" w:eastAsia="zh-CN" w:bidi="ar-SA"/>
              </w:rPr>
              <w:t>收集和处理产生的全部废水，防止污染环境。含有毒有害水污染物的工业废水应当分类收集和处理，不得稀释排放。新建冶金、电镀、化工、印染、原料药制造等工业企业，排放的含重金属或者难以生化降解废水，以及有关工业企业排放的高盐废水，不得排入城镇污水集中处理设施，但具有工业废水处理资质且出水达到国家标准的原料药制造企业除外;对已经接入城镇污水集中处理设施的工业企业进行排查、评估,经评估认定污染物不能被城镇污水处理厂有效处理或者可能影响城镇污水处理厂出水稳定达标的，限期退出城镇污水管网。</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（2）符合性分析</w:t>
            </w:r>
          </w:p>
          <w:p>
            <w:pPr>
              <w:pStyle w:val="10"/>
              <w:keepNext w:val="0"/>
              <w:keepLines w:val="0"/>
              <w:pageBreakBefore w:val="0"/>
              <w:widowControl/>
              <w:shd w:val="clea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color w:val="auto"/>
                <w:kern w:val="0"/>
                <w:sz w:val="24"/>
                <w:szCs w:val="24"/>
                <w:highlight w:val="none"/>
                <w:lang w:val="en-US" w:eastAsia="zh-CN" w:bidi="ar-SA"/>
              </w:rPr>
            </w:pPr>
            <w:r>
              <w:rPr>
                <w:rFonts w:hint="eastAsia" w:ascii="Times New Roman" w:hAnsi="Times New Roman" w:eastAsia="宋体" w:cs="Times New Roman"/>
                <w:bCs/>
                <w:color w:val="auto"/>
                <w:kern w:val="0"/>
                <w:sz w:val="24"/>
                <w:szCs w:val="24"/>
                <w:highlight w:val="none"/>
                <w:lang w:val="en-US" w:eastAsia="zh-CN" w:bidi="ar-SA"/>
              </w:rPr>
              <w:t>本项目生活污水排入防渗化粪池，定期清掏；生产废水（车间地面冲洗废水、清洗废水、锅炉排污水及软化废水）暂存于60m</w:t>
            </w:r>
            <w:r>
              <w:rPr>
                <w:rFonts w:hint="eastAsia" w:ascii="Times New Roman" w:hAnsi="Times New Roman" w:eastAsia="宋体" w:cs="Times New Roman"/>
                <w:bCs/>
                <w:color w:val="auto"/>
                <w:kern w:val="0"/>
                <w:sz w:val="24"/>
                <w:szCs w:val="24"/>
                <w:highlight w:val="none"/>
                <w:vertAlign w:val="superscript"/>
                <w:lang w:val="en-US" w:eastAsia="zh-CN" w:bidi="ar-SA"/>
              </w:rPr>
              <w:t>3</w:t>
            </w:r>
            <w:r>
              <w:rPr>
                <w:rFonts w:hint="eastAsia" w:ascii="Times New Roman" w:hAnsi="Times New Roman" w:eastAsia="宋体" w:cs="Times New Roman"/>
                <w:bCs/>
                <w:color w:val="auto"/>
                <w:kern w:val="0"/>
                <w:sz w:val="24"/>
                <w:szCs w:val="24"/>
                <w:highlight w:val="none"/>
                <w:lang w:val="en-US" w:eastAsia="zh-CN" w:bidi="ar-SA"/>
              </w:rPr>
              <w:t>的密闭储罐内，每天由专用罐车拉运至海伦市污水处理厂处理，日产日清。经海伦市污水处理厂处理后污水满足《城镇污水处理厂污染物排放标准》（GB18918-2002）一级A标准后排放。符合《黑龙江省水污染防治条例》（2023年12月1日施行）相关要求。</w:t>
            </w:r>
          </w:p>
          <w:p>
            <w:pPr>
              <w:pStyle w:val="11"/>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eastAsia" w:ascii="Times New Roman" w:hAnsi="Times New Roman" w:eastAsia="宋体" w:cs="Times New Roman"/>
                <w:bCs/>
                <w:color w:val="auto"/>
                <w:kern w:val="0"/>
                <w:sz w:val="24"/>
                <w:szCs w:val="24"/>
                <w:highlight w:val="none"/>
                <w:lang w:val="en-US" w:eastAsia="zh-CN" w:bidi="ar-SA"/>
              </w:rPr>
            </w:pPr>
          </w:p>
          <w:p>
            <w:pPr>
              <w:shd w:val="clear"/>
              <w:rPr>
                <w:rFonts w:hint="default" w:ascii="Times New Roman" w:hAnsi="Times New Roman" w:eastAsia="宋体" w:cs="Times New Roman"/>
                <w:bCs/>
                <w:color w:val="auto"/>
                <w:kern w:val="0"/>
                <w:sz w:val="24"/>
                <w:szCs w:val="24"/>
                <w:highlight w:val="none"/>
                <w:lang w:val="en-US" w:eastAsia="zh-CN" w:bidi="ar-SA"/>
              </w:rPr>
            </w:pPr>
          </w:p>
        </w:tc>
      </w:tr>
    </w:tbl>
    <w:p>
      <w:pPr>
        <w:shd w:val="clear"/>
        <w:spacing w:line="360" w:lineRule="auto"/>
        <w:outlineLvl w:val="0"/>
        <w:rPr>
          <w:color w:val="auto"/>
          <w:sz w:val="30"/>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19"/>
        <w:shd w:val="clear"/>
        <w:tabs>
          <w:tab w:val="right" w:leader="dot" w:pos="8844"/>
        </w:tabs>
        <w:spacing w:after="240" w:afterLines="100"/>
        <w:jc w:val="center"/>
        <w:outlineLvl w:val="0"/>
        <w:rPr>
          <w:rFonts w:eastAsia="黑体"/>
          <w:snapToGrid w:val="0"/>
          <w:color w:val="auto"/>
          <w:sz w:val="30"/>
          <w:szCs w:val="30"/>
        </w:rPr>
      </w:pPr>
      <w:bookmarkStart w:id="3" w:name="_Toc2599"/>
      <w:r>
        <w:rPr>
          <w:rFonts w:eastAsia="黑体"/>
          <w:snapToGrid w:val="0"/>
          <w:color w:val="auto"/>
          <w:sz w:val="30"/>
          <w:szCs w:val="30"/>
        </w:rPr>
        <w:t>二、建设项目工程分析</w:t>
      </w:r>
      <w:bookmarkEnd w:id="3"/>
    </w:p>
    <w:tbl>
      <w:tblPr>
        <w:tblStyle w:val="27"/>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4"/>
        <w:gridCol w:w="86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6" w:type="pct"/>
            <w:vAlign w:val="center"/>
          </w:tcPr>
          <w:p>
            <w:pPr>
              <w:pStyle w:val="23"/>
              <w:shd w:val="clear"/>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Cs w:val="24"/>
              </w:rPr>
              <w:t>建设内容</w:t>
            </w:r>
          </w:p>
        </w:tc>
        <w:tc>
          <w:tcPr>
            <w:tcW w:w="4733" w:type="pct"/>
          </w:tcPr>
          <w:p>
            <w:pPr>
              <w:pStyle w:val="41"/>
              <w:shd w:val="clear"/>
              <w:adjustRightInd w:val="0"/>
              <w:snapToGrid w:val="0"/>
              <w:spacing w:beforeLines="0" w:afterLines="0" w:line="360" w:lineRule="auto"/>
              <w:ind w:firstLine="482"/>
              <w:rPr>
                <w:b/>
                <w:bCs/>
                <w:color w:val="auto"/>
              </w:rPr>
            </w:pPr>
            <w:r>
              <w:rPr>
                <w:rFonts w:hint="eastAsia"/>
                <w:b/>
                <w:bCs/>
                <w:color w:val="auto"/>
              </w:rPr>
              <w:t>1.</w:t>
            </w:r>
            <w:r>
              <w:rPr>
                <w:b/>
                <w:bCs/>
                <w:color w:val="auto"/>
              </w:rPr>
              <w:t>建设内容</w:t>
            </w:r>
          </w:p>
          <w:p>
            <w:pPr>
              <w:pStyle w:val="41"/>
              <w:shd w:val="clear"/>
              <w:adjustRightInd w:val="0"/>
              <w:snapToGrid w:val="0"/>
              <w:spacing w:beforeLines="0" w:afterLines="0" w:line="360" w:lineRule="auto"/>
              <w:ind w:firstLine="480"/>
              <w:rPr>
                <w:color w:val="auto"/>
              </w:rPr>
            </w:pPr>
            <w:r>
              <w:rPr>
                <w:color w:val="auto"/>
              </w:rPr>
              <w:t>（1）建设规模</w:t>
            </w:r>
          </w:p>
          <w:p>
            <w:pPr>
              <w:pStyle w:val="41"/>
              <w:shd w:val="clear"/>
              <w:adjustRightInd w:val="0"/>
              <w:snapToGrid w:val="0"/>
              <w:spacing w:beforeLines="0" w:afterLines="0" w:line="360" w:lineRule="auto"/>
              <w:ind w:firstLine="480"/>
              <w:rPr>
                <w:color w:val="auto"/>
                <w:shd w:val="clear"/>
              </w:rPr>
            </w:pPr>
            <w:r>
              <w:rPr>
                <w:color w:val="auto"/>
              </w:rPr>
              <w:t>本项目新建</w:t>
            </w:r>
            <w:r>
              <w:rPr>
                <w:rFonts w:hint="eastAsia"/>
                <w:color w:val="auto"/>
                <w:lang w:val="en-US" w:eastAsia="zh-CN"/>
              </w:rPr>
              <w:t>4</w:t>
            </w:r>
            <w:r>
              <w:rPr>
                <w:color w:val="auto"/>
              </w:rPr>
              <w:t>条</w:t>
            </w:r>
            <w:r>
              <w:rPr>
                <w:rFonts w:hint="default" w:ascii="Times New Roman" w:hAnsi="Times New Roman" w:cs="Times New Roman"/>
                <w:b w:val="0"/>
                <w:bCs w:val="0"/>
                <w:color w:val="auto"/>
                <w:lang w:eastAsia="zh-CN"/>
              </w:rPr>
              <w:t>鲜食玉米</w:t>
            </w:r>
            <w:r>
              <w:rPr>
                <w:rFonts w:hint="default" w:ascii="Times New Roman" w:hAnsi="Times New Roman" w:cs="Times New Roman"/>
                <w:b w:val="0"/>
                <w:bCs w:val="0"/>
                <w:color w:val="auto"/>
              </w:rPr>
              <w:t>生产线</w:t>
            </w:r>
            <w:r>
              <w:rPr>
                <w:color w:val="auto"/>
              </w:rPr>
              <w:t>，</w:t>
            </w:r>
            <w:r>
              <w:rPr>
                <w:rFonts w:hint="eastAsia"/>
                <w:color w:val="auto"/>
              </w:rPr>
              <w:t>年产</w:t>
            </w:r>
            <w:r>
              <w:rPr>
                <w:rFonts w:hint="eastAsia"/>
                <w:color w:val="auto"/>
                <w:lang w:val="en-US" w:eastAsia="zh-CN"/>
              </w:rPr>
              <w:t>鲜食</w:t>
            </w:r>
            <w:r>
              <w:rPr>
                <w:color w:val="auto"/>
              </w:rPr>
              <w:t>玉米</w:t>
            </w:r>
            <w:r>
              <w:rPr>
                <w:rFonts w:hint="eastAsia"/>
                <w:color w:val="auto"/>
              </w:rPr>
              <w:t>棒</w:t>
            </w:r>
            <w:r>
              <w:rPr>
                <w:color w:val="auto"/>
              </w:rPr>
              <w:t>为</w:t>
            </w:r>
            <w:r>
              <w:rPr>
                <w:rFonts w:hint="eastAsia"/>
                <w:color w:val="auto"/>
                <w:lang w:val="en-US" w:eastAsia="zh-CN"/>
              </w:rPr>
              <w:t>6500</w:t>
            </w:r>
            <w:r>
              <w:rPr>
                <w:rFonts w:hint="eastAsia"/>
                <w:color w:val="auto"/>
              </w:rPr>
              <w:t>吨，即</w:t>
            </w:r>
            <w:r>
              <w:rPr>
                <w:rFonts w:hint="eastAsia"/>
                <w:color w:val="auto"/>
                <w:lang w:val="en-US" w:eastAsia="zh-CN"/>
              </w:rPr>
              <w:t>鲜食</w:t>
            </w:r>
            <w:r>
              <w:rPr>
                <w:color w:val="auto"/>
              </w:rPr>
              <w:t>玉米</w:t>
            </w:r>
            <w:r>
              <w:rPr>
                <w:rFonts w:hint="eastAsia"/>
                <w:color w:val="auto"/>
              </w:rPr>
              <w:t>棒</w:t>
            </w:r>
            <w:r>
              <w:rPr>
                <w:rFonts w:hint="eastAsia"/>
                <w:color w:val="auto"/>
                <w:lang w:val="en-US" w:eastAsia="zh-CN"/>
              </w:rPr>
              <w:t>15</w:t>
            </w:r>
            <w:r>
              <w:rPr>
                <w:rFonts w:hint="eastAsia"/>
                <w:color w:val="auto"/>
              </w:rPr>
              <w:t>00万</w:t>
            </w:r>
            <w:r>
              <w:rPr>
                <w:color w:val="auto"/>
              </w:rPr>
              <w:t>穗。本项目总占地面积为</w:t>
            </w:r>
            <w:r>
              <w:rPr>
                <w:rFonts w:hint="eastAsia"/>
                <w:color w:val="auto"/>
                <w:szCs w:val="21"/>
                <w:lang w:val="en-US" w:eastAsia="zh-CN"/>
              </w:rPr>
              <w:t>8487.58</w:t>
            </w:r>
            <w:r>
              <w:rPr>
                <w:color w:val="auto"/>
              </w:rPr>
              <w:t>m</w:t>
            </w:r>
            <w:r>
              <w:rPr>
                <w:color w:val="auto"/>
                <w:vertAlign w:val="superscript"/>
              </w:rPr>
              <w:t>2</w:t>
            </w:r>
            <w:r>
              <w:rPr>
                <w:color w:val="auto"/>
              </w:rPr>
              <w:t>，总建筑面积</w:t>
            </w:r>
            <w:r>
              <w:rPr>
                <w:rFonts w:hint="eastAsia"/>
                <w:color w:val="auto"/>
                <w:shd w:val="clear"/>
                <w:lang w:val="en-US" w:eastAsia="zh-CN"/>
              </w:rPr>
              <w:t>5977.48</w:t>
            </w:r>
            <w:r>
              <w:rPr>
                <w:color w:val="auto"/>
              </w:rPr>
              <w:t>m</w:t>
            </w:r>
            <w:r>
              <w:rPr>
                <w:color w:val="auto"/>
                <w:vertAlign w:val="superscript"/>
              </w:rPr>
              <w:t>2</w:t>
            </w:r>
            <w:r>
              <w:rPr>
                <w:color w:val="auto"/>
              </w:rPr>
              <w:t>。厂区平面布置</w:t>
            </w:r>
            <w:r>
              <w:rPr>
                <w:color w:val="auto"/>
                <w:shd w:val="clear"/>
              </w:rPr>
              <w:t>见附图</w:t>
            </w:r>
            <w:r>
              <w:rPr>
                <w:rFonts w:hint="eastAsia"/>
                <w:color w:val="auto"/>
                <w:shd w:val="clear"/>
              </w:rPr>
              <w:t>2</w:t>
            </w:r>
            <w:r>
              <w:rPr>
                <w:color w:val="auto"/>
                <w:shd w:val="clear"/>
              </w:rPr>
              <w:t>。</w:t>
            </w:r>
          </w:p>
          <w:p>
            <w:pPr>
              <w:pStyle w:val="41"/>
              <w:shd w:val="clear"/>
              <w:adjustRightInd w:val="0"/>
              <w:snapToGrid w:val="0"/>
              <w:spacing w:beforeLines="0" w:afterLines="0" w:line="360" w:lineRule="auto"/>
              <w:ind w:firstLine="480"/>
              <w:rPr>
                <w:color w:val="auto"/>
              </w:rPr>
            </w:pPr>
            <w:r>
              <w:rPr>
                <w:color w:val="auto"/>
              </w:rPr>
              <w:t>（2）建设内容</w:t>
            </w:r>
          </w:p>
          <w:p>
            <w:pPr>
              <w:pStyle w:val="41"/>
              <w:shd w:val="clear"/>
              <w:adjustRightInd w:val="0"/>
              <w:snapToGrid w:val="0"/>
              <w:spacing w:beforeLines="0" w:afterLines="0" w:line="360" w:lineRule="auto"/>
              <w:ind w:firstLine="480"/>
              <w:rPr>
                <w:color w:val="auto"/>
                <w:sz w:val="24"/>
                <w:szCs w:val="24"/>
              </w:rPr>
            </w:pPr>
            <w:r>
              <w:rPr>
                <w:rFonts w:hint="eastAsia"/>
                <w:color w:val="auto"/>
              </w:rPr>
              <w:t>本项目建设生产</w:t>
            </w:r>
            <w:r>
              <w:rPr>
                <w:rFonts w:hint="eastAsia"/>
                <w:color w:val="auto"/>
                <w:lang w:val="en-US" w:eastAsia="zh-CN"/>
              </w:rPr>
              <w:t>厂房</w:t>
            </w:r>
            <w:r>
              <w:rPr>
                <w:rFonts w:hint="eastAsia"/>
                <w:color w:val="auto"/>
              </w:rPr>
              <w:t>1座</w:t>
            </w:r>
            <w:r>
              <w:rPr>
                <w:rFonts w:hint="eastAsia"/>
                <w:color w:val="auto"/>
                <w:lang w:eastAsia="zh-CN"/>
              </w:rPr>
              <w:t>，</w:t>
            </w:r>
            <w:r>
              <w:rPr>
                <w:color w:val="auto"/>
                <w:szCs w:val="21"/>
                <w:highlight w:val="none"/>
              </w:rPr>
              <w:t>内设</w:t>
            </w:r>
            <w:r>
              <w:rPr>
                <w:rFonts w:hint="eastAsia"/>
                <w:color w:val="auto"/>
                <w:szCs w:val="21"/>
                <w:highlight w:val="none"/>
                <w:lang w:val="en-US" w:eastAsia="zh-CN"/>
              </w:rPr>
              <w:t>生产车间、锅炉房、办公室成品库</w:t>
            </w:r>
            <w:r>
              <w:rPr>
                <w:rFonts w:hint="eastAsia"/>
                <w:color w:val="auto"/>
                <w:lang w:val="en-US" w:eastAsia="zh-CN"/>
              </w:rPr>
              <w:t>等，</w:t>
            </w:r>
            <w:r>
              <w:rPr>
                <w:rFonts w:hint="eastAsia"/>
                <w:color w:val="auto"/>
              </w:rPr>
              <w:t>并配套建设环保工程等</w:t>
            </w:r>
            <w:r>
              <w:rPr>
                <w:color w:val="auto"/>
              </w:rPr>
              <w:t>。</w:t>
            </w:r>
            <w:r>
              <w:rPr>
                <w:color w:val="auto"/>
                <w:sz w:val="24"/>
                <w:szCs w:val="24"/>
              </w:rPr>
              <w:t>具体内容见下表2-1。</w:t>
            </w:r>
          </w:p>
          <w:p>
            <w:pPr>
              <w:pStyle w:val="41"/>
              <w:shd w:val="clear"/>
              <w:adjustRightInd w:val="0"/>
              <w:snapToGrid w:val="0"/>
              <w:spacing w:beforeLines="0" w:afterLines="0"/>
              <w:ind w:firstLine="0" w:firstLineChars="0"/>
              <w:jc w:val="center"/>
              <w:textAlignment w:val="baseline"/>
              <w:rPr>
                <w:b/>
                <w:color w:val="auto"/>
                <w:sz w:val="24"/>
                <w:szCs w:val="24"/>
              </w:rPr>
            </w:pPr>
            <w:r>
              <w:rPr>
                <w:b/>
                <w:color w:val="auto"/>
                <w:sz w:val="24"/>
                <w:szCs w:val="24"/>
              </w:rPr>
              <w:t>表2-1  项目工程组成一览表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856"/>
              <w:gridCol w:w="6184"/>
              <w:gridCol w:w="7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tcBorders>
                    <w:tl2br w:val="nil"/>
                    <w:tr2bl w:val="nil"/>
                  </w:tcBorders>
                  <w:vAlign w:val="center"/>
                </w:tcPr>
                <w:p>
                  <w:pPr>
                    <w:shd w:val="clear"/>
                    <w:jc w:val="center"/>
                    <w:rPr>
                      <w:color w:val="auto"/>
                      <w:szCs w:val="21"/>
                    </w:rPr>
                  </w:pPr>
                  <w:r>
                    <w:rPr>
                      <w:color w:val="auto"/>
                      <w:szCs w:val="21"/>
                    </w:rPr>
                    <w:t>工程</w:t>
                  </w:r>
                </w:p>
                <w:p>
                  <w:pPr>
                    <w:shd w:val="clear"/>
                    <w:jc w:val="center"/>
                    <w:rPr>
                      <w:color w:val="auto"/>
                      <w:szCs w:val="21"/>
                    </w:rPr>
                  </w:pPr>
                  <w:r>
                    <w:rPr>
                      <w:color w:val="auto"/>
                      <w:szCs w:val="21"/>
                    </w:rPr>
                    <w:t>内容</w:t>
                  </w:r>
                </w:p>
              </w:tc>
              <w:tc>
                <w:tcPr>
                  <w:tcW w:w="509" w:type="pct"/>
                  <w:tcBorders>
                    <w:tl2br w:val="nil"/>
                    <w:tr2bl w:val="nil"/>
                  </w:tcBorders>
                  <w:vAlign w:val="center"/>
                </w:tcPr>
                <w:p>
                  <w:pPr>
                    <w:shd w:val="clear"/>
                    <w:jc w:val="center"/>
                    <w:rPr>
                      <w:color w:val="auto"/>
                      <w:szCs w:val="21"/>
                    </w:rPr>
                  </w:pPr>
                  <w:r>
                    <w:rPr>
                      <w:color w:val="auto"/>
                      <w:szCs w:val="21"/>
                    </w:rPr>
                    <w:t>项目</w:t>
                  </w:r>
                </w:p>
                <w:p>
                  <w:pPr>
                    <w:shd w:val="clear"/>
                    <w:jc w:val="center"/>
                    <w:rPr>
                      <w:color w:val="auto"/>
                      <w:szCs w:val="21"/>
                    </w:rPr>
                  </w:pPr>
                  <w:r>
                    <w:rPr>
                      <w:color w:val="auto"/>
                      <w:szCs w:val="21"/>
                    </w:rPr>
                    <w:t>名称</w:t>
                  </w:r>
                </w:p>
              </w:tc>
              <w:tc>
                <w:tcPr>
                  <w:tcW w:w="3677" w:type="pct"/>
                  <w:tcBorders>
                    <w:tl2br w:val="nil"/>
                    <w:tr2bl w:val="nil"/>
                  </w:tcBorders>
                  <w:vAlign w:val="center"/>
                </w:tcPr>
                <w:p>
                  <w:pPr>
                    <w:shd w:val="clear"/>
                    <w:jc w:val="center"/>
                    <w:rPr>
                      <w:color w:val="auto"/>
                      <w:szCs w:val="21"/>
                    </w:rPr>
                  </w:pPr>
                  <w:r>
                    <w:rPr>
                      <w:color w:val="auto"/>
                      <w:szCs w:val="21"/>
                    </w:rPr>
                    <w:t>项目建设内容</w:t>
                  </w:r>
                </w:p>
              </w:tc>
              <w:tc>
                <w:tcPr>
                  <w:tcW w:w="417" w:type="pct"/>
                  <w:tcBorders>
                    <w:tl2br w:val="nil"/>
                    <w:tr2bl w:val="nil"/>
                  </w:tcBorders>
                  <w:vAlign w:val="center"/>
                </w:tcPr>
                <w:p>
                  <w:pPr>
                    <w:shd w:val="clear"/>
                    <w:jc w:val="center"/>
                    <w:rPr>
                      <w:color w:val="auto"/>
                      <w:szCs w:val="21"/>
                    </w:rPr>
                  </w:pPr>
                  <w:r>
                    <w:rPr>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396" w:type="pct"/>
                  <w:tcBorders>
                    <w:tl2br w:val="nil"/>
                    <w:tr2bl w:val="nil"/>
                  </w:tcBorders>
                  <w:vAlign w:val="center"/>
                </w:tcPr>
                <w:p>
                  <w:pPr>
                    <w:shd w:val="clear"/>
                    <w:jc w:val="center"/>
                    <w:rPr>
                      <w:color w:val="auto"/>
                      <w:szCs w:val="21"/>
                    </w:rPr>
                  </w:pPr>
                  <w:r>
                    <w:rPr>
                      <w:color w:val="auto"/>
                      <w:szCs w:val="21"/>
                    </w:rPr>
                    <w:t>主体</w:t>
                  </w:r>
                </w:p>
                <w:p>
                  <w:pPr>
                    <w:shd w:val="clear"/>
                    <w:jc w:val="center"/>
                    <w:rPr>
                      <w:color w:val="auto"/>
                      <w:szCs w:val="21"/>
                    </w:rPr>
                  </w:pPr>
                  <w:r>
                    <w:rPr>
                      <w:color w:val="auto"/>
                      <w:szCs w:val="21"/>
                    </w:rPr>
                    <w:t>工程</w:t>
                  </w:r>
                </w:p>
              </w:tc>
              <w:tc>
                <w:tcPr>
                  <w:tcW w:w="509" w:type="pct"/>
                  <w:tcBorders>
                    <w:tl2br w:val="nil"/>
                    <w:tr2bl w:val="nil"/>
                  </w:tcBorders>
                  <w:vAlign w:val="center"/>
                </w:tcPr>
                <w:p>
                  <w:pPr>
                    <w:shd w:val="clear"/>
                    <w:jc w:val="center"/>
                    <w:rPr>
                      <w:color w:val="auto"/>
                    </w:rPr>
                  </w:pPr>
                  <w:r>
                    <w:rPr>
                      <w:rFonts w:hint="eastAsia"/>
                      <w:color w:val="auto"/>
                    </w:rPr>
                    <w:t>生产</w:t>
                  </w:r>
                </w:p>
                <w:p>
                  <w:pPr>
                    <w:shd w:val="clear"/>
                    <w:jc w:val="center"/>
                    <w:rPr>
                      <w:color w:val="auto"/>
                      <w:szCs w:val="21"/>
                    </w:rPr>
                  </w:pPr>
                  <w:r>
                    <w:rPr>
                      <w:rFonts w:hint="eastAsia"/>
                      <w:color w:val="auto"/>
                    </w:rPr>
                    <w:t>车间</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firstLine="420" w:firstLineChars="200"/>
                    <w:jc w:val="both"/>
                    <w:textAlignment w:val="auto"/>
                    <w:rPr>
                      <w:rFonts w:hint="eastAsia" w:eastAsia="宋体"/>
                      <w:color w:val="auto"/>
                      <w:lang w:val="en-US" w:eastAsia="zh-CN"/>
                    </w:rPr>
                  </w:pPr>
                  <w:r>
                    <w:rPr>
                      <w:rFonts w:hint="default" w:ascii="Times New Roman" w:hAnsi="Times New Roman" w:cs="Times New Roman"/>
                      <w:color w:val="auto"/>
                      <w:sz w:val="21"/>
                      <w:szCs w:val="21"/>
                      <w:lang w:eastAsia="zh-CN"/>
                    </w:rPr>
                    <w:t>位于</w:t>
                  </w:r>
                  <w:r>
                    <w:rPr>
                      <w:rFonts w:hint="eastAsia" w:cs="Times New Roman"/>
                      <w:color w:val="auto"/>
                      <w:sz w:val="21"/>
                      <w:szCs w:val="21"/>
                      <w:lang w:val="en-US" w:eastAsia="zh-CN"/>
                    </w:rPr>
                    <w:t>生产厂房东侧</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建筑</w:t>
                  </w:r>
                  <w:r>
                    <w:rPr>
                      <w:rFonts w:hint="default" w:ascii="Times New Roman" w:hAnsi="Times New Roman" w:cs="Times New Roman"/>
                      <w:color w:val="auto"/>
                      <w:sz w:val="21"/>
                      <w:szCs w:val="21"/>
                      <w:highlight w:val="none"/>
                    </w:rPr>
                    <w:t>面积</w:t>
                  </w:r>
                  <w:r>
                    <w:rPr>
                      <w:rFonts w:hint="eastAsia" w:cs="Times New Roman"/>
                      <w:color w:val="auto"/>
                      <w:sz w:val="21"/>
                      <w:szCs w:val="21"/>
                      <w:highlight w:val="none"/>
                      <w:lang w:val="en-US" w:eastAsia="zh-CN"/>
                    </w:rPr>
                    <w:t>2421.68</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高度</w:t>
                  </w:r>
                  <w:r>
                    <w:rPr>
                      <w:rFonts w:hint="default" w:ascii="Times New Roman" w:hAnsi="Times New Roman" w:cs="Times New Roman"/>
                      <w:color w:val="auto"/>
                      <w:sz w:val="21"/>
                      <w:szCs w:val="21"/>
                      <w:highlight w:val="none"/>
                      <w:lang w:val="en-US" w:eastAsia="zh-CN"/>
                    </w:rPr>
                    <w:t>8m</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内设</w:t>
                  </w:r>
                  <w:r>
                    <w:rPr>
                      <w:rFonts w:hint="default" w:ascii="Times New Roman" w:hAnsi="Times New Roman" w:cs="Times New Roman"/>
                      <w:color w:val="auto"/>
                      <w:sz w:val="21"/>
                      <w:szCs w:val="21"/>
                      <w:lang w:val="en-US" w:eastAsia="zh-CN"/>
                    </w:rPr>
                    <w:t>4</w:t>
                  </w:r>
                  <w:r>
                    <w:rPr>
                      <w:rFonts w:hint="default" w:ascii="Times New Roman" w:hAnsi="Times New Roman" w:cs="Times New Roman"/>
                      <w:color w:val="auto"/>
                      <w:sz w:val="21"/>
                      <w:szCs w:val="21"/>
                    </w:rPr>
                    <w:t>条玉米加工生产线，车间包括玉米加工</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扒皮、切割</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高温灭菌、风干、</w:t>
                  </w:r>
                  <w:r>
                    <w:rPr>
                      <w:rFonts w:hint="default" w:ascii="Times New Roman" w:hAnsi="Times New Roman" w:cs="Times New Roman"/>
                      <w:color w:val="auto"/>
                      <w:sz w:val="21"/>
                      <w:szCs w:val="21"/>
                    </w:rPr>
                    <w:t>包装</w:t>
                  </w:r>
                  <w:r>
                    <w:rPr>
                      <w:rFonts w:hint="default" w:ascii="Times New Roman" w:hAnsi="Times New Roman" w:cs="Times New Roman"/>
                      <w:color w:val="auto"/>
                      <w:sz w:val="21"/>
                      <w:szCs w:val="21"/>
                      <w:lang w:val="en-US" w:eastAsia="zh-CN"/>
                    </w:rPr>
                    <w:t>等工序</w:t>
                  </w:r>
                  <w:r>
                    <w:rPr>
                      <w:rFonts w:hint="default" w:ascii="Times New Roman" w:hAnsi="Times New Roman" w:cs="Times New Roman"/>
                      <w:color w:val="auto"/>
                      <w:sz w:val="21"/>
                      <w:szCs w:val="21"/>
                    </w:rPr>
                    <w:t>，内设</w:t>
                  </w:r>
                  <w:r>
                    <w:rPr>
                      <w:rFonts w:hint="default" w:ascii="Times New Roman" w:hAnsi="Times New Roman" w:cs="Times New Roman"/>
                      <w:color w:val="auto"/>
                      <w:kern w:val="2"/>
                      <w:sz w:val="21"/>
                      <w:szCs w:val="21"/>
                      <w:highlight w:val="none"/>
                      <w:lang w:val="en-US" w:eastAsia="zh-CN" w:bidi="ar-SA"/>
                    </w:rPr>
                    <w:t>剥皮机</w:t>
                  </w:r>
                  <w:r>
                    <w:rPr>
                      <w:rFonts w:hint="default" w:ascii="Times New Roman" w:hAnsi="Times New Roman" w:cs="Times New Roman"/>
                      <w:color w:val="auto"/>
                      <w:sz w:val="21"/>
                      <w:szCs w:val="21"/>
                    </w:rPr>
                    <w:t>、</w:t>
                  </w:r>
                  <w:r>
                    <w:rPr>
                      <w:rFonts w:hint="default" w:ascii="Times New Roman" w:hAnsi="Times New Roman" w:cs="Times New Roman"/>
                      <w:color w:val="auto"/>
                      <w:kern w:val="0"/>
                      <w:sz w:val="21"/>
                      <w:szCs w:val="21"/>
                      <w:lang w:eastAsia="zh-CN"/>
                    </w:rPr>
                    <w:t>去头尾机</w:t>
                  </w:r>
                  <w:r>
                    <w:rPr>
                      <w:rFonts w:hint="default" w:ascii="Times New Roman" w:hAnsi="Times New Roman" w:cs="Times New Roman"/>
                      <w:color w:val="auto"/>
                      <w:sz w:val="21"/>
                      <w:szCs w:val="21"/>
                    </w:rPr>
                    <w:t>、清洗</w:t>
                  </w:r>
                  <w:r>
                    <w:rPr>
                      <w:rFonts w:hint="default" w:ascii="Times New Roman" w:hAnsi="Times New Roman" w:cs="Times New Roman"/>
                      <w:color w:val="auto"/>
                      <w:sz w:val="21"/>
                      <w:szCs w:val="21"/>
                      <w:lang w:eastAsia="zh-CN"/>
                    </w:rPr>
                    <w:t>线</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风干线、</w:t>
                  </w:r>
                  <w:r>
                    <w:rPr>
                      <w:rFonts w:hint="default" w:ascii="Times New Roman" w:hAnsi="Times New Roman" w:cs="Times New Roman"/>
                      <w:color w:val="auto"/>
                      <w:sz w:val="21"/>
                      <w:szCs w:val="21"/>
                      <w:lang w:eastAsia="zh-CN"/>
                    </w:rPr>
                    <w:t>高温灭菌锅、传送带</w:t>
                  </w:r>
                  <w:r>
                    <w:rPr>
                      <w:rFonts w:hint="default" w:ascii="Times New Roman" w:hAnsi="Times New Roman" w:cs="Times New Roman"/>
                      <w:color w:val="auto"/>
                      <w:sz w:val="21"/>
                      <w:szCs w:val="21"/>
                    </w:rPr>
                    <w:t>等，年产</w:t>
                  </w:r>
                  <w:r>
                    <w:rPr>
                      <w:rFonts w:hint="default" w:ascii="Times New Roman" w:hAnsi="Times New Roman" w:cs="Times New Roman"/>
                      <w:color w:val="auto"/>
                      <w:sz w:val="21"/>
                      <w:szCs w:val="21"/>
                      <w:lang w:eastAsia="zh-CN"/>
                    </w:rPr>
                    <w:t>鲜食</w:t>
                  </w:r>
                  <w:r>
                    <w:rPr>
                      <w:rFonts w:hint="default" w:ascii="Times New Roman" w:hAnsi="Times New Roman" w:cs="Times New Roman"/>
                      <w:color w:val="auto"/>
                      <w:sz w:val="21"/>
                      <w:szCs w:val="21"/>
                    </w:rPr>
                    <w:t>玉米</w:t>
                  </w:r>
                  <w:r>
                    <w:rPr>
                      <w:rFonts w:hint="eastAsia" w:cs="Times New Roman"/>
                      <w:color w:val="auto"/>
                      <w:sz w:val="21"/>
                      <w:szCs w:val="21"/>
                      <w:lang w:val="en-US" w:eastAsia="zh-CN"/>
                    </w:rPr>
                    <w:t>15</w:t>
                  </w:r>
                  <w:r>
                    <w:rPr>
                      <w:rFonts w:hint="default" w:ascii="Times New Roman" w:hAnsi="Times New Roman" w:cs="Times New Roman"/>
                      <w:color w:val="auto"/>
                      <w:sz w:val="21"/>
                      <w:szCs w:val="21"/>
                      <w:lang w:val="en-US" w:eastAsia="zh-CN"/>
                    </w:rPr>
                    <w:t>00万穗（</w:t>
                  </w:r>
                  <w:r>
                    <w:rPr>
                      <w:rFonts w:hint="eastAsia" w:cs="Times New Roman"/>
                      <w:color w:val="auto"/>
                      <w:sz w:val="21"/>
                      <w:szCs w:val="21"/>
                      <w:lang w:val="en-US" w:eastAsia="zh-CN"/>
                    </w:rPr>
                    <w:t>65</w:t>
                  </w:r>
                  <w:r>
                    <w:rPr>
                      <w:rFonts w:hint="default" w:ascii="Times New Roman" w:hAnsi="Times New Roman" w:cs="Times New Roman"/>
                      <w:color w:val="auto"/>
                      <w:sz w:val="21"/>
                      <w:szCs w:val="21"/>
                      <w:lang w:val="en-US" w:eastAsia="zh-CN"/>
                    </w:rPr>
                    <w:t>00</w:t>
                  </w:r>
                  <w:r>
                    <w:rPr>
                      <w:rFonts w:hint="default" w:ascii="Times New Roman" w:hAnsi="Times New Roman" w:cs="Times New Roman"/>
                      <w:color w:val="auto"/>
                      <w:sz w:val="21"/>
                      <w:szCs w:val="21"/>
                    </w:rPr>
                    <w:t>吨</w:t>
                  </w:r>
                  <w:r>
                    <w:rPr>
                      <w:rFonts w:hint="default" w:ascii="Times New Roman" w:hAnsi="Times New Roman" w:cs="Times New Roman"/>
                      <w:color w:val="auto"/>
                      <w:sz w:val="21"/>
                      <w:szCs w:val="21"/>
                      <w:lang w:val="en-US" w:eastAsia="zh-CN"/>
                    </w:rPr>
                    <w:t>）</w:t>
                  </w:r>
                  <w:r>
                    <w:rPr>
                      <w:rFonts w:hint="default" w:ascii="Times New Roman" w:hAnsi="Times New Roman" w:cs="Times New Roman"/>
                      <w:bCs/>
                      <w:color w:val="auto"/>
                      <w:sz w:val="21"/>
                      <w:szCs w:val="21"/>
                      <w:highlight w:val="none"/>
                    </w:rPr>
                    <w:t>，地面做简单防渗处理</w:t>
                  </w:r>
                  <w:r>
                    <w:rPr>
                      <w:rFonts w:hint="eastAsia" w:cs="Times New Roman"/>
                      <w:bCs/>
                      <w:color w:val="auto"/>
                      <w:sz w:val="21"/>
                      <w:szCs w:val="21"/>
                      <w:highlight w:val="none"/>
                      <w:lang w:val="en-US" w:eastAsia="zh-CN"/>
                    </w:rPr>
                    <w:t>.。</w:t>
                  </w:r>
                </w:p>
              </w:tc>
              <w:tc>
                <w:tcPr>
                  <w:tcW w:w="417" w:type="pct"/>
                  <w:tcBorders>
                    <w:tl2br w:val="nil"/>
                    <w:tr2bl w:val="nil"/>
                  </w:tcBorders>
                  <w:vAlign w:val="center"/>
                </w:tcPr>
                <w:p>
                  <w:pPr>
                    <w:shd w:val="clear"/>
                    <w:jc w:val="center"/>
                    <w:rPr>
                      <w:rFonts w:hint="default" w:eastAsia="宋体"/>
                      <w:color w:val="auto"/>
                      <w:szCs w:val="21"/>
                      <w:lang w:val="en-US" w:eastAsia="zh-CN"/>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396" w:type="pct"/>
                  <w:vMerge w:val="restart"/>
                  <w:tcBorders>
                    <w:tl2br w:val="nil"/>
                    <w:tr2bl w:val="nil"/>
                  </w:tcBorders>
                  <w:vAlign w:val="center"/>
                </w:tcPr>
                <w:p>
                  <w:pPr>
                    <w:shd w:val="clear"/>
                    <w:jc w:val="center"/>
                    <w:rPr>
                      <w:color w:val="auto"/>
                      <w:szCs w:val="21"/>
                    </w:rPr>
                  </w:pPr>
                  <w:r>
                    <w:rPr>
                      <w:color w:val="auto"/>
                      <w:szCs w:val="21"/>
                    </w:rPr>
                    <w:t>储运</w:t>
                  </w:r>
                </w:p>
                <w:p>
                  <w:pPr>
                    <w:shd w:val="clear"/>
                    <w:jc w:val="center"/>
                    <w:rPr>
                      <w:color w:val="auto"/>
                      <w:szCs w:val="21"/>
                    </w:rPr>
                  </w:pPr>
                  <w:r>
                    <w:rPr>
                      <w:color w:val="auto"/>
                      <w:szCs w:val="21"/>
                    </w:rPr>
                    <w:t>工程</w:t>
                  </w:r>
                </w:p>
              </w:tc>
              <w:tc>
                <w:tcPr>
                  <w:tcW w:w="509" w:type="pct"/>
                  <w:tcBorders>
                    <w:tl2br w:val="nil"/>
                    <w:tr2bl w:val="nil"/>
                  </w:tcBorders>
                  <w:vAlign w:val="center"/>
                </w:tcPr>
                <w:p>
                  <w:pPr>
                    <w:shd w:val="clear"/>
                    <w:jc w:val="center"/>
                    <w:rPr>
                      <w:color w:val="auto"/>
                      <w:spacing w:val="-4"/>
                      <w:szCs w:val="21"/>
                    </w:rPr>
                  </w:pPr>
                  <w:r>
                    <w:rPr>
                      <w:rFonts w:hint="eastAsia"/>
                      <w:color w:val="auto"/>
                      <w:spacing w:val="-4"/>
                      <w:szCs w:val="21"/>
                    </w:rPr>
                    <w:t>玉米堆放场</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firstLine="420" w:firstLineChars="200"/>
                    <w:jc w:val="both"/>
                    <w:textAlignment w:val="auto"/>
                    <w:rPr>
                      <w:color w:val="auto"/>
                      <w:szCs w:val="21"/>
                    </w:rPr>
                  </w:pPr>
                  <w:r>
                    <w:rPr>
                      <w:rFonts w:hint="eastAsia"/>
                      <w:color w:val="auto"/>
                      <w:szCs w:val="21"/>
                      <w:shd w:val="clear"/>
                      <w:lang w:val="en-US" w:eastAsia="zh-CN"/>
                    </w:rPr>
                    <w:t>位于生产厂房东侧，</w:t>
                  </w:r>
                  <w:r>
                    <w:rPr>
                      <w:color w:val="auto"/>
                      <w:szCs w:val="21"/>
                      <w:shd w:val="clear"/>
                    </w:rPr>
                    <w:t>建筑面积为</w:t>
                  </w:r>
                  <w:r>
                    <w:rPr>
                      <w:rFonts w:hint="eastAsia"/>
                      <w:color w:val="auto"/>
                      <w:szCs w:val="21"/>
                      <w:shd w:val="clear"/>
                      <w:lang w:val="en-US" w:eastAsia="zh-CN"/>
                    </w:rPr>
                    <w:t>1</w:t>
                  </w:r>
                  <w:r>
                    <w:rPr>
                      <w:rFonts w:hint="eastAsia"/>
                      <w:color w:val="auto"/>
                      <w:szCs w:val="21"/>
                      <w:lang w:val="en-US" w:eastAsia="zh-CN"/>
                    </w:rPr>
                    <w:t>800</w:t>
                  </w:r>
                  <w:r>
                    <w:rPr>
                      <w:color w:val="auto"/>
                      <w:szCs w:val="21"/>
                    </w:rPr>
                    <w:t>m</w:t>
                  </w:r>
                  <w:r>
                    <w:rPr>
                      <w:color w:val="auto"/>
                      <w:szCs w:val="21"/>
                      <w:vertAlign w:val="superscript"/>
                    </w:rPr>
                    <w:t>2</w:t>
                  </w:r>
                  <w:r>
                    <w:rPr>
                      <w:color w:val="auto"/>
                      <w:szCs w:val="21"/>
                    </w:rPr>
                    <w:t>，</w:t>
                  </w:r>
                  <w:r>
                    <w:rPr>
                      <w:rFonts w:hint="eastAsia"/>
                      <w:color w:val="auto"/>
                      <w:szCs w:val="21"/>
                    </w:rPr>
                    <w:t>用于存放玉米，最大存储玉米</w:t>
                  </w:r>
                  <w:r>
                    <w:rPr>
                      <w:rFonts w:hint="eastAsia"/>
                      <w:color w:val="auto"/>
                      <w:szCs w:val="21"/>
                      <w:lang w:val="en-US" w:eastAsia="zh-CN"/>
                    </w:rPr>
                    <w:t>500t，120</w:t>
                  </w:r>
                  <w:r>
                    <w:rPr>
                      <w:rFonts w:hint="eastAsia"/>
                      <w:color w:val="auto"/>
                      <w:szCs w:val="21"/>
                    </w:rPr>
                    <w:t>万穗。</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396" w:type="pct"/>
                  <w:vMerge w:val="continue"/>
                  <w:tcBorders>
                    <w:tl2br w:val="nil"/>
                    <w:tr2bl w:val="nil"/>
                  </w:tcBorders>
                  <w:vAlign w:val="center"/>
                </w:tcPr>
                <w:p>
                  <w:pPr>
                    <w:shd w:val="clear"/>
                    <w:jc w:val="center"/>
                    <w:rPr>
                      <w:color w:val="auto"/>
                      <w:szCs w:val="21"/>
                    </w:rPr>
                  </w:pPr>
                </w:p>
              </w:tc>
              <w:tc>
                <w:tcPr>
                  <w:tcW w:w="509" w:type="pct"/>
                  <w:tcBorders>
                    <w:tl2br w:val="nil"/>
                    <w:tr2bl w:val="nil"/>
                  </w:tcBorders>
                  <w:vAlign w:val="center"/>
                </w:tcPr>
                <w:p>
                  <w:pPr>
                    <w:shd w:val="clear"/>
                    <w:jc w:val="center"/>
                    <w:rPr>
                      <w:rFonts w:hint="eastAsia" w:ascii="Times New Roman" w:hAnsi="Times New Roman" w:eastAsia="宋体" w:cs="Times New Roman"/>
                      <w:bCs/>
                      <w:snapToGrid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鲜食玉米成品库房</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Cs/>
                      <w:snapToGrid w:val="0"/>
                      <w:color w:val="auto"/>
                      <w:kern w:val="2"/>
                      <w:sz w:val="21"/>
                      <w:szCs w:val="21"/>
                      <w:highlight w:val="none"/>
                      <w:lang w:val="en-US" w:eastAsia="zh-CN" w:bidi="ar-SA"/>
                    </w:rPr>
                  </w:pPr>
                  <w:r>
                    <w:rPr>
                      <w:rFonts w:hint="default" w:ascii="Times New Roman" w:hAnsi="Times New Roman" w:cs="Times New Roman"/>
                      <w:color w:val="auto"/>
                      <w:sz w:val="21"/>
                      <w:szCs w:val="21"/>
                      <w:lang w:eastAsia="zh-CN"/>
                    </w:rPr>
                    <w:t>位于</w:t>
                  </w:r>
                  <w:r>
                    <w:rPr>
                      <w:rFonts w:hint="eastAsia" w:ascii="Times New Roman" w:hAnsi="Times New Roman" w:cs="Times New Roman"/>
                      <w:color w:val="auto"/>
                      <w:sz w:val="21"/>
                      <w:szCs w:val="21"/>
                      <w:lang w:val="en-US" w:eastAsia="zh-CN"/>
                    </w:rPr>
                    <w:t>生产厂房东</w:t>
                  </w:r>
                  <w:r>
                    <w:rPr>
                      <w:rFonts w:hint="default" w:ascii="Times New Roman" w:hAnsi="Times New Roman" w:cs="Times New Roman"/>
                      <w:color w:val="auto"/>
                      <w:sz w:val="21"/>
                      <w:szCs w:val="21"/>
                      <w:lang w:eastAsia="zh-CN"/>
                    </w:rPr>
                    <w:t>侧，</w:t>
                  </w:r>
                  <w:r>
                    <w:rPr>
                      <w:rFonts w:hint="eastAsia" w:ascii="Times New Roman" w:hAnsi="Times New Roman" w:cs="Times New Roman"/>
                      <w:color w:val="auto"/>
                      <w:sz w:val="21"/>
                      <w:szCs w:val="21"/>
                      <w:highlight w:val="none"/>
                      <w:lang w:val="en-US" w:eastAsia="zh-CN"/>
                    </w:rPr>
                    <w:t>建筑</w:t>
                  </w:r>
                  <w:r>
                    <w:rPr>
                      <w:rFonts w:hint="default" w:ascii="Times New Roman" w:hAnsi="Times New Roman" w:cs="Times New Roman"/>
                      <w:color w:val="auto"/>
                      <w:sz w:val="21"/>
                      <w:szCs w:val="21"/>
                      <w:highlight w:val="none"/>
                    </w:rPr>
                    <w:t>面积为</w:t>
                  </w:r>
                  <w:r>
                    <w:rPr>
                      <w:rFonts w:hint="eastAsia" w:ascii="Times New Roman" w:hAnsi="Times New Roman" w:cs="Times New Roman"/>
                      <w:color w:val="auto"/>
                      <w:sz w:val="21"/>
                      <w:szCs w:val="21"/>
                      <w:highlight w:val="none"/>
                      <w:lang w:val="en-US" w:eastAsia="zh-CN"/>
                    </w:rPr>
                    <w:t>1224.78</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高度</w:t>
                  </w:r>
                  <w:r>
                    <w:rPr>
                      <w:rFonts w:hint="eastAsia"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eastAsia="zh-CN"/>
                    </w:rPr>
                    <w:t>一层，钢结构，最多能存储</w:t>
                  </w:r>
                  <w:r>
                    <w:rPr>
                      <w:rFonts w:hint="eastAsia" w:ascii="Times New Roman" w:hAnsi="Times New Roman" w:cs="Times New Roman"/>
                      <w:color w:val="auto"/>
                      <w:sz w:val="21"/>
                      <w:szCs w:val="21"/>
                      <w:highlight w:val="none"/>
                      <w:lang w:val="en-US" w:eastAsia="zh-CN"/>
                    </w:rPr>
                    <w:t>100</w:t>
                  </w:r>
                  <w:r>
                    <w:rPr>
                      <w:rFonts w:hint="default" w:ascii="Times New Roman" w:hAnsi="Times New Roman" w:cs="Times New Roman"/>
                      <w:color w:val="auto"/>
                      <w:sz w:val="21"/>
                      <w:szCs w:val="21"/>
                      <w:highlight w:val="none"/>
                      <w:lang w:val="en-US" w:eastAsia="zh-CN"/>
                    </w:rPr>
                    <w:t>万穗</w:t>
                  </w:r>
                  <w:r>
                    <w:rPr>
                      <w:rFonts w:hint="default" w:ascii="Times New Roman" w:hAnsi="Times New Roman" w:cs="Times New Roman"/>
                      <w:color w:val="auto"/>
                      <w:sz w:val="21"/>
                      <w:szCs w:val="21"/>
                      <w:highlight w:val="none"/>
                      <w:lang w:eastAsia="zh-CN"/>
                    </w:rPr>
                    <w:t>鲜食玉米</w:t>
                  </w:r>
                  <w:r>
                    <w:rPr>
                      <w:rFonts w:hint="default" w:ascii="Times New Roman" w:hAnsi="Times New Roman" w:cs="Times New Roman"/>
                      <w:bCs/>
                      <w:color w:val="auto"/>
                      <w:sz w:val="21"/>
                      <w:szCs w:val="21"/>
                      <w:highlight w:val="none"/>
                    </w:rPr>
                    <w:t>，地面做简单防渗处理</w:t>
                  </w:r>
                </w:p>
              </w:tc>
              <w:tc>
                <w:tcPr>
                  <w:tcW w:w="417" w:type="pct"/>
                  <w:tcBorders>
                    <w:tl2br w:val="nil"/>
                    <w:tr2bl w:val="nil"/>
                  </w:tcBorders>
                  <w:vAlign w:val="center"/>
                </w:tcPr>
                <w:p>
                  <w:pPr>
                    <w:shd w:val="clear"/>
                    <w:jc w:val="center"/>
                    <w:rPr>
                      <w:rFonts w:hint="eastAsia"/>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396" w:type="pct"/>
                  <w:vMerge w:val="continue"/>
                  <w:tcBorders>
                    <w:tl2br w:val="nil"/>
                    <w:tr2bl w:val="nil"/>
                  </w:tcBorders>
                  <w:vAlign w:val="center"/>
                </w:tcPr>
                <w:p>
                  <w:pPr>
                    <w:shd w:val="clear"/>
                    <w:jc w:val="center"/>
                    <w:rPr>
                      <w:color w:val="auto"/>
                      <w:szCs w:val="21"/>
                    </w:rPr>
                  </w:pPr>
                </w:p>
              </w:tc>
              <w:tc>
                <w:tcPr>
                  <w:tcW w:w="509" w:type="pct"/>
                  <w:tcBorders>
                    <w:tl2br w:val="nil"/>
                    <w:tr2bl w:val="nil"/>
                  </w:tcBorders>
                  <w:vAlign w:val="center"/>
                </w:tcPr>
                <w:p>
                  <w:pPr>
                    <w:shd w:val="clear"/>
                    <w:jc w:val="center"/>
                    <w:rPr>
                      <w:color w:val="auto"/>
                      <w:spacing w:val="-4"/>
                      <w:szCs w:val="21"/>
                    </w:rPr>
                  </w:pPr>
                  <w:r>
                    <w:rPr>
                      <w:rFonts w:hint="eastAsia"/>
                      <w:color w:val="auto"/>
                      <w:spacing w:val="-4"/>
                      <w:szCs w:val="21"/>
                    </w:rPr>
                    <w:t>灰渣仓</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firstLine="420" w:firstLineChars="200"/>
                    <w:jc w:val="both"/>
                    <w:textAlignment w:val="auto"/>
                    <w:rPr>
                      <w:color w:val="auto"/>
                      <w:szCs w:val="21"/>
                    </w:rPr>
                  </w:pPr>
                  <w:r>
                    <w:rPr>
                      <w:rFonts w:hint="eastAsia"/>
                      <w:color w:val="auto"/>
                      <w:szCs w:val="21"/>
                    </w:rPr>
                    <w:t>灰渣仓位</w:t>
                  </w:r>
                  <w:r>
                    <w:rPr>
                      <w:color w:val="auto"/>
                      <w:szCs w:val="21"/>
                    </w:rPr>
                    <w:t>于</w:t>
                  </w:r>
                  <w:r>
                    <w:rPr>
                      <w:rFonts w:hint="eastAsia"/>
                      <w:color w:val="auto"/>
                      <w:spacing w:val="-4"/>
                      <w:szCs w:val="21"/>
                    </w:rPr>
                    <w:t>锅炉房</w:t>
                  </w:r>
                  <w:r>
                    <w:rPr>
                      <w:rFonts w:hint="eastAsia"/>
                      <w:color w:val="auto"/>
                      <w:szCs w:val="21"/>
                    </w:rPr>
                    <w:t>内，建筑面积5m</w:t>
                  </w:r>
                  <w:r>
                    <w:rPr>
                      <w:color w:val="auto"/>
                      <w:szCs w:val="21"/>
                      <w:vertAlign w:val="superscript"/>
                    </w:rPr>
                    <w:t>2</w:t>
                  </w:r>
                  <w:r>
                    <w:rPr>
                      <w:color w:val="auto"/>
                      <w:szCs w:val="21"/>
                    </w:rPr>
                    <w:t>，</w:t>
                  </w:r>
                  <w:r>
                    <w:rPr>
                      <w:rFonts w:hint="eastAsia"/>
                      <w:color w:val="auto"/>
                      <w:szCs w:val="21"/>
                    </w:rPr>
                    <w:t>灰渣仓地面做防渗处理，灰渣仓密闭，最大存储灰渣1.2t</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396" w:type="pct"/>
                  <w:vMerge w:val="continue"/>
                  <w:tcBorders>
                    <w:tl2br w:val="nil"/>
                    <w:tr2bl w:val="nil"/>
                  </w:tcBorders>
                  <w:vAlign w:val="center"/>
                </w:tcPr>
                <w:p>
                  <w:pPr>
                    <w:shd w:val="clear"/>
                    <w:jc w:val="center"/>
                    <w:rPr>
                      <w:color w:val="auto"/>
                      <w:szCs w:val="21"/>
                    </w:rPr>
                  </w:pPr>
                </w:p>
              </w:tc>
              <w:tc>
                <w:tcPr>
                  <w:tcW w:w="509" w:type="pct"/>
                  <w:tcBorders>
                    <w:tl2br w:val="nil"/>
                    <w:tr2bl w:val="nil"/>
                  </w:tcBorders>
                  <w:vAlign w:val="center"/>
                </w:tcPr>
                <w:p>
                  <w:pPr>
                    <w:shd w:val="clear"/>
                    <w:jc w:val="center"/>
                    <w:rPr>
                      <w:color w:val="auto"/>
                      <w:spacing w:val="-4"/>
                      <w:szCs w:val="21"/>
                    </w:rPr>
                  </w:pPr>
                  <w:r>
                    <w:rPr>
                      <w:rFonts w:hint="eastAsia"/>
                      <w:color w:val="auto"/>
                      <w:spacing w:val="-4"/>
                      <w:szCs w:val="21"/>
                    </w:rPr>
                    <w:t>燃料库</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firstLine="420" w:firstLineChars="200"/>
                    <w:jc w:val="both"/>
                    <w:textAlignment w:val="auto"/>
                    <w:rPr>
                      <w:color w:val="auto"/>
                      <w:szCs w:val="21"/>
                    </w:rPr>
                  </w:pPr>
                  <w:r>
                    <w:rPr>
                      <w:rFonts w:hint="eastAsia"/>
                      <w:color w:val="auto"/>
                      <w:szCs w:val="21"/>
                    </w:rPr>
                    <w:t>燃料库位</w:t>
                  </w:r>
                  <w:r>
                    <w:rPr>
                      <w:color w:val="auto"/>
                      <w:szCs w:val="21"/>
                    </w:rPr>
                    <w:t>于</w:t>
                  </w:r>
                  <w:r>
                    <w:rPr>
                      <w:rFonts w:hint="eastAsia"/>
                      <w:color w:val="auto"/>
                      <w:szCs w:val="21"/>
                    </w:rPr>
                    <w:t>锅炉房内，建筑面积1</w:t>
                  </w:r>
                  <w:r>
                    <w:rPr>
                      <w:color w:val="auto"/>
                      <w:szCs w:val="21"/>
                    </w:rPr>
                    <w:t>0m</w:t>
                  </w:r>
                  <w:r>
                    <w:rPr>
                      <w:color w:val="auto"/>
                      <w:szCs w:val="21"/>
                      <w:vertAlign w:val="superscript"/>
                    </w:rPr>
                    <w:t>2</w:t>
                  </w:r>
                  <w:r>
                    <w:rPr>
                      <w:color w:val="auto"/>
                      <w:szCs w:val="21"/>
                    </w:rPr>
                    <w:t>，</w:t>
                  </w:r>
                  <w:r>
                    <w:rPr>
                      <w:rFonts w:hint="eastAsia"/>
                      <w:color w:val="auto"/>
                      <w:szCs w:val="21"/>
                    </w:rPr>
                    <w:t>地面做简单防渗处理，最大存储生物质</w:t>
                  </w:r>
                  <w:r>
                    <w:rPr>
                      <w:rFonts w:hint="eastAsia"/>
                      <w:color w:val="auto"/>
                      <w:szCs w:val="21"/>
                      <w:lang w:val="en-US" w:eastAsia="zh-CN"/>
                    </w:rPr>
                    <w:t>颗粒</w:t>
                  </w:r>
                  <w:r>
                    <w:rPr>
                      <w:rFonts w:hint="eastAsia"/>
                      <w:color w:val="auto"/>
                      <w:szCs w:val="21"/>
                    </w:rPr>
                    <w:t>40t。</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6" w:type="pct"/>
                  <w:vMerge w:val="continue"/>
                  <w:tcBorders>
                    <w:tl2br w:val="nil"/>
                    <w:tr2bl w:val="nil"/>
                  </w:tcBorders>
                  <w:vAlign w:val="center"/>
                </w:tcPr>
                <w:p>
                  <w:pPr>
                    <w:shd w:val="clear"/>
                    <w:jc w:val="center"/>
                    <w:rPr>
                      <w:color w:val="auto"/>
                      <w:szCs w:val="21"/>
                    </w:rPr>
                  </w:pPr>
                </w:p>
              </w:tc>
              <w:tc>
                <w:tcPr>
                  <w:tcW w:w="509" w:type="pct"/>
                  <w:tcBorders>
                    <w:tl2br w:val="nil"/>
                    <w:tr2bl w:val="nil"/>
                  </w:tcBorders>
                  <w:vAlign w:val="center"/>
                </w:tcPr>
                <w:p>
                  <w:pPr>
                    <w:shd w:val="clear"/>
                    <w:jc w:val="center"/>
                    <w:rPr>
                      <w:color w:val="auto"/>
                      <w:spacing w:val="-4"/>
                      <w:szCs w:val="21"/>
                    </w:rPr>
                  </w:pPr>
                  <w:r>
                    <w:rPr>
                      <w:rFonts w:hint="eastAsia"/>
                      <w:color w:val="auto"/>
                      <w:spacing w:val="-4"/>
                      <w:szCs w:val="21"/>
                    </w:rPr>
                    <w:t>一般固废暂存区</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both"/>
                    <w:textAlignment w:val="auto"/>
                    <w:rPr>
                      <w:color w:val="auto"/>
                      <w:szCs w:val="21"/>
                    </w:rPr>
                  </w:pPr>
                  <w:r>
                    <w:rPr>
                      <w:rFonts w:hint="eastAsia"/>
                      <w:color w:val="auto"/>
                      <w:szCs w:val="21"/>
                    </w:rPr>
                    <w:t>位于生产车间内，占地面积为200m</w:t>
                  </w:r>
                  <w:r>
                    <w:rPr>
                      <w:rFonts w:hint="eastAsia"/>
                      <w:color w:val="auto"/>
                      <w:szCs w:val="21"/>
                      <w:vertAlign w:val="superscript"/>
                    </w:rPr>
                    <w:t>2</w:t>
                  </w:r>
                  <w:r>
                    <w:rPr>
                      <w:rFonts w:hint="eastAsia"/>
                      <w:color w:val="auto"/>
                      <w:szCs w:val="21"/>
                    </w:rPr>
                    <w:t>，项目产生的生活垃圾、废纸箱、废包装袋、玉米叶、玉米须、不合格的果穗、青穗以及废弃玉米段</w:t>
                  </w:r>
                  <w:r>
                    <w:rPr>
                      <w:rFonts w:hint="eastAsia"/>
                      <w:bCs/>
                      <w:color w:val="auto"/>
                      <w:szCs w:val="21"/>
                    </w:rPr>
                    <w:t>暂存于生产车间固废暂存区，地面做简单防渗处理</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396" w:type="pct"/>
                  <w:vMerge w:val="restart"/>
                  <w:tcBorders>
                    <w:tl2br w:val="nil"/>
                    <w:tr2bl w:val="nil"/>
                  </w:tcBorders>
                  <w:vAlign w:val="center"/>
                </w:tcPr>
                <w:p>
                  <w:pPr>
                    <w:shd w:val="clear"/>
                    <w:jc w:val="center"/>
                    <w:rPr>
                      <w:color w:val="auto"/>
                      <w:szCs w:val="21"/>
                    </w:rPr>
                  </w:pPr>
                  <w:r>
                    <w:rPr>
                      <w:color w:val="auto"/>
                      <w:szCs w:val="21"/>
                    </w:rPr>
                    <w:t>辅助</w:t>
                  </w:r>
                </w:p>
                <w:p>
                  <w:pPr>
                    <w:shd w:val="clear"/>
                    <w:jc w:val="center"/>
                    <w:rPr>
                      <w:color w:val="auto"/>
                      <w:szCs w:val="21"/>
                    </w:rPr>
                  </w:pPr>
                  <w:r>
                    <w:rPr>
                      <w:color w:val="auto"/>
                      <w:szCs w:val="21"/>
                    </w:rPr>
                    <w:t>工程</w:t>
                  </w:r>
                </w:p>
              </w:tc>
              <w:tc>
                <w:tcPr>
                  <w:tcW w:w="509" w:type="pct"/>
                  <w:tcBorders>
                    <w:tl2br w:val="nil"/>
                    <w:tr2bl w:val="nil"/>
                  </w:tcBorders>
                  <w:vAlign w:val="center"/>
                </w:tcPr>
                <w:p>
                  <w:pPr>
                    <w:shd w:val="clear"/>
                    <w:jc w:val="center"/>
                    <w:rPr>
                      <w:rFonts w:hint="eastAsia" w:eastAsia="宋体"/>
                      <w:color w:val="auto"/>
                      <w:spacing w:val="-4"/>
                      <w:szCs w:val="21"/>
                      <w:lang w:eastAsia="zh-CN"/>
                    </w:rPr>
                  </w:pPr>
                  <w:r>
                    <w:rPr>
                      <w:color w:val="auto"/>
                      <w:spacing w:val="-4"/>
                      <w:szCs w:val="21"/>
                    </w:rPr>
                    <w:t>办公</w:t>
                  </w:r>
                  <w:r>
                    <w:rPr>
                      <w:rFonts w:hint="eastAsia"/>
                      <w:color w:val="auto"/>
                      <w:spacing w:val="-4"/>
                      <w:szCs w:val="21"/>
                      <w:lang w:val="en-US" w:eastAsia="zh-CN"/>
                    </w:rPr>
                    <w:t>区</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firstLine="420" w:firstLineChars="200"/>
                    <w:jc w:val="both"/>
                    <w:textAlignment w:val="auto"/>
                    <w:rPr>
                      <w:rFonts w:hint="eastAsia" w:eastAsia="宋体"/>
                      <w:color w:val="auto"/>
                      <w:szCs w:val="21"/>
                      <w:lang w:val="en-US" w:eastAsia="zh-CN"/>
                    </w:rPr>
                  </w:pPr>
                  <w:r>
                    <w:rPr>
                      <w:rFonts w:hint="eastAsia"/>
                      <w:color w:val="auto"/>
                      <w:szCs w:val="21"/>
                      <w:lang w:val="en-US" w:eastAsia="zh-CN"/>
                    </w:rPr>
                    <w:t>位于生产厂房南侧夹层，</w:t>
                  </w:r>
                  <w:r>
                    <w:rPr>
                      <w:color w:val="auto"/>
                      <w:szCs w:val="21"/>
                    </w:rPr>
                    <w:t>建筑面积为</w:t>
                  </w:r>
                  <w:r>
                    <w:rPr>
                      <w:rFonts w:hint="eastAsia"/>
                      <w:color w:val="auto"/>
                      <w:szCs w:val="21"/>
                      <w:lang w:val="en-US" w:eastAsia="zh-CN"/>
                    </w:rPr>
                    <w:t>250.64</w:t>
                  </w:r>
                  <w:r>
                    <w:rPr>
                      <w:color w:val="auto"/>
                      <w:szCs w:val="21"/>
                    </w:rPr>
                    <w:t>m</w:t>
                  </w:r>
                  <w:r>
                    <w:rPr>
                      <w:color w:val="auto"/>
                      <w:szCs w:val="21"/>
                      <w:vertAlign w:val="superscript"/>
                    </w:rPr>
                    <w:t>2</w:t>
                  </w:r>
                  <w:r>
                    <w:rPr>
                      <w:color w:val="auto"/>
                      <w:szCs w:val="21"/>
                    </w:rPr>
                    <w:t>，</w:t>
                  </w:r>
                  <w:r>
                    <w:rPr>
                      <w:rFonts w:hint="eastAsia"/>
                      <w:color w:val="auto"/>
                      <w:szCs w:val="21"/>
                    </w:rPr>
                    <w:t>包括会议室、</w:t>
                  </w:r>
                  <w:r>
                    <w:rPr>
                      <w:rFonts w:hint="eastAsia"/>
                      <w:color w:val="auto"/>
                      <w:szCs w:val="21"/>
                      <w:lang w:val="en-US" w:eastAsia="zh-CN"/>
                    </w:rPr>
                    <w:t>产品展览厅、</w:t>
                  </w:r>
                  <w:r>
                    <w:rPr>
                      <w:rFonts w:hint="eastAsia"/>
                      <w:color w:val="auto"/>
                      <w:szCs w:val="21"/>
                    </w:rPr>
                    <w:t>办公室等</w:t>
                  </w:r>
                  <w:r>
                    <w:rPr>
                      <w:rFonts w:hint="eastAsia"/>
                      <w:color w:val="auto"/>
                      <w:szCs w:val="21"/>
                      <w:lang w:eastAsia="zh-CN"/>
                    </w:rPr>
                    <w:t>。</w:t>
                  </w:r>
                </w:p>
              </w:tc>
              <w:tc>
                <w:tcPr>
                  <w:tcW w:w="417" w:type="pct"/>
                  <w:tcBorders>
                    <w:tl2br w:val="nil"/>
                    <w:tr2bl w:val="nil"/>
                  </w:tcBorders>
                  <w:vAlign w:val="center"/>
                </w:tcPr>
                <w:p>
                  <w:pPr>
                    <w:shd w:val="clear"/>
                    <w:jc w:val="center"/>
                    <w:rPr>
                      <w:rFonts w:hint="default" w:eastAsia="宋体"/>
                      <w:color w:val="auto"/>
                      <w:szCs w:val="21"/>
                      <w:lang w:val="en-US" w:eastAsia="zh-CN"/>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396" w:type="pct"/>
                  <w:vMerge w:val="continue"/>
                  <w:tcBorders>
                    <w:tl2br w:val="nil"/>
                    <w:tr2bl w:val="nil"/>
                  </w:tcBorders>
                  <w:vAlign w:val="center"/>
                </w:tcPr>
                <w:p>
                  <w:pPr>
                    <w:shd w:val="clear"/>
                    <w:jc w:val="center"/>
                    <w:rPr>
                      <w:color w:val="auto"/>
                      <w:szCs w:val="21"/>
                    </w:rPr>
                  </w:pPr>
                </w:p>
              </w:tc>
              <w:tc>
                <w:tcPr>
                  <w:tcW w:w="509" w:type="pct"/>
                  <w:tcBorders>
                    <w:tl2br w:val="nil"/>
                    <w:tr2bl w:val="nil"/>
                  </w:tcBorders>
                  <w:vAlign w:val="center"/>
                </w:tcPr>
                <w:p>
                  <w:pPr>
                    <w:shd w:val="clear"/>
                    <w:jc w:val="center"/>
                    <w:rPr>
                      <w:rFonts w:hint="eastAsia" w:eastAsia="宋体"/>
                      <w:color w:val="auto"/>
                      <w:spacing w:val="-4"/>
                      <w:szCs w:val="21"/>
                      <w:lang w:val="en-US" w:eastAsia="zh-CN"/>
                    </w:rPr>
                  </w:pPr>
                  <w:r>
                    <w:rPr>
                      <w:rFonts w:hint="eastAsia"/>
                      <w:color w:val="auto"/>
                      <w:spacing w:val="-4"/>
                      <w:szCs w:val="21"/>
                      <w:lang w:val="en-US" w:eastAsia="zh-CN"/>
                    </w:rPr>
                    <w:t>化验室</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both"/>
                    <w:textAlignment w:val="auto"/>
                    <w:rPr>
                      <w:rFonts w:hint="eastAsia"/>
                      <w:color w:val="auto"/>
                      <w:szCs w:val="21"/>
                      <w:lang w:val="en-US" w:eastAsia="zh-CN"/>
                    </w:rPr>
                  </w:pPr>
                  <w:r>
                    <w:rPr>
                      <w:rFonts w:hint="eastAsia"/>
                      <w:color w:val="auto"/>
                      <w:szCs w:val="21"/>
                      <w:lang w:val="en-US" w:eastAsia="zh-CN"/>
                    </w:rPr>
                    <w:t>主要进行</w:t>
                  </w:r>
                  <w:r>
                    <w:rPr>
                      <w:rFonts w:hint="eastAsia"/>
                      <w:color w:val="auto"/>
                      <w:szCs w:val="21"/>
                    </w:rPr>
                    <w:t>玉米检验</w:t>
                  </w:r>
                  <w:r>
                    <w:rPr>
                      <w:rFonts w:hint="eastAsia"/>
                      <w:color w:val="auto"/>
                      <w:szCs w:val="21"/>
                      <w:lang w:eastAsia="zh-CN"/>
                    </w:rPr>
                    <w:t>，</w:t>
                  </w:r>
                  <w:r>
                    <w:rPr>
                      <w:rFonts w:hint="eastAsia"/>
                      <w:color w:val="auto"/>
                      <w:szCs w:val="21"/>
                      <w:lang w:val="en-US" w:eastAsia="zh-CN"/>
                    </w:rPr>
                    <w:t>玉米检验为色泽、形状等物理检测，不涉及化学监测，不产生废液。</w:t>
                  </w:r>
                </w:p>
              </w:tc>
              <w:tc>
                <w:tcPr>
                  <w:tcW w:w="417" w:type="pct"/>
                  <w:tcBorders>
                    <w:tl2br w:val="nil"/>
                    <w:tr2bl w:val="nil"/>
                  </w:tcBorders>
                  <w:vAlign w:val="center"/>
                </w:tcPr>
                <w:p>
                  <w:pPr>
                    <w:shd w:val="clear"/>
                    <w:jc w:val="center"/>
                    <w:rPr>
                      <w:rFonts w:hint="eastAsia"/>
                      <w:color w:val="auto"/>
                      <w:szCs w:val="21"/>
                      <w:lang w:val="en-US" w:eastAsia="zh-CN"/>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vMerge w:val="continue"/>
                  <w:tcBorders>
                    <w:tl2br w:val="nil"/>
                    <w:tr2bl w:val="nil"/>
                  </w:tcBorders>
                  <w:vAlign w:val="center"/>
                </w:tcPr>
                <w:p>
                  <w:pPr>
                    <w:shd w:val="clear"/>
                    <w:jc w:val="center"/>
                    <w:rPr>
                      <w:color w:val="auto"/>
                      <w:szCs w:val="21"/>
                    </w:rPr>
                  </w:pPr>
                </w:p>
              </w:tc>
              <w:tc>
                <w:tcPr>
                  <w:tcW w:w="509" w:type="pct"/>
                  <w:tcBorders>
                    <w:tl2br w:val="nil"/>
                    <w:tr2bl w:val="nil"/>
                  </w:tcBorders>
                  <w:vAlign w:val="center"/>
                </w:tcPr>
                <w:p>
                  <w:pPr>
                    <w:shd w:val="clear"/>
                    <w:jc w:val="center"/>
                    <w:rPr>
                      <w:color w:val="auto"/>
                      <w:spacing w:val="-4"/>
                      <w:szCs w:val="21"/>
                    </w:rPr>
                  </w:pPr>
                  <w:r>
                    <w:rPr>
                      <w:rFonts w:hint="eastAsia"/>
                      <w:color w:val="auto"/>
                      <w:spacing w:val="-4"/>
                      <w:szCs w:val="21"/>
                    </w:rPr>
                    <w:t>锅炉房</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both"/>
                    <w:textAlignment w:val="auto"/>
                    <w:rPr>
                      <w:color w:val="auto"/>
                      <w:szCs w:val="21"/>
                    </w:rPr>
                  </w:pPr>
                  <w:r>
                    <w:rPr>
                      <w:color w:val="auto"/>
                      <w:szCs w:val="21"/>
                    </w:rPr>
                    <w:t>建筑面积为</w:t>
                  </w:r>
                  <w:r>
                    <w:rPr>
                      <w:rFonts w:hint="eastAsia"/>
                      <w:color w:val="auto"/>
                      <w:szCs w:val="21"/>
                      <w:lang w:val="en-US" w:eastAsia="zh-CN"/>
                    </w:rPr>
                    <w:t>86.25</w:t>
                  </w:r>
                  <w:r>
                    <w:rPr>
                      <w:color w:val="auto"/>
                      <w:szCs w:val="21"/>
                    </w:rPr>
                    <w:t>m</w:t>
                  </w:r>
                  <w:r>
                    <w:rPr>
                      <w:color w:val="auto"/>
                      <w:szCs w:val="21"/>
                      <w:vertAlign w:val="superscript"/>
                    </w:rPr>
                    <w:t>2</w:t>
                  </w:r>
                  <w:r>
                    <w:rPr>
                      <w:color w:val="auto"/>
                      <w:szCs w:val="21"/>
                    </w:rPr>
                    <w:t>，</w:t>
                  </w:r>
                  <w:r>
                    <w:rPr>
                      <w:rFonts w:hint="eastAsia"/>
                      <w:color w:val="auto"/>
                      <w:szCs w:val="21"/>
                    </w:rPr>
                    <w:t>内设置</w:t>
                  </w:r>
                  <w:r>
                    <w:rPr>
                      <w:rFonts w:hint="eastAsia"/>
                      <w:color w:val="auto"/>
                      <w:szCs w:val="21"/>
                      <w:lang w:val="en-US" w:eastAsia="zh-CN"/>
                    </w:rPr>
                    <w:t>1</w:t>
                  </w:r>
                  <w:r>
                    <w:rPr>
                      <w:rFonts w:hint="eastAsia"/>
                      <w:color w:val="auto"/>
                      <w:szCs w:val="21"/>
                    </w:rPr>
                    <w:t>台</w:t>
                  </w:r>
                  <w:r>
                    <w:rPr>
                      <w:rFonts w:hint="eastAsia"/>
                      <w:color w:val="auto"/>
                      <w:szCs w:val="21"/>
                      <w:lang w:val="en-US" w:eastAsia="zh-CN"/>
                    </w:rPr>
                    <w:t>4</w:t>
                  </w:r>
                  <w:r>
                    <w:rPr>
                      <w:rFonts w:hint="eastAsia"/>
                      <w:color w:val="auto"/>
                      <w:szCs w:val="21"/>
                    </w:rPr>
                    <w:t>t</w:t>
                  </w:r>
                  <w:r>
                    <w:rPr>
                      <w:color w:val="auto"/>
                      <w:szCs w:val="21"/>
                    </w:rPr>
                    <w:t>/</w:t>
                  </w:r>
                  <w:r>
                    <w:rPr>
                      <w:rFonts w:hint="eastAsia"/>
                      <w:color w:val="auto"/>
                      <w:szCs w:val="21"/>
                    </w:rPr>
                    <w:t>h生物质蒸汽锅炉，用于提供项目生产用热</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vMerge w:val="continue"/>
                  <w:tcBorders>
                    <w:tl2br w:val="nil"/>
                    <w:tr2bl w:val="nil"/>
                  </w:tcBorders>
                  <w:vAlign w:val="center"/>
                </w:tcPr>
                <w:p>
                  <w:pPr>
                    <w:shd w:val="clear"/>
                    <w:jc w:val="center"/>
                    <w:rPr>
                      <w:color w:val="auto"/>
                      <w:szCs w:val="21"/>
                    </w:rPr>
                  </w:pPr>
                </w:p>
              </w:tc>
              <w:tc>
                <w:tcPr>
                  <w:tcW w:w="509" w:type="pct"/>
                  <w:tcBorders>
                    <w:tl2br w:val="nil"/>
                    <w:tr2bl w:val="nil"/>
                  </w:tcBorders>
                  <w:vAlign w:val="center"/>
                </w:tcPr>
                <w:p>
                  <w:pPr>
                    <w:shd w:val="clear"/>
                    <w:jc w:val="center"/>
                    <w:rPr>
                      <w:color w:val="auto"/>
                      <w:spacing w:val="-4"/>
                      <w:szCs w:val="21"/>
                    </w:rPr>
                  </w:pPr>
                  <w:r>
                    <w:rPr>
                      <w:rFonts w:hint="eastAsia"/>
                      <w:color w:val="auto"/>
                      <w:spacing w:val="-4"/>
                      <w:szCs w:val="21"/>
                    </w:rPr>
                    <w:t>软水</w:t>
                  </w:r>
                </w:p>
                <w:p>
                  <w:pPr>
                    <w:shd w:val="clear"/>
                    <w:jc w:val="center"/>
                    <w:rPr>
                      <w:color w:val="auto"/>
                      <w:spacing w:val="-4"/>
                      <w:szCs w:val="21"/>
                    </w:rPr>
                  </w:pPr>
                  <w:r>
                    <w:rPr>
                      <w:rFonts w:hint="eastAsia"/>
                      <w:color w:val="auto"/>
                      <w:spacing w:val="-4"/>
                      <w:szCs w:val="21"/>
                    </w:rPr>
                    <w:t>制备</w:t>
                  </w:r>
                </w:p>
              </w:tc>
              <w:tc>
                <w:tcPr>
                  <w:tcW w:w="3677" w:type="pct"/>
                  <w:tcBorders>
                    <w:tl2br w:val="nil"/>
                    <w:tr2bl w:val="nil"/>
                  </w:tcBorders>
                  <w:vAlign w:val="center"/>
                </w:tcPr>
                <w:p>
                  <w:pPr>
                    <w:shd w:val="clear"/>
                    <w:jc w:val="both"/>
                    <w:rPr>
                      <w:color w:val="auto"/>
                    </w:rPr>
                  </w:pPr>
                  <w:r>
                    <w:rPr>
                      <w:rFonts w:hint="eastAsia" w:cs="Times New Roman"/>
                      <w:color w:val="auto"/>
                      <w:sz w:val="21"/>
                      <w:szCs w:val="21"/>
                      <w:highlight w:val="none"/>
                      <w:lang w:eastAsia="zh-CN"/>
                    </w:rPr>
                    <w:t>软化水制备</w:t>
                  </w:r>
                  <w:r>
                    <w:rPr>
                      <w:rFonts w:hint="default" w:ascii="Times New Roman" w:hAnsi="Times New Roman" w:cs="Times New Roman"/>
                      <w:color w:val="auto"/>
                      <w:sz w:val="21"/>
                      <w:szCs w:val="21"/>
                      <w:highlight w:val="none"/>
                      <w:lang w:eastAsia="zh-CN"/>
                    </w:rPr>
                    <w:t>位于</w:t>
                  </w:r>
                  <w:r>
                    <w:rPr>
                      <w:rFonts w:hint="eastAsia" w:cs="Times New Roman"/>
                      <w:color w:val="auto"/>
                      <w:sz w:val="21"/>
                      <w:szCs w:val="21"/>
                      <w:highlight w:val="none"/>
                      <w:lang w:eastAsia="zh-CN"/>
                    </w:rPr>
                    <w:t>锅炉房</w:t>
                  </w:r>
                  <w:r>
                    <w:rPr>
                      <w:rFonts w:hint="default" w:ascii="Times New Roman" w:hAnsi="Times New Roman" w:cs="Times New Roman"/>
                      <w:color w:val="auto"/>
                      <w:sz w:val="21"/>
                      <w:szCs w:val="21"/>
                      <w:highlight w:val="none"/>
                      <w:lang w:eastAsia="zh-CN"/>
                    </w:rPr>
                    <w:t>内，</w:t>
                  </w:r>
                  <w:r>
                    <w:rPr>
                      <w:rFonts w:hint="default" w:ascii="Times New Roman" w:hAnsi="Times New Roman" w:cs="Times New Roman"/>
                      <w:color w:val="auto"/>
                      <w:sz w:val="21"/>
                      <w:szCs w:val="21"/>
                      <w:highlight w:val="none"/>
                    </w:rPr>
                    <w:t>设置一套离子交换树脂</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软化水装置</w:t>
                  </w:r>
                  <w:r>
                    <w:rPr>
                      <w:rFonts w:hint="default" w:ascii="Times New Roman" w:hAnsi="Times New Roman" w:cs="Times New Roman"/>
                      <w:b w:val="0"/>
                      <w:bCs/>
                      <w:color w:val="auto"/>
                      <w:sz w:val="21"/>
                      <w:szCs w:val="21"/>
                      <w:highlight w:val="none"/>
                      <w:lang w:val="en-US" w:eastAsia="zh-CN"/>
                    </w:rPr>
                    <w:t>处理能力为</w:t>
                  </w:r>
                  <w:r>
                    <w:rPr>
                      <w:rFonts w:hint="eastAsia" w:cs="Times New Roman"/>
                      <w:color w:val="auto"/>
                      <w:sz w:val="21"/>
                      <w:szCs w:val="21"/>
                      <w:highlight w:val="none"/>
                      <w:lang w:val="en-US" w:eastAsia="zh-CN"/>
                    </w:rPr>
                    <w:t>6</w:t>
                  </w:r>
                  <w:r>
                    <w:rPr>
                      <w:rFonts w:hint="eastAsia"/>
                      <w:color w:val="auto"/>
                      <w:szCs w:val="21"/>
                      <w:vertAlign w:val="baseline"/>
                      <w:lang w:val="en-US" w:eastAsia="zh-CN"/>
                    </w:rPr>
                    <w:t>m</w:t>
                  </w:r>
                  <w:r>
                    <w:rPr>
                      <w:rFonts w:hint="eastAsia"/>
                      <w:color w:val="auto"/>
                      <w:szCs w:val="21"/>
                      <w:vertAlign w:val="superscript"/>
                      <w:lang w:val="en-US" w:eastAsia="zh-CN"/>
                    </w:rPr>
                    <w:t>3</w:t>
                  </w:r>
                  <w:r>
                    <w:rPr>
                      <w:rFonts w:hint="default" w:ascii="Times New Roman" w:hAnsi="Times New Roman" w:cs="Times New Roman"/>
                      <w:color w:val="auto"/>
                      <w:sz w:val="21"/>
                      <w:szCs w:val="21"/>
                      <w:highlight w:val="none"/>
                      <w:lang w:val="en-US" w:eastAsia="zh-CN"/>
                    </w:rPr>
                    <w:t>/h</w:t>
                  </w:r>
                  <w:r>
                    <w:rPr>
                      <w:rFonts w:hint="default" w:ascii="Times New Roman" w:hAnsi="Times New Roman" w:cs="Times New Roman"/>
                      <w:bCs/>
                      <w:color w:val="auto"/>
                      <w:sz w:val="21"/>
                      <w:szCs w:val="21"/>
                      <w:highlight w:val="none"/>
                    </w:rPr>
                    <w:t>，地面做简单防渗处理</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vMerge w:val="continue"/>
                  <w:tcBorders>
                    <w:tl2br w:val="nil"/>
                    <w:tr2bl w:val="nil"/>
                  </w:tcBorders>
                  <w:vAlign w:val="center"/>
                </w:tcPr>
                <w:p>
                  <w:pPr>
                    <w:shd w:val="clear"/>
                    <w:jc w:val="center"/>
                    <w:rPr>
                      <w:color w:val="auto"/>
                      <w:szCs w:val="21"/>
                    </w:rPr>
                  </w:pPr>
                </w:p>
              </w:tc>
              <w:tc>
                <w:tcPr>
                  <w:tcW w:w="509" w:type="pct"/>
                  <w:tcBorders>
                    <w:tl2br w:val="nil"/>
                    <w:tr2bl w:val="nil"/>
                  </w:tcBorders>
                  <w:vAlign w:val="center"/>
                </w:tcPr>
                <w:p>
                  <w:pPr>
                    <w:shd w:val="clear"/>
                    <w:jc w:val="center"/>
                    <w:rPr>
                      <w:rFonts w:hint="eastAsia"/>
                      <w:color w:val="auto"/>
                      <w:spacing w:val="-4"/>
                      <w:szCs w:val="21"/>
                      <w:lang w:val="en-US" w:eastAsia="zh-CN"/>
                    </w:rPr>
                  </w:pPr>
                  <w:r>
                    <w:rPr>
                      <w:rFonts w:hint="eastAsia"/>
                      <w:color w:val="auto"/>
                      <w:spacing w:val="-4"/>
                      <w:szCs w:val="21"/>
                      <w:lang w:val="en-US" w:eastAsia="zh-CN"/>
                    </w:rPr>
                    <w:t>消防</w:t>
                  </w:r>
                </w:p>
                <w:p>
                  <w:pPr>
                    <w:shd w:val="clear"/>
                    <w:jc w:val="center"/>
                    <w:rPr>
                      <w:rFonts w:hint="eastAsia" w:eastAsia="宋体"/>
                      <w:color w:val="auto"/>
                      <w:spacing w:val="-4"/>
                      <w:szCs w:val="21"/>
                      <w:lang w:val="en-US" w:eastAsia="zh-CN"/>
                    </w:rPr>
                  </w:pPr>
                  <w:r>
                    <w:rPr>
                      <w:rFonts w:hint="eastAsia"/>
                      <w:color w:val="auto"/>
                      <w:spacing w:val="-4"/>
                      <w:szCs w:val="21"/>
                      <w:lang w:val="en-US" w:eastAsia="zh-CN"/>
                    </w:rPr>
                    <w:t>泵房</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both"/>
                    <w:textAlignment w:val="auto"/>
                    <w:rPr>
                      <w:rFonts w:hint="default" w:eastAsia="宋体"/>
                      <w:color w:val="auto"/>
                      <w:vertAlign w:val="baseline"/>
                      <w:lang w:val="en-US" w:eastAsia="zh-CN"/>
                    </w:rPr>
                  </w:pPr>
                  <w:r>
                    <w:rPr>
                      <w:rFonts w:hint="eastAsia"/>
                      <w:color w:val="auto"/>
                      <w:lang w:val="en-US" w:eastAsia="zh-CN"/>
                    </w:rPr>
                    <w:t>位于生产厂房西北角，建筑面积252.15</w:t>
                  </w:r>
                  <w:r>
                    <w:rPr>
                      <w:color w:val="auto"/>
                      <w:szCs w:val="21"/>
                    </w:rPr>
                    <w:t>m</w:t>
                  </w:r>
                  <w:r>
                    <w:rPr>
                      <w:color w:val="auto"/>
                      <w:szCs w:val="21"/>
                      <w:vertAlign w:val="superscript"/>
                    </w:rPr>
                    <w:t>2</w:t>
                  </w:r>
                  <w:r>
                    <w:rPr>
                      <w:rFonts w:hint="eastAsia"/>
                      <w:color w:val="auto"/>
                      <w:szCs w:val="21"/>
                      <w:vertAlign w:val="baseline"/>
                      <w:lang w:eastAsia="zh-CN"/>
                    </w:rPr>
                    <w:t>，</w:t>
                  </w:r>
                  <w:r>
                    <w:rPr>
                      <w:rFonts w:hint="eastAsia"/>
                      <w:color w:val="auto"/>
                      <w:szCs w:val="21"/>
                      <w:vertAlign w:val="baseline"/>
                      <w:lang w:val="en-US" w:eastAsia="zh-CN"/>
                    </w:rPr>
                    <w:t>内设消防水箱，溶剂650m</w:t>
                  </w:r>
                  <w:r>
                    <w:rPr>
                      <w:rFonts w:hint="eastAsia"/>
                      <w:color w:val="auto"/>
                      <w:szCs w:val="21"/>
                      <w:vertAlign w:val="superscript"/>
                      <w:lang w:val="en-US" w:eastAsia="zh-CN"/>
                    </w:rPr>
                    <w:t>3</w:t>
                  </w:r>
                </w:p>
              </w:tc>
              <w:tc>
                <w:tcPr>
                  <w:tcW w:w="417" w:type="pct"/>
                  <w:tcBorders>
                    <w:tl2br w:val="nil"/>
                    <w:tr2bl w:val="nil"/>
                  </w:tcBorders>
                  <w:vAlign w:val="center"/>
                </w:tcPr>
                <w:p>
                  <w:pPr>
                    <w:shd w:val="clear"/>
                    <w:jc w:val="center"/>
                    <w:rPr>
                      <w:rFonts w:hint="eastAsia"/>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vMerge w:val="restart"/>
                  <w:tcBorders>
                    <w:tl2br w:val="nil"/>
                    <w:tr2bl w:val="nil"/>
                  </w:tcBorders>
                  <w:vAlign w:val="center"/>
                </w:tcPr>
                <w:p>
                  <w:pPr>
                    <w:shd w:val="clear"/>
                    <w:jc w:val="center"/>
                    <w:rPr>
                      <w:color w:val="auto"/>
                      <w:szCs w:val="21"/>
                    </w:rPr>
                  </w:pPr>
                  <w:r>
                    <w:rPr>
                      <w:color w:val="auto"/>
                      <w:szCs w:val="21"/>
                    </w:rPr>
                    <w:t>公用</w:t>
                  </w:r>
                </w:p>
                <w:p>
                  <w:pPr>
                    <w:shd w:val="clear"/>
                    <w:jc w:val="center"/>
                    <w:rPr>
                      <w:color w:val="auto"/>
                      <w:szCs w:val="21"/>
                    </w:rPr>
                  </w:pPr>
                  <w:r>
                    <w:rPr>
                      <w:color w:val="auto"/>
                      <w:szCs w:val="21"/>
                    </w:rPr>
                    <w:t>工程</w:t>
                  </w:r>
                </w:p>
              </w:tc>
              <w:tc>
                <w:tcPr>
                  <w:tcW w:w="509" w:type="pct"/>
                  <w:tcBorders>
                    <w:tl2br w:val="nil"/>
                    <w:tr2bl w:val="nil"/>
                  </w:tcBorders>
                  <w:vAlign w:val="center"/>
                </w:tcPr>
                <w:p>
                  <w:pPr>
                    <w:shd w:val="clear"/>
                    <w:jc w:val="center"/>
                    <w:rPr>
                      <w:color w:val="auto"/>
                      <w:szCs w:val="21"/>
                    </w:rPr>
                  </w:pPr>
                  <w:r>
                    <w:rPr>
                      <w:color w:val="auto"/>
                      <w:szCs w:val="21"/>
                    </w:rPr>
                    <w:t>给水</w:t>
                  </w:r>
                </w:p>
                <w:p>
                  <w:pPr>
                    <w:shd w:val="clear"/>
                    <w:jc w:val="center"/>
                    <w:rPr>
                      <w:color w:val="auto"/>
                      <w:szCs w:val="21"/>
                    </w:rPr>
                  </w:pPr>
                  <w:r>
                    <w:rPr>
                      <w:color w:val="auto"/>
                      <w:szCs w:val="21"/>
                    </w:rPr>
                    <w:t>工程</w:t>
                  </w:r>
                </w:p>
              </w:tc>
              <w:tc>
                <w:tcPr>
                  <w:tcW w:w="3677" w:type="pct"/>
                  <w:tcBorders>
                    <w:tl2br w:val="nil"/>
                    <w:tr2bl w:val="nil"/>
                  </w:tcBorders>
                  <w:vAlign w:val="center"/>
                </w:tcPr>
                <w:p>
                  <w:pPr>
                    <w:shd w:val="clear"/>
                    <w:jc w:val="center"/>
                    <w:rPr>
                      <w:color w:val="auto"/>
                      <w:szCs w:val="21"/>
                    </w:rPr>
                  </w:pPr>
                  <w:r>
                    <w:rPr>
                      <w:rFonts w:hint="eastAsia"/>
                      <w:color w:val="auto"/>
                      <w:szCs w:val="21"/>
                    </w:rPr>
                    <w:t>由厂区深水井提供，单井出水能力6</w:t>
                  </w:r>
                  <w:r>
                    <w:rPr>
                      <w:color w:val="auto"/>
                      <w:szCs w:val="21"/>
                    </w:rPr>
                    <w:t>0</w:t>
                  </w:r>
                  <w:r>
                    <w:rPr>
                      <w:rFonts w:hint="eastAsia"/>
                      <w:color w:val="auto"/>
                      <w:szCs w:val="21"/>
                    </w:rPr>
                    <w:t>m</w:t>
                  </w:r>
                  <w:r>
                    <w:rPr>
                      <w:color w:val="auto"/>
                      <w:szCs w:val="21"/>
                      <w:vertAlign w:val="superscript"/>
                    </w:rPr>
                    <w:t>3</w:t>
                  </w:r>
                  <w:r>
                    <w:rPr>
                      <w:color w:val="auto"/>
                      <w:szCs w:val="21"/>
                    </w:rPr>
                    <w:t>/</w:t>
                  </w:r>
                  <w:r>
                    <w:rPr>
                      <w:rFonts w:hint="eastAsia"/>
                      <w:color w:val="auto"/>
                      <w:szCs w:val="21"/>
                    </w:rPr>
                    <w:t>h</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396" w:type="pct"/>
                  <w:vMerge w:val="continue"/>
                  <w:tcBorders>
                    <w:tl2br w:val="nil"/>
                    <w:tr2bl w:val="nil"/>
                  </w:tcBorders>
                  <w:vAlign w:val="center"/>
                </w:tcPr>
                <w:p>
                  <w:pPr>
                    <w:shd w:val="clear"/>
                    <w:ind w:firstLine="105" w:firstLineChars="50"/>
                    <w:jc w:val="center"/>
                    <w:rPr>
                      <w:color w:val="auto"/>
                      <w:szCs w:val="21"/>
                    </w:rPr>
                  </w:pPr>
                </w:p>
              </w:tc>
              <w:tc>
                <w:tcPr>
                  <w:tcW w:w="509" w:type="pct"/>
                  <w:tcBorders>
                    <w:tl2br w:val="nil"/>
                    <w:tr2bl w:val="nil"/>
                  </w:tcBorders>
                  <w:vAlign w:val="center"/>
                </w:tcPr>
                <w:p>
                  <w:pPr>
                    <w:shd w:val="clear"/>
                    <w:jc w:val="center"/>
                    <w:rPr>
                      <w:color w:val="auto"/>
                      <w:szCs w:val="21"/>
                    </w:rPr>
                  </w:pPr>
                  <w:r>
                    <w:rPr>
                      <w:color w:val="auto"/>
                      <w:szCs w:val="21"/>
                    </w:rPr>
                    <w:t>排水</w:t>
                  </w:r>
                </w:p>
                <w:p>
                  <w:pPr>
                    <w:shd w:val="clear"/>
                    <w:jc w:val="center"/>
                    <w:rPr>
                      <w:color w:val="auto"/>
                      <w:szCs w:val="21"/>
                    </w:rPr>
                  </w:pPr>
                  <w:r>
                    <w:rPr>
                      <w:color w:val="auto"/>
                      <w:szCs w:val="21"/>
                    </w:rPr>
                    <w:t>工程</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left="0" w:leftChars="0" w:right="0" w:rightChars="0" w:firstLine="420" w:firstLineChars="200"/>
                    <w:jc w:val="both"/>
                    <w:textAlignment w:val="auto"/>
                    <w:rPr>
                      <w:color w:val="auto"/>
                      <w:szCs w:val="21"/>
                    </w:rPr>
                  </w:pPr>
                  <w:r>
                    <w:rPr>
                      <w:rFonts w:hint="eastAsia"/>
                      <w:color w:val="auto"/>
                      <w:szCs w:val="21"/>
                    </w:rPr>
                    <w:t>本项目</w:t>
                  </w:r>
                  <w:r>
                    <w:rPr>
                      <w:color w:val="auto"/>
                      <w:szCs w:val="21"/>
                    </w:rPr>
                    <w:t>生活污水排</w:t>
                  </w:r>
                  <w:r>
                    <w:rPr>
                      <w:rFonts w:hint="eastAsia" w:ascii="Times New Roman" w:hAnsi="Times New Roman" w:eastAsia="宋体" w:cs="Times New Roman"/>
                      <w:color w:val="auto"/>
                      <w:szCs w:val="21"/>
                    </w:rPr>
                    <w:t>入防渗</w:t>
                  </w:r>
                  <w:r>
                    <w:rPr>
                      <w:rFonts w:hint="eastAsia" w:ascii="Times New Roman" w:hAnsi="Times New Roman" w:eastAsia="宋体" w:cs="Times New Roman"/>
                      <w:color w:val="auto"/>
                      <w:szCs w:val="21"/>
                      <w:lang w:val="en-US" w:eastAsia="zh-CN"/>
                    </w:rPr>
                    <w:t>化粪池</w:t>
                  </w:r>
                  <w:r>
                    <w:rPr>
                      <w:rFonts w:hint="eastAsia" w:ascii="Times New Roman" w:hAnsi="Times New Roman" w:eastAsia="宋体" w:cs="Times New Roman"/>
                      <w:color w:val="auto"/>
                      <w:szCs w:val="21"/>
                    </w:rPr>
                    <w:t>，定期清掏。生产废水（车间地面冲洗废水、</w:t>
                  </w:r>
                  <w:r>
                    <w:rPr>
                      <w:rFonts w:hint="eastAsia" w:ascii="Times New Roman" w:hAnsi="Times New Roman" w:eastAsia="宋体" w:cs="Times New Roman"/>
                      <w:color w:val="auto"/>
                      <w:szCs w:val="21"/>
                      <w:lang w:val="en-US" w:eastAsia="zh-CN"/>
                    </w:rPr>
                    <w:t>清洗废水、</w:t>
                  </w:r>
                  <w:r>
                    <w:rPr>
                      <w:rFonts w:hint="eastAsia" w:ascii="Times New Roman" w:hAnsi="Times New Roman" w:eastAsia="宋体" w:cs="Times New Roman"/>
                      <w:color w:val="auto"/>
                      <w:szCs w:val="21"/>
                    </w:rPr>
                    <w:t>锅炉排污水及软化废水）</w:t>
                  </w:r>
                  <w:r>
                    <w:rPr>
                      <w:rFonts w:hint="eastAsia"/>
                      <w:color w:val="auto"/>
                      <w:szCs w:val="21"/>
                    </w:rPr>
                    <w:t>暂存于</w:t>
                  </w:r>
                  <w:r>
                    <w:rPr>
                      <w:rFonts w:hint="eastAsia"/>
                      <w:color w:val="auto"/>
                      <w:szCs w:val="21"/>
                      <w:lang w:val="en-US" w:eastAsia="zh-CN"/>
                    </w:rPr>
                    <w:t>6</w:t>
                  </w:r>
                  <w:r>
                    <w:rPr>
                      <w:rFonts w:hint="eastAsia"/>
                      <w:color w:val="auto"/>
                      <w:szCs w:val="21"/>
                    </w:rPr>
                    <w:t>0m</w:t>
                  </w:r>
                  <w:r>
                    <w:rPr>
                      <w:rFonts w:hint="eastAsia"/>
                      <w:color w:val="auto"/>
                      <w:szCs w:val="21"/>
                      <w:vertAlign w:val="superscript"/>
                    </w:rPr>
                    <w:t>3</w:t>
                  </w:r>
                  <w:r>
                    <w:rPr>
                      <w:rFonts w:hint="eastAsia"/>
                      <w:color w:val="auto"/>
                      <w:szCs w:val="21"/>
                    </w:rPr>
                    <w:t>的密闭储罐内，</w:t>
                  </w:r>
                  <w:r>
                    <w:rPr>
                      <w:rFonts w:hint="eastAsia"/>
                      <w:color w:val="auto"/>
                    </w:rPr>
                    <w:t>清洗</w:t>
                  </w:r>
                  <w:r>
                    <w:rPr>
                      <w:rFonts w:hint="eastAsia"/>
                      <w:color w:val="auto"/>
                      <w:lang w:val="en-US" w:eastAsia="zh-CN"/>
                    </w:rPr>
                    <w:t>废水主要是悬浮物，污染物浓度较低，</w:t>
                  </w:r>
                  <w:r>
                    <w:rPr>
                      <w:rFonts w:hint="eastAsia" w:eastAsia="宋体"/>
                      <w:color w:val="auto"/>
                      <w:lang w:eastAsia="zh-CN"/>
                    </w:rPr>
                    <w:t>蒸煮冷凝水</w:t>
                  </w:r>
                  <w:r>
                    <w:rPr>
                      <w:rFonts w:hint="eastAsia"/>
                      <w:color w:val="auto"/>
                      <w:szCs w:val="21"/>
                    </w:rPr>
                    <w:t>主要成分是蒸馏水，每天由专用罐车拉运至海伦市污水处理厂处理，日产日清</w:t>
                  </w:r>
                  <w:r>
                    <w:rPr>
                      <w:color w:val="auto"/>
                      <w:szCs w:val="21"/>
                    </w:rPr>
                    <w:t>。</w:t>
                  </w:r>
                </w:p>
              </w:tc>
              <w:tc>
                <w:tcPr>
                  <w:tcW w:w="417" w:type="pct"/>
                  <w:tcBorders>
                    <w:tl2br w:val="nil"/>
                    <w:tr2bl w:val="nil"/>
                  </w:tcBorders>
                  <w:vAlign w:val="center"/>
                </w:tcPr>
                <w:p>
                  <w:pPr>
                    <w:shd w:val="clear"/>
                    <w:ind w:left="-107" w:leftChars="-51" w:right="-115" w:rightChars="-55"/>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vMerge w:val="continue"/>
                  <w:tcBorders>
                    <w:tl2br w:val="nil"/>
                    <w:tr2bl w:val="nil"/>
                  </w:tcBorders>
                  <w:vAlign w:val="center"/>
                </w:tcPr>
                <w:p>
                  <w:pPr>
                    <w:shd w:val="clear"/>
                    <w:ind w:firstLine="105" w:firstLineChars="50"/>
                    <w:jc w:val="center"/>
                    <w:rPr>
                      <w:color w:val="auto"/>
                      <w:szCs w:val="21"/>
                    </w:rPr>
                  </w:pPr>
                </w:p>
              </w:tc>
              <w:tc>
                <w:tcPr>
                  <w:tcW w:w="509" w:type="pct"/>
                  <w:tcBorders>
                    <w:tl2br w:val="nil"/>
                    <w:tr2bl w:val="nil"/>
                  </w:tcBorders>
                  <w:vAlign w:val="center"/>
                </w:tcPr>
                <w:p>
                  <w:pPr>
                    <w:shd w:val="clear"/>
                    <w:jc w:val="center"/>
                    <w:rPr>
                      <w:color w:val="auto"/>
                      <w:szCs w:val="21"/>
                    </w:rPr>
                  </w:pPr>
                  <w:r>
                    <w:rPr>
                      <w:color w:val="auto"/>
                      <w:szCs w:val="21"/>
                    </w:rPr>
                    <w:t>供电</w:t>
                  </w:r>
                </w:p>
                <w:p>
                  <w:pPr>
                    <w:shd w:val="clear"/>
                    <w:jc w:val="center"/>
                    <w:rPr>
                      <w:color w:val="auto"/>
                      <w:szCs w:val="21"/>
                    </w:rPr>
                  </w:pPr>
                  <w:r>
                    <w:rPr>
                      <w:color w:val="auto"/>
                      <w:szCs w:val="21"/>
                    </w:rPr>
                    <w:t>工程</w:t>
                  </w:r>
                </w:p>
              </w:tc>
              <w:tc>
                <w:tcPr>
                  <w:tcW w:w="3677" w:type="pct"/>
                  <w:tcBorders>
                    <w:tl2br w:val="nil"/>
                    <w:tr2bl w:val="nil"/>
                  </w:tcBorders>
                  <w:vAlign w:val="center"/>
                </w:tcPr>
                <w:p>
                  <w:pPr>
                    <w:shd w:val="clear"/>
                    <w:jc w:val="center"/>
                    <w:rPr>
                      <w:color w:val="auto"/>
                      <w:szCs w:val="21"/>
                    </w:rPr>
                  </w:pPr>
                  <w:r>
                    <w:rPr>
                      <w:color w:val="auto"/>
                      <w:szCs w:val="21"/>
                    </w:rPr>
                    <w:t>由电业局提供</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396" w:type="pct"/>
                  <w:vMerge w:val="continue"/>
                  <w:tcBorders>
                    <w:tl2br w:val="nil"/>
                    <w:tr2bl w:val="nil"/>
                  </w:tcBorders>
                  <w:vAlign w:val="center"/>
                </w:tcPr>
                <w:p>
                  <w:pPr>
                    <w:shd w:val="clear"/>
                    <w:ind w:firstLine="105" w:firstLineChars="50"/>
                    <w:jc w:val="center"/>
                    <w:rPr>
                      <w:color w:val="auto"/>
                      <w:szCs w:val="21"/>
                    </w:rPr>
                  </w:pPr>
                </w:p>
              </w:tc>
              <w:tc>
                <w:tcPr>
                  <w:tcW w:w="509" w:type="pct"/>
                  <w:tcBorders>
                    <w:tl2br w:val="nil"/>
                    <w:tr2bl w:val="nil"/>
                  </w:tcBorders>
                  <w:vAlign w:val="center"/>
                </w:tcPr>
                <w:p>
                  <w:pPr>
                    <w:shd w:val="clear"/>
                    <w:jc w:val="center"/>
                    <w:rPr>
                      <w:color w:val="auto"/>
                      <w:szCs w:val="21"/>
                    </w:rPr>
                  </w:pPr>
                  <w:r>
                    <w:rPr>
                      <w:color w:val="auto"/>
                      <w:szCs w:val="21"/>
                    </w:rPr>
                    <w:t>供热</w:t>
                  </w:r>
                </w:p>
                <w:p>
                  <w:pPr>
                    <w:shd w:val="clear"/>
                    <w:jc w:val="center"/>
                    <w:rPr>
                      <w:color w:val="auto"/>
                      <w:szCs w:val="21"/>
                    </w:rPr>
                  </w:pPr>
                  <w:r>
                    <w:rPr>
                      <w:color w:val="auto"/>
                      <w:szCs w:val="21"/>
                    </w:rPr>
                    <w:t>工程</w:t>
                  </w:r>
                </w:p>
              </w:tc>
              <w:tc>
                <w:tcPr>
                  <w:tcW w:w="3677" w:type="pct"/>
                  <w:tcBorders>
                    <w:tl2br w:val="nil"/>
                    <w:tr2bl w:val="nil"/>
                  </w:tcBorders>
                  <w:vAlign w:val="center"/>
                </w:tcPr>
                <w:p>
                  <w:pPr>
                    <w:shd w:val="clear"/>
                    <w:jc w:val="center"/>
                    <w:rPr>
                      <w:color w:val="auto"/>
                      <w:szCs w:val="21"/>
                    </w:rPr>
                  </w:pPr>
                  <w:r>
                    <w:rPr>
                      <w:rFonts w:hint="eastAsia"/>
                      <w:color w:val="auto"/>
                      <w:szCs w:val="21"/>
                      <w:lang w:val="en-US" w:eastAsia="zh-CN"/>
                    </w:rPr>
                    <w:t>本项目冬季不生产，</w:t>
                  </w:r>
                  <w:r>
                    <w:rPr>
                      <w:rFonts w:hint="eastAsia"/>
                      <w:color w:val="auto"/>
                      <w:szCs w:val="21"/>
                    </w:rPr>
                    <w:t>项目蒸汽由</w:t>
                  </w:r>
                  <w:r>
                    <w:rPr>
                      <w:rFonts w:hint="eastAsia"/>
                      <w:color w:val="auto"/>
                      <w:szCs w:val="21"/>
                      <w:lang w:val="en-US" w:eastAsia="zh-CN"/>
                    </w:rPr>
                    <w:t>1</w:t>
                  </w:r>
                  <w:r>
                    <w:rPr>
                      <w:rFonts w:hint="eastAsia"/>
                      <w:color w:val="auto"/>
                      <w:szCs w:val="21"/>
                    </w:rPr>
                    <w:t>台</w:t>
                  </w:r>
                  <w:r>
                    <w:rPr>
                      <w:rFonts w:hint="eastAsia"/>
                      <w:color w:val="auto"/>
                      <w:szCs w:val="21"/>
                      <w:lang w:val="en-US" w:eastAsia="zh-CN"/>
                    </w:rPr>
                    <w:t>4</w:t>
                  </w:r>
                  <w:r>
                    <w:rPr>
                      <w:rFonts w:hint="eastAsia"/>
                      <w:color w:val="auto"/>
                      <w:szCs w:val="21"/>
                    </w:rPr>
                    <w:t>t</w:t>
                  </w:r>
                  <w:r>
                    <w:rPr>
                      <w:color w:val="auto"/>
                      <w:szCs w:val="21"/>
                    </w:rPr>
                    <w:t>/</w:t>
                  </w:r>
                  <w:r>
                    <w:rPr>
                      <w:rFonts w:hint="eastAsia"/>
                      <w:color w:val="auto"/>
                      <w:szCs w:val="21"/>
                    </w:rPr>
                    <w:t>h</w:t>
                  </w:r>
                  <w:r>
                    <w:rPr>
                      <w:color w:val="auto"/>
                      <w:szCs w:val="21"/>
                    </w:rPr>
                    <w:t>燃生物质</w:t>
                  </w:r>
                  <w:r>
                    <w:rPr>
                      <w:rFonts w:hint="eastAsia"/>
                      <w:color w:val="auto"/>
                      <w:szCs w:val="21"/>
                    </w:rPr>
                    <w:t>蒸汽</w:t>
                  </w:r>
                  <w:r>
                    <w:rPr>
                      <w:color w:val="auto"/>
                      <w:szCs w:val="21"/>
                    </w:rPr>
                    <w:t>锅炉</w:t>
                  </w:r>
                  <w:r>
                    <w:rPr>
                      <w:rFonts w:hint="eastAsia"/>
                      <w:color w:val="auto"/>
                      <w:szCs w:val="21"/>
                    </w:rPr>
                    <w:t>提供</w:t>
                  </w:r>
                  <w:r>
                    <w:rPr>
                      <w:rFonts w:hint="eastAsia"/>
                      <w:color w:val="auto"/>
                      <w:szCs w:val="21"/>
                      <w:lang w:eastAsia="zh-CN"/>
                    </w:rPr>
                    <w:t>。</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2" w:hRule="atLeast"/>
                <w:jc w:val="center"/>
              </w:trPr>
              <w:tc>
                <w:tcPr>
                  <w:tcW w:w="396" w:type="pct"/>
                  <w:vMerge w:val="restart"/>
                  <w:tcBorders>
                    <w:tl2br w:val="nil"/>
                    <w:tr2bl w:val="nil"/>
                  </w:tcBorders>
                  <w:vAlign w:val="center"/>
                </w:tcPr>
                <w:p>
                  <w:pPr>
                    <w:shd w:val="clear"/>
                    <w:jc w:val="center"/>
                    <w:rPr>
                      <w:color w:val="auto"/>
                      <w:szCs w:val="21"/>
                    </w:rPr>
                  </w:pPr>
                  <w:r>
                    <w:rPr>
                      <w:color w:val="auto"/>
                      <w:szCs w:val="21"/>
                    </w:rPr>
                    <w:t>环保</w:t>
                  </w:r>
                </w:p>
                <w:p>
                  <w:pPr>
                    <w:shd w:val="clear"/>
                    <w:jc w:val="center"/>
                    <w:rPr>
                      <w:color w:val="auto"/>
                      <w:szCs w:val="21"/>
                    </w:rPr>
                  </w:pPr>
                  <w:r>
                    <w:rPr>
                      <w:color w:val="auto"/>
                      <w:szCs w:val="21"/>
                    </w:rPr>
                    <w:t>工程</w:t>
                  </w:r>
                </w:p>
              </w:tc>
              <w:tc>
                <w:tcPr>
                  <w:tcW w:w="509" w:type="pct"/>
                  <w:vMerge w:val="restart"/>
                  <w:tcBorders>
                    <w:tl2br w:val="nil"/>
                    <w:tr2bl w:val="nil"/>
                  </w:tcBorders>
                  <w:vAlign w:val="center"/>
                </w:tcPr>
                <w:p>
                  <w:pPr>
                    <w:shd w:val="clear"/>
                    <w:jc w:val="center"/>
                    <w:rPr>
                      <w:color w:val="auto"/>
                      <w:szCs w:val="21"/>
                    </w:rPr>
                  </w:pPr>
                  <w:r>
                    <w:rPr>
                      <w:color w:val="auto"/>
                      <w:szCs w:val="21"/>
                    </w:rPr>
                    <w:t>废气</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firstLine="420" w:firstLineChars="200"/>
                    <w:textAlignment w:val="auto"/>
                    <w:rPr>
                      <w:color w:val="auto"/>
                    </w:rPr>
                  </w:pPr>
                  <w:r>
                    <w:rPr>
                      <w:color w:val="auto"/>
                    </w:rPr>
                    <w:t>1）本项目</w:t>
                  </w:r>
                  <w:r>
                    <w:rPr>
                      <w:rFonts w:hint="eastAsia"/>
                      <w:color w:val="auto"/>
                      <w:lang w:val="en-US" w:eastAsia="zh-CN"/>
                    </w:rPr>
                    <w:t>1台4</w:t>
                  </w:r>
                  <w:r>
                    <w:rPr>
                      <w:rFonts w:hint="eastAsia"/>
                      <w:color w:val="auto"/>
                    </w:rPr>
                    <w:t>t</w:t>
                  </w:r>
                  <w:r>
                    <w:rPr>
                      <w:color w:val="auto"/>
                    </w:rPr>
                    <w:t>/</w:t>
                  </w:r>
                  <w:r>
                    <w:rPr>
                      <w:rFonts w:hint="eastAsia"/>
                      <w:color w:val="auto"/>
                    </w:rPr>
                    <w:t>h</w:t>
                  </w:r>
                  <w:r>
                    <w:rPr>
                      <w:color w:val="auto"/>
                    </w:rPr>
                    <w:t>燃生物质</w:t>
                  </w:r>
                  <w:r>
                    <w:rPr>
                      <w:rFonts w:hint="eastAsia"/>
                      <w:color w:val="auto"/>
                    </w:rPr>
                    <w:t>蒸汽</w:t>
                  </w:r>
                  <w:r>
                    <w:rPr>
                      <w:color w:val="auto"/>
                    </w:rPr>
                    <w:t>锅炉产生的</w:t>
                  </w:r>
                  <w:r>
                    <w:rPr>
                      <w:rFonts w:hint="eastAsia"/>
                      <w:color w:val="auto"/>
                    </w:rPr>
                    <w:t>烟气</w:t>
                  </w:r>
                  <w:r>
                    <w:rPr>
                      <w:color w:val="auto"/>
                    </w:rPr>
                    <w:t>经布袋除尘器处理后经</w:t>
                  </w:r>
                  <w:r>
                    <w:rPr>
                      <w:rFonts w:hint="eastAsia"/>
                      <w:color w:val="auto"/>
                      <w:lang w:val="en-US" w:eastAsia="zh-CN"/>
                    </w:rPr>
                    <w:t>1根</w:t>
                  </w:r>
                  <w:r>
                    <w:rPr>
                      <w:color w:val="auto"/>
                    </w:rPr>
                    <w:t>3</w:t>
                  </w:r>
                  <w:r>
                    <w:rPr>
                      <w:rFonts w:hint="eastAsia"/>
                      <w:color w:val="auto"/>
                      <w:lang w:val="en-US" w:eastAsia="zh-CN"/>
                    </w:rPr>
                    <w:t>5</w:t>
                  </w:r>
                  <w:r>
                    <w:rPr>
                      <w:color w:val="auto"/>
                    </w:rPr>
                    <w:t>米高烟囱（</w:t>
                  </w:r>
                  <w:r>
                    <w:rPr>
                      <w:rFonts w:hint="eastAsia"/>
                      <w:color w:val="auto"/>
                    </w:rPr>
                    <w:t>DA001</w:t>
                  </w:r>
                  <w:r>
                    <w:rPr>
                      <w:color w:val="auto"/>
                    </w:rPr>
                    <w:t>）排放，布袋除尘器处理效率为99.9%</w:t>
                  </w:r>
                  <w:r>
                    <w:rPr>
                      <w:rFonts w:hint="eastAsia"/>
                      <w:color w:val="auto"/>
                    </w:rPr>
                    <w:t>，满足</w:t>
                  </w:r>
                  <w:r>
                    <w:rPr>
                      <w:color w:val="auto"/>
                    </w:rPr>
                    <w:t>《锅炉大气污染物排放标准》（GB13271-2014）</w:t>
                  </w:r>
                  <w:r>
                    <w:rPr>
                      <w:rFonts w:hint="eastAsia"/>
                      <w:color w:val="auto"/>
                    </w:rPr>
                    <w:t>表2新建锅炉大气污染物排放浓度限值中燃煤锅炉要求。</w:t>
                  </w:r>
                </w:p>
              </w:tc>
              <w:tc>
                <w:tcPr>
                  <w:tcW w:w="417" w:type="pct"/>
                  <w:tcBorders>
                    <w:tl2br w:val="nil"/>
                    <w:tr2bl w:val="nil"/>
                  </w:tcBorders>
                  <w:vAlign w:val="center"/>
                </w:tcPr>
                <w:p>
                  <w:pPr>
                    <w:shd w:val="clear"/>
                    <w:jc w:val="center"/>
                    <w:rPr>
                      <w:color w:val="auto"/>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6" w:type="pct"/>
                  <w:vMerge w:val="continue"/>
                  <w:tcBorders>
                    <w:tl2br w:val="nil"/>
                    <w:tr2bl w:val="nil"/>
                  </w:tcBorders>
                  <w:vAlign w:val="center"/>
                </w:tcPr>
                <w:p>
                  <w:pPr>
                    <w:shd w:val="clear"/>
                    <w:jc w:val="center"/>
                    <w:rPr>
                      <w:color w:val="auto"/>
                      <w:szCs w:val="21"/>
                    </w:rPr>
                  </w:pPr>
                </w:p>
              </w:tc>
              <w:tc>
                <w:tcPr>
                  <w:tcW w:w="509" w:type="pct"/>
                  <w:vMerge w:val="continue"/>
                  <w:tcBorders>
                    <w:tl2br w:val="nil"/>
                    <w:tr2bl w:val="nil"/>
                  </w:tcBorders>
                  <w:vAlign w:val="center"/>
                </w:tcPr>
                <w:p>
                  <w:pPr>
                    <w:shd w:val="clear"/>
                    <w:jc w:val="center"/>
                    <w:rPr>
                      <w:color w:val="auto"/>
                      <w:szCs w:val="21"/>
                    </w:rPr>
                  </w:pP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firstLine="420" w:firstLineChars="200"/>
                    <w:textAlignment w:val="auto"/>
                    <w:rPr>
                      <w:color w:val="auto"/>
                      <w:szCs w:val="21"/>
                    </w:rPr>
                  </w:pPr>
                  <w:r>
                    <w:rPr>
                      <w:color w:val="auto"/>
                      <w:szCs w:val="21"/>
                    </w:rPr>
                    <w:t>2）本项目玉米</w:t>
                  </w:r>
                  <w:r>
                    <w:rPr>
                      <w:rFonts w:hint="eastAsia"/>
                      <w:color w:val="auto"/>
                      <w:szCs w:val="21"/>
                      <w:lang w:eastAsia="zh-CN"/>
                    </w:rPr>
                    <w:t>蒸煮</w:t>
                  </w:r>
                  <w:r>
                    <w:rPr>
                      <w:color w:val="auto"/>
                      <w:szCs w:val="21"/>
                    </w:rPr>
                    <w:t>工序会产生少量异味（以臭气浓度计），</w:t>
                  </w:r>
                  <w:r>
                    <w:rPr>
                      <w:rFonts w:hint="eastAsia"/>
                      <w:color w:val="auto"/>
                      <w:szCs w:val="21"/>
                      <w:lang w:eastAsia="zh-CN"/>
                    </w:rPr>
                    <w:t>蒸煮</w:t>
                  </w:r>
                  <w:r>
                    <w:rPr>
                      <w:color w:val="auto"/>
                      <w:szCs w:val="21"/>
                    </w:rPr>
                    <w:t>工序产生异味在生产车间内散溢，</w:t>
                  </w:r>
                  <w:r>
                    <w:rPr>
                      <w:bCs/>
                      <w:color w:val="auto"/>
                      <w:szCs w:val="21"/>
                    </w:rPr>
                    <w:t>加强车间通风，</w:t>
                  </w:r>
                  <w:r>
                    <w:rPr>
                      <w:rFonts w:hint="eastAsia"/>
                      <w:color w:val="auto"/>
                      <w:szCs w:val="21"/>
                      <w:lang w:eastAsia="zh-CN"/>
                    </w:rPr>
                    <w:t>蒸煮</w:t>
                  </w:r>
                  <w:r>
                    <w:rPr>
                      <w:color w:val="auto"/>
                      <w:szCs w:val="21"/>
                    </w:rPr>
                    <w:t>工序</w:t>
                  </w:r>
                  <w:r>
                    <w:rPr>
                      <w:bCs/>
                      <w:color w:val="auto"/>
                      <w:szCs w:val="21"/>
                    </w:rPr>
                    <w:t>异味对外环境影响较小。厂界臭气浓度能</w:t>
                  </w:r>
                  <w:r>
                    <w:rPr>
                      <w:color w:val="auto"/>
                      <w:szCs w:val="21"/>
                    </w:rPr>
                    <w:t xml:space="preserve">够满足《恶臭污染物排放标准》（GB14554-93）表2中臭气浓度20 </w:t>
                  </w:r>
                  <w:r>
                    <w:rPr>
                      <w:rFonts w:hint="eastAsia"/>
                      <w:color w:val="auto"/>
                      <w:szCs w:val="21"/>
                      <w:lang w:eastAsia="zh-CN"/>
                    </w:rPr>
                    <w:t>（</w:t>
                  </w:r>
                  <w:r>
                    <w:rPr>
                      <w:color w:val="auto"/>
                      <w:szCs w:val="21"/>
                    </w:rPr>
                    <w:t>无量纲</w:t>
                  </w:r>
                  <w:r>
                    <w:rPr>
                      <w:rFonts w:hint="eastAsia"/>
                      <w:color w:val="auto"/>
                      <w:szCs w:val="21"/>
                      <w:lang w:eastAsia="zh-CN"/>
                    </w:rPr>
                    <w:t>）</w:t>
                  </w:r>
                  <w:r>
                    <w:rPr>
                      <w:color w:val="auto"/>
                      <w:szCs w:val="21"/>
                    </w:rPr>
                    <w:t>标准限值。</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6" w:type="pct"/>
                  <w:vMerge w:val="continue"/>
                  <w:tcBorders>
                    <w:tl2br w:val="nil"/>
                    <w:tr2bl w:val="nil"/>
                  </w:tcBorders>
                  <w:vAlign w:val="center"/>
                </w:tcPr>
                <w:p>
                  <w:pPr>
                    <w:shd w:val="clear"/>
                    <w:jc w:val="center"/>
                    <w:rPr>
                      <w:color w:val="auto"/>
                      <w:szCs w:val="21"/>
                    </w:rPr>
                  </w:pPr>
                </w:p>
              </w:tc>
              <w:tc>
                <w:tcPr>
                  <w:tcW w:w="509" w:type="pct"/>
                  <w:vMerge w:val="continue"/>
                  <w:tcBorders>
                    <w:tl2br w:val="nil"/>
                    <w:tr2bl w:val="nil"/>
                  </w:tcBorders>
                  <w:vAlign w:val="center"/>
                </w:tcPr>
                <w:p>
                  <w:pPr>
                    <w:shd w:val="clear"/>
                    <w:jc w:val="center"/>
                    <w:rPr>
                      <w:color w:val="auto"/>
                      <w:szCs w:val="21"/>
                    </w:rPr>
                  </w:pP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firstLine="420" w:firstLineChars="200"/>
                    <w:textAlignment w:val="auto"/>
                    <w:rPr>
                      <w:color w:val="auto"/>
                      <w:szCs w:val="21"/>
                    </w:rPr>
                  </w:pPr>
                  <w:r>
                    <w:rPr>
                      <w:color w:val="auto"/>
                      <w:szCs w:val="21"/>
                    </w:rPr>
                    <w:t>3）食堂安装油烟净化器进行净化，净化效率</w:t>
                  </w:r>
                  <w:r>
                    <w:rPr>
                      <w:rFonts w:hint="eastAsia"/>
                      <w:color w:val="auto"/>
                      <w:szCs w:val="21"/>
                      <w:lang w:val="en-US" w:eastAsia="zh-CN"/>
                    </w:rPr>
                    <w:t>75</w:t>
                  </w:r>
                  <w:r>
                    <w:rPr>
                      <w:color w:val="auto"/>
                      <w:szCs w:val="21"/>
                    </w:rPr>
                    <w:t>%，油烟废气经油烟净化器处理后达标排放。</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5" w:hRule="atLeast"/>
                <w:jc w:val="center"/>
              </w:trPr>
              <w:tc>
                <w:tcPr>
                  <w:tcW w:w="396" w:type="pct"/>
                  <w:vMerge w:val="continue"/>
                  <w:tcBorders>
                    <w:tl2br w:val="nil"/>
                    <w:tr2bl w:val="nil"/>
                  </w:tcBorders>
                  <w:vAlign w:val="center"/>
                </w:tcPr>
                <w:p>
                  <w:pPr>
                    <w:shd w:val="clear"/>
                    <w:jc w:val="center"/>
                    <w:rPr>
                      <w:color w:val="auto"/>
                      <w:szCs w:val="21"/>
                    </w:rPr>
                  </w:pPr>
                </w:p>
              </w:tc>
              <w:tc>
                <w:tcPr>
                  <w:tcW w:w="509" w:type="pct"/>
                  <w:tcBorders>
                    <w:tl2br w:val="nil"/>
                    <w:tr2bl w:val="nil"/>
                  </w:tcBorders>
                  <w:vAlign w:val="center"/>
                </w:tcPr>
                <w:p>
                  <w:pPr>
                    <w:shd w:val="clear"/>
                    <w:jc w:val="center"/>
                    <w:rPr>
                      <w:color w:val="auto"/>
                      <w:szCs w:val="21"/>
                    </w:rPr>
                  </w:pPr>
                  <w:r>
                    <w:rPr>
                      <w:color w:val="auto"/>
                      <w:szCs w:val="21"/>
                    </w:rPr>
                    <w:t>废水</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left"/>
                    <w:textAlignment w:val="auto"/>
                    <w:rPr>
                      <w:color w:val="auto"/>
                      <w:szCs w:val="21"/>
                    </w:rPr>
                  </w:pPr>
                  <w:r>
                    <w:rPr>
                      <w:rFonts w:hint="default" w:ascii="Times New Roman" w:hAnsi="Times New Roman" w:eastAsia="宋体" w:cs="Times New Roman"/>
                      <w:color w:val="auto"/>
                    </w:rPr>
                    <w:t>本项目</w:t>
                  </w:r>
                  <w:r>
                    <w:rPr>
                      <w:rFonts w:hint="default" w:ascii="Times New Roman" w:hAnsi="Times New Roman" w:eastAsia="宋体" w:cs="Times New Roman"/>
                      <w:color w:val="auto"/>
                      <w:lang w:val="en-US" w:eastAsia="zh-CN"/>
                    </w:rPr>
                    <w:t>生活污水进入厂区内防渗</w:t>
                  </w:r>
                  <w:r>
                    <w:rPr>
                      <w:rFonts w:hint="eastAsia" w:ascii="Times New Roman" w:hAnsi="Times New Roman" w:eastAsia="宋体" w:cs="Times New Roman"/>
                      <w:color w:val="auto"/>
                      <w:lang w:val="en-US" w:eastAsia="zh-CN"/>
                    </w:rPr>
                    <w:t>化粪池</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定期清掏。</w:t>
                  </w:r>
                  <w:r>
                    <w:rPr>
                      <w:rFonts w:ascii="Times New Roman" w:hAnsi="Times New Roman" w:eastAsia="宋体" w:cs="Times New Roman"/>
                      <w:color w:val="auto"/>
                    </w:rPr>
                    <w:t>生产废水（车间地面冲洗废水、</w:t>
                  </w:r>
                  <w:r>
                    <w:rPr>
                      <w:rFonts w:hint="eastAsia" w:ascii="Times New Roman" w:hAnsi="Times New Roman" w:eastAsia="宋体" w:cs="Times New Roman"/>
                      <w:color w:val="auto"/>
                      <w:lang w:val="en-US" w:eastAsia="zh-CN"/>
                    </w:rPr>
                    <w:t>清洗废水、</w:t>
                  </w:r>
                  <w:r>
                    <w:rPr>
                      <w:rFonts w:ascii="Times New Roman" w:hAnsi="Times New Roman" w:eastAsia="宋体" w:cs="Times New Roman"/>
                      <w:color w:val="auto"/>
                    </w:rPr>
                    <w:t>锅炉排污水及软化废水</w:t>
                  </w:r>
                  <w:r>
                    <w:rPr>
                      <w:rFonts w:hint="eastAsia" w:cs="Times New Roman"/>
                      <w:color w:val="auto"/>
                      <w:lang w:eastAsia="zh-CN"/>
                    </w:rPr>
                    <w:t>、</w:t>
                  </w:r>
                  <w:r>
                    <w:rPr>
                      <w:rFonts w:hint="eastAsia" w:cs="Times New Roman"/>
                      <w:color w:val="auto"/>
                      <w:lang w:val="en-US" w:eastAsia="zh-CN"/>
                    </w:rPr>
                    <w:t>高温杀菌水</w:t>
                  </w:r>
                  <w:r>
                    <w:rPr>
                      <w:rFonts w:ascii="Times New Roman" w:hAnsi="Times New Roman" w:eastAsia="宋体" w:cs="Times New Roman"/>
                      <w:color w:val="auto"/>
                    </w:rPr>
                    <w:t>）暂存于</w:t>
                  </w:r>
                  <w:r>
                    <w:rPr>
                      <w:rFonts w:hint="eastAsia" w:ascii="Times New Roman" w:hAnsi="Times New Roman" w:eastAsia="宋体" w:cs="Times New Roman"/>
                      <w:color w:val="auto"/>
                      <w:lang w:val="en-US" w:eastAsia="zh-CN"/>
                    </w:rPr>
                    <w:t>6</w:t>
                  </w:r>
                  <w:r>
                    <w:rPr>
                      <w:rFonts w:ascii="Times New Roman" w:hAnsi="Times New Roman" w:eastAsia="宋体" w:cs="Times New Roman"/>
                      <w:color w:val="auto"/>
                    </w:rPr>
                    <w:t>0m</w:t>
                  </w:r>
                  <w:r>
                    <w:rPr>
                      <w:rFonts w:ascii="Times New Roman" w:hAnsi="Times New Roman" w:eastAsia="宋体" w:cs="Times New Roman"/>
                      <w:color w:val="auto"/>
                      <w:vertAlign w:val="superscript"/>
                    </w:rPr>
                    <w:t>3</w:t>
                  </w:r>
                  <w:r>
                    <w:rPr>
                      <w:rFonts w:ascii="Times New Roman" w:hAnsi="Times New Roman" w:eastAsia="宋体" w:cs="Times New Roman"/>
                      <w:color w:val="auto"/>
                    </w:rPr>
                    <w:t>的密闭储罐内，每天由专用罐车拉运至海伦市污水处理厂处理，日产日清。</w:t>
                  </w:r>
                  <w:r>
                    <w:rPr>
                      <w:rFonts w:hint="eastAsia" w:ascii="Times New Roman" w:hAnsi="Times New Roman" w:eastAsia="宋体" w:cs="Times New Roman"/>
                      <w:color w:val="auto"/>
                    </w:rPr>
                    <w:t>废水排放</w:t>
                  </w:r>
                  <w:r>
                    <w:rPr>
                      <w:rFonts w:hint="eastAsia"/>
                      <w:color w:val="auto"/>
                      <w:szCs w:val="21"/>
                    </w:rPr>
                    <w:t>浓度满足《污水综合排放标准》（GB8978-1996）三级标准及海伦市污水处理厂进水水质标准。</w:t>
                  </w:r>
                </w:p>
              </w:tc>
              <w:tc>
                <w:tcPr>
                  <w:tcW w:w="417" w:type="pct"/>
                  <w:tcBorders>
                    <w:tl2br w:val="nil"/>
                    <w:tr2bl w:val="nil"/>
                  </w:tcBorders>
                  <w:vAlign w:val="center"/>
                </w:tcPr>
                <w:p>
                  <w:pPr>
                    <w:shd w:val="clear"/>
                    <w:ind w:left="-107" w:leftChars="-51" w:right="-115" w:rightChars="-55"/>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396" w:type="pct"/>
                  <w:vMerge w:val="continue"/>
                  <w:tcBorders>
                    <w:tl2br w:val="nil"/>
                    <w:tr2bl w:val="nil"/>
                  </w:tcBorders>
                  <w:vAlign w:val="center"/>
                </w:tcPr>
                <w:p>
                  <w:pPr>
                    <w:shd w:val="clear"/>
                    <w:ind w:firstLine="105" w:firstLineChars="50"/>
                    <w:jc w:val="center"/>
                    <w:rPr>
                      <w:color w:val="auto"/>
                      <w:szCs w:val="21"/>
                    </w:rPr>
                  </w:pPr>
                </w:p>
              </w:tc>
              <w:tc>
                <w:tcPr>
                  <w:tcW w:w="509" w:type="pct"/>
                  <w:tcBorders>
                    <w:tl2br w:val="nil"/>
                    <w:tr2bl w:val="nil"/>
                  </w:tcBorders>
                  <w:vAlign w:val="center"/>
                </w:tcPr>
                <w:p>
                  <w:pPr>
                    <w:shd w:val="clear"/>
                    <w:jc w:val="center"/>
                    <w:rPr>
                      <w:color w:val="auto"/>
                      <w:szCs w:val="21"/>
                    </w:rPr>
                  </w:pPr>
                  <w:r>
                    <w:rPr>
                      <w:color w:val="auto"/>
                      <w:szCs w:val="21"/>
                    </w:rPr>
                    <w:t>噪声</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left"/>
                    <w:textAlignment w:val="auto"/>
                    <w:rPr>
                      <w:color w:val="auto"/>
                      <w:szCs w:val="21"/>
                    </w:rPr>
                  </w:pPr>
                  <w:r>
                    <w:rPr>
                      <w:color w:val="auto"/>
                      <w:szCs w:val="21"/>
                    </w:rPr>
                    <w:t>选用低噪声设备、隔声和减振等措施，</w:t>
                  </w:r>
                  <w:r>
                    <w:rPr>
                      <w:rFonts w:hint="eastAsia"/>
                      <w:color w:val="auto"/>
                      <w:szCs w:val="21"/>
                    </w:rPr>
                    <w:t>项目</w:t>
                  </w:r>
                  <w:r>
                    <w:rPr>
                      <w:rFonts w:hint="eastAsia"/>
                      <w:color w:val="auto"/>
                      <w:szCs w:val="21"/>
                      <w:lang w:val="en-US" w:eastAsia="zh-CN"/>
                    </w:rPr>
                    <w:t>西</w:t>
                  </w:r>
                  <w:r>
                    <w:rPr>
                      <w:rFonts w:hint="eastAsia"/>
                      <w:color w:val="auto"/>
                      <w:szCs w:val="21"/>
                    </w:rPr>
                    <w:t>侧厂界满足</w:t>
                  </w:r>
                  <w:r>
                    <w:rPr>
                      <w:color w:val="auto"/>
                      <w:szCs w:val="21"/>
                    </w:rPr>
                    <w:t>《工业企业厂界环境噪声排放标准》（GB12348-2008）</w:t>
                  </w:r>
                  <w:r>
                    <w:rPr>
                      <w:rFonts w:hint="eastAsia"/>
                      <w:color w:val="auto"/>
                      <w:szCs w:val="21"/>
                    </w:rPr>
                    <w:t>4</w:t>
                  </w:r>
                  <w:r>
                    <w:rPr>
                      <w:color w:val="auto"/>
                      <w:szCs w:val="21"/>
                    </w:rPr>
                    <w:t>类标准</w:t>
                  </w:r>
                  <w:r>
                    <w:rPr>
                      <w:rFonts w:hint="eastAsia"/>
                      <w:color w:val="auto"/>
                      <w:szCs w:val="21"/>
                    </w:rPr>
                    <w:t>、其余</w:t>
                  </w:r>
                  <w:r>
                    <w:rPr>
                      <w:color w:val="auto"/>
                      <w:szCs w:val="21"/>
                    </w:rPr>
                    <w:t>厂界噪声达到《工业企业厂界环境噪声排放标准》（GB12348-2008）</w:t>
                  </w:r>
                  <w:r>
                    <w:rPr>
                      <w:rFonts w:hint="eastAsia"/>
                      <w:color w:val="auto"/>
                      <w:szCs w:val="21"/>
                    </w:rPr>
                    <w:t>2</w:t>
                  </w:r>
                  <w:r>
                    <w:rPr>
                      <w:color w:val="auto"/>
                      <w:szCs w:val="21"/>
                    </w:rPr>
                    <w:t>类标准要求</w:t>
                  </w:r>
                  <w:r>
                    <w:rPr>
                      <w:rFonts w:hint="eastAsia"/>
                      <w:color w:val="auto"/>
                      <w:szCs w:val="21"/>
                    </w:rPr>
                    <w:t>。</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6" w:type="pct"/>
                  <w:vMerge w:val="continue"/>
                  <w:tcBorders>
                    <w:tl2br w:val="nil"/>
                    <w:tr2bl w:val="nil"/>
                  </w:tcBorders>
                  <w:vAlign w:val="center"/>
                </w:tcPr>
                <w:p>
                  <w:pPr>
                    <w:shd w:val="clear"/>
                    <w:ind w:firstLine="105" w:firstLineChars="50"/>
                    <w:jc w:val="center"/>
                    <w:rPr>
                      <w:color w:val="auto"/>
                      <w:szCs w:val="21"/>
                    </w:rPr>
                  </w:pPr>
                </w:p>
              </w:tc>
              <w:tc>
                <w:tcPr>
                  <w:tcW w:w="509" w:type="pct"/>
                  <w:tcBorders>
                    <w:tl2br w:val="nil"/>
                    <w:tr2bl w:val="nil"/>
                  </w:tcBorders>
                  <w:vAlign w:val="center"/>
                </w:tcPr>
                <w:p>
                  <w:pPr>
                    <w:shd w:val="clear"/>
                    <w:jc w:val="center"/>
                    <w:rPr>
                      <w:color w:val="auto"/>
                      <w:szCs w:val="21"/>
                    </w:rPr>
                  </w:pPr>
                  <w:r>
                    <w:rPr>
                      <w:color w:val="auto"/>
                      <w:szCs w:val="21"/>
                    </w:rPr>
                    <w:t>固废</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生活垃圾由环卫部门统一处理；废纸箱及废包装袋集中收集外售综合利用；玉米叶、玉米须、不合格的果穗、青穗以及废弃玉米段集中收集，外售用作饲料；锅炉灰渣与布袋除尘器收尘集中收集于灰渣仓，外售综合利用；废离子交换树脂由厂家回收再利用。</w:t>
                  </w:r>
                </w:p>
              </w:tc>
              <w:tc>
                <w:tcPr>
                  <w:tcW w:w="417" w:type="pct"/>
                  <w:tcBorders>
                    <w:tl2br w:val="nil"/>
                    <w:tr2bl w:val="nil"/>
                  </w:tcBorders>
                  <w:vAlign w:val="center"/>
                </w:tcPr>
                <w:p>
                  <w:pPr>
                    <w:shd w:val="clear"/>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6" w:hRule="atLeast"/>
                <w:jc w:val="center"/>
              </w:trPr>
              <w:tc>
                <w:tcPr>
                  <w:tcW w:w="396" w:type="pct"/>
                  <w:tcBorders>
                    <w:tl2br w:val="nil"/>
                    <w:tr2bl w:val="nil"/>
                  </w:tcBorders>
                  <w:vAlign w:val="center"/>
                </w:tcPr>
                <w:p>
                  <w:pPr>
                    <w:shd w:val="clear"/>
                    <w:ind w:firstLine="105" w:firstLineChars="50"/>
                    <w:jc w:val="center"/>
                    <w:rPr>
                      <w:color w:val="auto"/>
                      <w:szCs w:val="21"/>
                    </w:rPr>
                  </w:pPr>
                  <w:r>
                    <w:rPr>
                      <w:rFonts w:hint="eastAsia"/>
                      <w:color w:val="auto"/>
                      <w:szCs w:val="21"/>
                    </w:rPr>
                    <w:t>依托工程</w:t>
                  </w:r>
                </w:p>
              </w:tc>
              <w:tc>
                <w:tcPr>
                  <w:tcW w:w="509" w:type="pct"/>
                  <w:tcBorders>
                    <w:tl2br w:val="nil"/>
                    <w:tr2bl w:val="nil"/>
                  </w:tcBorders>
                  <w:vAlign w:val="center"/>
                </w:tcPr>
                <w:p>
                  <w:pPr>
                    <w:shd w:val="clear"/>
                    <w:jc w:val="center"/>
                    <w:rPr>
                      <w:color w:val="auto"/>
                      <w:szCs w:val="21"/>
                    </w:rPr>
                  </w:pPr>
                  <w:r>
                    <w:rPr>
                      <w:rFonts w:hint="eastAsia"/>
                      <w:color w:val="auto"/>
                      <w:szCs w:val="21"/>
                    </w:rPr>
                    <w:t>海伦市污水处理厂</w:t>
                  </w:r>
                </w:p>
              </w:tc>
              <w:tc>
                <w:tcPr>
                  <w:tcW w:w="3677"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textAlignment w:val="auto"/>
                    <w:rPr>
                      <w:color w:val="auto"/>
                      <w:szCs w:val="21"/>
                    </w:rPr>
                  </w:pPr>
                  <w:r>
                    <w:rPr>
                      <w:rFonts w:hint="eastAsia"/>
                      <w:color w:val="auto"/>
                      <w:szCs w:val="21"/>
                    </w:rPr>
                    <w:t>海伦市污水处理厂位于黑龙江省海伦市北郊工业园区路西，设计处理能力为</w:t>
                  </w:r>
                  <w:r>
                    <w:rPr>
                      <w:rFonts w:hint="eastAsia"/>
                      <w:color w:val="auto"/>
                      <w:szCs w:val="21"/>
                      <w:lang w:val="en-US" w:eastAsia="zh-CN"/>
                    </w:rPr>
                    <w:t>4</w:t>
                  </w:r>
                  <w:r>
                    <w:rPr>
                      <w:rFonts w:hint="eastAsia"/>
                      <w:color w:val="auto"/>
                      <w:szCs w:val="21"/>
                    </w:rPr>
                    <w:t>万m</w:t>
                  </w:r>
                  <w:r>
                    <w:rPr>
                      <w:rFonts w:hint="eastAsia"/>
                      <w:color w:val="auto"/>
                      <w:szCs w:val="21"/>
                      <w:vertAlign w:val="superscript"/>
                    </w:rPr>
                    <w:t>3</w:t>
                  </w:r>
                  <w:r>
                    <w:rPr>
                      <w:color w:val="auto"/>
                      <w:szCs w:val="21"/>
                    </w:rPr>
                    <w:t>/</w:t>
                  </w:r>
                  <w:r>
                    <w:rPr>
                      <w:rFonts w:hint="eastAsia"/>
                      <w:color w:val="auto"/>
                      <w:szCs w:val="21"/>
                    </w:rPr>
                    <w:t>d。海伦市污水处理厂于</w:t>
                  </w:r>
                  <w:r>
                    <w:rPr>
                      <w:color w:val="auto"/>
                      <w:szCs w:val="21"/>
                    </w:rPr>
                    <w:t>201</w:t>
                  </w:r>
                  <w:r>
                    <w:rPr>
                      <w:rFonts w:hint="eastAsia"/>
                      <w:color w:val="auto"/>
                      <w:szCs w:val="21"/>
                    </w:rPr>
                    <w:t>2年6月正式投入运行，采用</w:t>
                  </w:r>
                  <w:r>
                    <w:rPr>
                      <w:rFonts w:hint="eastAsia"/>
                      <w:color w:val="auto"/>
                      <w:szCs w:val="21"/>
                      <w:lang w:eastAsia="zh-CN"/>
                    </w:rPr>
                    <w:t>A2/O</w:t>
                  </w:r>
                  <w:r>
                    <w:rPr>
                      <w:rFonts w:hint="eastAsia"/>
                      <w:color w:val="auto"/>
                      <w:szCs w:val="21"/>
                    </w:rPr>
                    <w:t>处理工艺，经处理后污水满足《城镇污水处理厂污染物排放标准》（</w:t>
                  </w:r>
                  <w:r>
                    <w:rPr>
                      <w:color w:val="auto"/>
                      <w:szCs w:val="21"/>
                    </w:rPr>
                    <w:t>GB18918-2002</w:t>
                  </w:r>
                  <w:r>
                    <w:rPr>
                      <w:rFonts w:hint="eastAsia"/>
                      <w:color w:val="auto"/>
                      <w:szCs w:val="21"/>
                    </w:rPr>
                    <w:t>）</w:t>
                  </w:r>
                  <w:r>
                    <w:rPr>
                      <w:rFonts w:hint="eastAsia"/>
                      <w:color w:val="auto"/>
                      <w:szCs w:val="21"/>
                      <w:lang w:eastAsia="zh-CN"/>
                    </w:rPr>
                    <w:t>一级A</w:t>
                  </w:r>
                  <w:r>
                    <w:rPr>
                      <w:rFonts w:hint="eastAsia"/>
                      <w:color w:val="auto"/>
                      <w:szCs w:val="21"/>
                    </w:rPr>
                    <w:t>标准后排入扎音河。</w:t>
                  </w:r>
                </w:p>
              </w:tc>
              <w:tc>
                <w:tcPr>
                  <w:tcW w:w="417" w:type="pct"/>
                  <w:tcBorders>
                    <w:tl2br w:val="nil"/>
                    <w:tr2bl w:val="nil"/>
                  </w:tcBorders>
                  <w:vAlign w:val="center"/>
                </w:tcPr>
                <w:p>
                  <w:pPr>
                    <w:shd w:val="clear"/>
                    <w:jc w:val="center"/>
                    <w:rPr>
                      <w:color w:val="auto"/>
                      <w:szCs w:val="21"/>
                    </w:rPr>
                  </w:pPr>
                  <w:r>
                    <w:rPr>
                      <w:rFonts w:hint="eastAsia"/>
                      <w:color w:val="auto"/>
                      <w:szCs w:val="21"/>
                    </w:rPr>
                    <w:t>依托</w:t>
                  </w:r>
                </w:p>
              </w:tc>
            </w:tr>
          </w:tbl>
          <w:p>
            <w:pPr>
              <w:shd w:val="clear"/>
              <w:autoSpaceDE w:val="0"/>
              <w:autoSpaceDN w:val="0"/>
              <w:adjustRightInd w:val="0"/>
              <w:snapToGrid w:val="0"/>
              <w:spacing w:line="360" w:lineRule="auto"/>
              <w:ind w:firstLine="482" w:firstLineChars="200"/>
              <w:rPr>
                <w:b/>
                <w:bCs/>
                <w:color w:val="auto"/>
                <w:sz w:val="24"/>
              </w:rPr>
            </w:pPr>
            <w:r>
              <w:rPr>
                <w:b/>
                <w:bCs/>
                <w:color w:val="auto"/>
                <w:sz w:val="24"/>
              </w:rPr>
              <w:t>2.主要设备</w:t>
            </w:r>
          </w:p>
          <w:p>
            <w:pPr>
              <w:shd w:val="clear"/>
              <w:autoSpaceDE w:val="0"/>
              <w:autoSpaceDN w:val="0"/>
              <w:adjustRightInd w:val="0"/>
              <w:snapToGrid w:val="0"/>
              <w:spacing w:line="360" w:lineRule="auto"/>
              <w:ind w:firstLine="480" w:firstLineChars="200"/>
              <w:rPr>
                <w:color w:val="auto"/>
                <w:sz w:val="24"/>
              </w:rPr>
            </w:pPr>
            <w:r>
              <w:rPr>
                <w:color w:val="auto"/>
                <w:sz w:val="24"/>
              </w:rPr>
              <w:t>本项目主要设备清单见下表。</w:t>
            </w:r>
          </w:p>
          <w:p>
            <w:pPr>
              <w:shd w:val="clear"/>
              <w:autoSpaceDE w:val="0"/>
              <w:autoSpaceDN w:val="0"/>
              <w:adjustRightInd w:val="0"/>
              <w:snapToGrid w:val="0"/>
              <w:ind w:firstLine="482" w:firstLineChars="200"/>
              <w:jc w:val="center"/>
              <w:rPr>
                <w:b/>
                <w:bCs/>
                <w:color w:val="auto"/>
                <w:sz w:val="24"/>
                <w:szCs w:val="24"/>
              </w:rPr>
            </w:pPr>
            <w:r>
              <w:rPr>
                <w:b/>
                <w:bCs/>
                <w:color w:val="auto"/>
                <w:sz w:val="24"/>
                <w:szCs w:val="24"/>
              </w:rPr>
              <w:t>表2-2  本项目主要设备明细一览表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6"/>
              <w:gridCol w:w="3043"/>
              <w:gridCol w:w="1237"/>
              <w:gridCol w:w="1085"/>
              <w:gridCol w:w="1063"/>
              <w:gridCol w:w="10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序号</w:t>
                  </w:r>
                </w:p>
              </w:tc>
              <w:tc>
                <w:tcPr>
                  <w:tcW w:w="1824"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设备名称</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eastAsia="宋体" w:cs="宋体"/>
                      <w:color w:val="0000FF"/>
                      <w:kern w:val="0"/>
                      <w:szCs w:val="21"/>
                      <w:lang w:val="en-US" w:eastAsia="zh-CN"/>
                    </w:rPr>
                  </w:pPr>
                  <w:r>
                    <w:rPr>
                      <w:rFonts w:hint="eastAsia" w:cs="宋体"/>
                      <w:color w:val="0000FF"/>
                      <w:kern w:val="0"/>
                      <w:szCs w:val="21"/>
                      <w:lang w:val="en-US" w:eastAsia="zh-CN"/>
                    </w:rPr>
                    <w:t>设备型号</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单位</w:t>
                  </w:r>
                </w:p>
              </w:tc>
              <w:tc>
                <w:tcPr>
                  <w:tcW w:w="647"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数量</w:t>
                  </w:r>
                </w:p>
              </w:tc>
              <w:tc>
                <w:tcPr>
                  <w:tcW w:w="647"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eastAsia="宋体" w:cs="宋体"/>
                      <w:color w:val="0000FF"/>
                      <w:kern w:val="0"/>
                      <w:szCs w:val="21"/>
                      <w:lang w:val="en-US" w:eastAsia="zh-CN"/>
                    </w:rPr>
                  </w:pPr>
                  <w:r>
                    <w:rPr>
                      <w:rFonts w:hint="eastAsia" w:cs="宋体"/>
                      <w:color w:val="0000FF"/>
                      <w:kern w:val="0"/>
                      <w:szCs w:val="21"/>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1</w:t>
                  </w:r>
                </w:p>
              </w:tc>
              <w:tc>
                <w:tcPr>
                  <w:tcW w:w="1824"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皮带提升机</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rPr>
                      <w:rFonts w:hint="eastAsia" w:ascii="Times New Roman" w:hAnsi="Times New Roman" w:eastAsia="宋体" w:cs="Times New Roman"/>
                      <w:color w:val="0000FF"/>
                      <w:kern w:val="0"/>
                      <w:sz w:val="21"/>
                      <w:szCs w:val="21"/>
                      <w:lang w:val="en-US" w:eastAsia="zh-CN" w:bidi="ar-SA"/>
                    </w:rPr>
                  </w:pPr>
                  <w:r>
                    <w:rPr>
                      <w:color w:val="0000FF"/>
                      <w:sz w:val="21"/>
                      <w:u w:val="none"/>
                    </w:rPr>
                    <w:t>Jxts3000</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eastAsia="宋体" w:cs="宋体"/>
                      <w:color w:val="0000FF"/>
                      <w:kern w:val="0"/>
                      <w:szCs w:val="21"/>
                      <w:lang w:eastAsia="zh-CN"/>
                    </w:rPr>
                  </w:pPr>
                  <w:r>
                    <w:rPr>
                      <w:rFonts w:hint="eastAsia" w:cs="宋体"/>
                      <w:color w:val="0000FF"/>
                      <w:kern w:val="0"/>
                      <w:szCs w:val="21"/>
                      <w:lang w:val="en-US" w:eastAsia="zh-CN"/>
                    </w:rPr>
                    <w:t>8</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0"/>
                      <w:sz w:val="21"/>
                      <w:szCs w:val="21"/>
                      <w:lang w:val="en-US" w:eastAsia="zh-CN" w:bidi="ar-SA"/>
                    </w:rPr>
                  </w:pPr>
                  <w:r>
                    <w:rPr>
                      <w:rFonts w:hint="default" w:ascii="Times New Roman" w:hAnsi="Times New Roman" w:cs="Times New Roman"/>
                      <w:color w:val="0000FF"/>
                      <w:kern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2</w:t>
                  </w:r>
                </w:p>
              </w:tc>
              <w:tc>
                <w:tcPr>
                  <w:tcW w:w="1824"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olor w:val="0000FF"/>
                    </w:rPr>
                    <w:t>制冷机组冷凝器</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rPr>
                      <w:rFonts w:hint="default" w:ascii="Times New Roman" w:hAnsi="Times New Roman" w:eastAsia="宋体" w:cs="Times New Roman"/>
                      <w:color w:val="0000FF"/>
                      <w:kern w:val="0"/>
                      <w:sz w:val="21"/>
                      <w:szCs w:val="21"/>
                      <w:lang w:val="en-US" w:eastAsia="zh-CN" w:bidi="ar-SA"/>
                    </w:rPr>
                  </w:pPr>
                  <w:r>
                    <w:rPr>
                      <w:rFonts w:hint="eastAsia" w:cs="Times New Roman"/>
                      <w:color w:val="0000FF"/>
                      <w:kern w:val="0"/>
                      <w:sz w:val="21"/>
                      <w:szCs w:val="21"/>
                      <w:lang w:val="en-US" w:eastAsia="zh-CN" w:bidi="ar-SA"/>
                    </w:rPr>
                    <w:t>/</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1</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0"/>
                      <w:sz w:val="21"/>
                      <w:szCs w:val="21"/>
                      <w:lang w:val="en-US" w:eastAsia="zh-CN" w:bidi="ar-SA"/>
                    </w:rPr>
                  </w:pPr>
                  <w:r>
                    <w:rPr>
                      <w:rFonts w:hint="default" w:ascii="Times New Roman" w:hAnsi="Times New Roman" w:cs="Times New Roman"/>
                      <w:color w:val="0000FF"/>
                      <w:kern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3</w:t>
                  </w:r>
                </w:p>
              </w:tc>
              <w:tc>
                <w:tcPr>
                  <w:tcW w:w="1824" w:type="pct"/>
                  <w:tcBorders>
                    <w:tl2br w:val="nil"/>
                    <w:tr2bl w:val="nil"/>
                  </w:tcBorders>
                  <w:vAlign w:val="bottom"/>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制冷设备</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rPr>
                      <w:rFonts w:hint="default" w:ascii="Times New Roman" w:hAnsi="Times New Roman" w:eastAsia="宋体" w:cs="Times New Roman"/>
                      <w:color w:val="0000FF"/>
                      <w:kern w:val="0"/>
                      <w:sz w:val="21"/>
                      <w:szCs w:val="21"/>
                      <w:lang w:val="en-US" w:eastAsia="zh-CN" w:bidi="ar-SA"/>
                    </w:rPr>
                  </w:pPr>
                  <w:r>
                    <w:rPr>
                      <w:rFonts w:hint="eastAsia" w:cs="Times New Roman"/>
                      <w:color w:val="0000FF"/>
                      <w:kern w:val="0"/>
                      <w:sz w:val="21"/>
                      <w:szCs w:val="21"/>
                      <w:lang w:val="en-US" w:eastAsia="zh-CN" w:bidi="ar-SA"/>
                    </w:rPr>
                    <w:t>/</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1</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0"/>
                      <w:sz w:val="21"/>
                      <w:szCs w:val="21"/>
                      <w:lang w:val="en-US" w:eastAsia="zh-CN" w:bidi="ar-SA"/>
                    </w:rPr>
                  </w:pPr>
                  <w:r>
                    <w:rPr>
                      <w:rFonts w:hint="default" w:ascii="Times New Roman" w:hAnsi="Times New Roman" w:cs="Times New Roman"/>
                      <w:color w:val="0000FF"/>
                      <w:kern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4</w:t>
                  </w:r>
                </w:p>
              </w:tc>
              <w:tc>
                <w:tcPr>
                  <w:tcW w:w="1824" w:type="pct"/>
                  <w:tcBorders>
                    <w:tl2br w:val="nil"/>
                    <w:tr2bl w:val="nil"/>
                  </w:tcBorders>
                  <w:vAlign w:val="bottom"/>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玉米扒皮机</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rPr>
                      <w:rFonts w:hint="eastAsia" w:ascii="Times New Roman" w:hAnsi="Times New Roman" w:eastAsia="宋体" w:cs="Times New Roman"/>
                      <w:color w:val="0000FF"/>
                      <w:kern w:val="0"/>
                      <w:sz w:val="21"/>
                      <w:szCs w:val="21"/>
                      <w:lang w:val="en-US" w:eastAsia="zh-CN" w:bidi="ar-SA"/>
                    </w:rPr>
                  </w:pPr>
                  <w:r>
                    <w:rPr>
                      <w:rFonts w:hint="default" w:ascii="Times New Roman" w:hAnsi="Times New Roman" w:cs="Times New Roman"/>
                      <w:color w:val="0000FF"/>
                      <w:lang w:val="en-US" w:eastAsia="zh-CN"/>
                    </w:rPr>
                    <w:t>blq-210</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1</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0"/>
                      <w:sz w:val="21"/>
                      <w:szCs w:val="21"/>
                      <w:lang w:val="en-US" w:eastAsia="zh-CN" w:bidi="ar-SA"/>
                    </w:rPr>
                  </w:pPr>
                  <w:r>
                    <w:rPr>
                      <w:rFonts w:hint="default" w:ascii="Times New Roman" w:hAnsi="Times New Roman" w:cs="Times New Roman"/>
                      <w:color w:val="0000FF"/>
                      <w:kern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5</w:t>
                  </w:r>
                </w:p>
              </w:tc>
              <w:tc>
                <w:tcPr>
                  <w:tcW w:w="1824" w:type="pct"/>
                  <w:tcBorders>
                    <w:tl2br w:val="nil"/>
                    <w:tr2bl w:val="nil"/>
                  </w:tcBorders>
                  <w:vAlign w:val="bottom"/>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玉米蒸锅</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rPr>
                      <w:rFonts w:hint="default" w:ascii="Times New Roman" w:hAnsi="Times New Roman" w:eastAsia="宋体" w:cs="Times New Roman"/>
                      <w:color w:val="0000FF"/>
                      <w:kern w:val="0"/>
                      <w:sz w:val="21"/>
                      <w:szCs w:val="21"/>
                      <w:lang w:val="en-US" w:eastAsia="zh-CN" w:bidi="ar-SA"/>
                    </w:rPr>
                  </w:pPr>
                  <w:r>
                    <w:rPr>
                      <w:rFonts w:hint="eastAsia" w:cs="Times New Roman"/>
                      <w:color w:val="0000FF"/>
                      <w:kern w:val="0"/>
                      <w:sz w:val="21"/>
                      <w:szCs w:val="21"/>
                      <w:lang w:val="en-US" w:eastAsia="zh-CN" w:bidi="ar-SA"/>
                    </w:rPr>
                    <w:t>/</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eastAsia="宋体" w:cs="宋体"/>
                      <w:color w:val="0000FF"/>
                      <w:kern w:val="0"/>
                      <w:szCs w:val="21"/>
                      <w:lang w:eastAsia="zh-CN"/>
                    </w:rPr>
                  </w:pPr>
                  <w:r>
                    <w:rPr>
                      <w:rFonts w:hint="eastAsia" w:cs="宋体"/>
                      <w:color w:val="0000FF"/>
                      <w:kern w:val="0"/>
                      <w:szCs w:val="21"/>
                      <w:lang w:val="en-US" w:eastAsia="zh-CN"/>
                    </w:rPr>
                    <w:t>8</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0"/>
                      <w:sz w:val="21"/>
                      <w:szCs w:val="21"/>
                      <w:lang w:val="en-US" w:eastAsia="zh-CN" w:bidi="ar-SA"/>
                    </w:rPr>
                  </w:pPr>
                  <w:r>
                    <w:rPr>
                      <w:rFonts w:hint="default" w:ascii="Times New Roman" w:hAnsi="Times New Roman" w:cs="Times New Roman"/>
                      <w:color w:val="0000FF"/>
                      <w:kern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6</w:t>
                  </w:r>
                </w:p>
              </w:tc>
              <w:tc>
                <w:tcPr>
                  <w:tcW w:w="1824" w:type="pct"/>
                  <w:tcBorders>
                    <w:tl2br w:val="nil"/>
                    <w:tr2bl w:val="nil"/>
                  </w:tcBorders>
                  <w:vAlign w:val="bottom"/>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锅炉</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rPr>
                      <w:rFonts w:hint="default" w:ascii="Times New Roman" w:hAnsi="Times New Roman" w:eastAsia="宋体" w:cs="Times New Roman"/>
                      <w:color w:val="0000FF"/>
                      <w:kern w:val="0"/>
                      <w:sz w:val="21"/>
                      <w:szCs w:val="21"/>
                      <w:lang w:val="en-US" w:eastAsia="zh-CN" w:bidi="ar-SA"/>
                    </w:rPr>
                  </w:pPr>
                  <w:r>
                    <w:rPr>
                      <w:rFonts w:hint="eastAsia" w:cs="Times New Roman"/>
                      <w:color w:val="0000FF"/>
                      <w:kern w:val="0"/>
                      <w:sz w:val="21"/>
                      <w:szCs w:val="21"/>
                      <w:lang w:val="en-US" w:eastAsia="zh-CN" w:bidi="ar-SA"/>
                    </w:rPr>
                    <w:t>/</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eastAsia="宋体" w:cs="宋体"/>
                      <w:color w:val="0000FF"/>
                      <w:kern w:val="0"/>
                      <w:szCs w:val="21"/>
                      <w:lang w:eastAsia="zh-CN"/>
                    </w:rPr>
                  </w:pPr>
                  <w:r>
                    <w:rPr>
                      <w:rFonts w:hint="eastAsia" w:cs="宋体"/>
                      <w:color w:val="0000FF"/>
                      <w:kern w:val="0"/>
                      <w:szCs w:val="21"/>
                      <w:lang w:val="en-US" w:eastAsia="zh-CN"/>
                    </w:rPr>
                    <w:t>2</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0"/>
                      <w:sz w:val="21"/>
                      <w:szCs w:val="21"/>
                      <w:lang w:val="en-US" w:eastAsia="zh-CN" w:bidi="ar-SA"/>
                    </w:rPr>
                  </w:pPr>
                  <w:r>
                    <w:rPr>
                      <w:rFonts w:hint="default" w:ascii="Times New Roman" w:hAnsi="Times New Roman" w:cs="Times New Roman"/>
                      <w:color w:val="0000FF"/>
                      <w:kern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ascii="Times New Roman" w:hAnsi="Times New Roman" w:eastAsia="宋体" w:cs="宋体"/>
                      <w:color w:val="0000FF"/>
                      <w:kern w:val="0"/>
                      <w:sz w:val="21"/>
                      <w:szCs w:val="21"/>
                      <w:lang w:val="en-US" w:eastAsia="zh-CN" w:bidi="ar-SA"/>
                    </w:rPr>
                  </w:pPr>
                  <w:r>
                    <w:rPr>
                      <w:rFonts w:hint="eastAsia" w:cs="宋体"/>
                      <w:color w:val="0000FF"/>
                      <w:kern w:val="0"/>
                      <w:szCs w:val="21"/>
                    </w:rPr>
                    <w:t>9</w:t>
                  </w:r>
                </w:p>
              </w:tc>
              <w:tc>
                <w:tcPr>
                  <w:tcW w:w="1824" w:type="pct"/>
                  <w:tcBorders>
                    <w:tl2br w:val="nil"/>
                    <w:tr2bl w:val="nil"/>
                  </w:tcBorders>
                  <w:vAlign w:val="bottom"/>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玉米切割机</w:t>
                  </w:r>
                </w:p>
              </w:tc>
              <w:tc>
                <w:tcPr>
                  <w:tcW w:w="660" w:type="pct"/>
                  <w:tcBorders>
                    <w:tl2br w:val="nil"/>
                    <w:tr2bl w:val="nil"/>
                  </w:tcBorders>
                  <w:vAlign w:val="center"/>
                </w:tcPr>
                <w:p>
                  <w:pPr>
                    <w:keepNext w:val="0"/>
                    <w:keepLines w:val="0"/>
                    <w:pageBreakBefore w:val="0"/>
                    <w:shd w:val="clear"/>
                    <w:kinsoku/>
                    <w:wordWrap/>
                    <w:overflowPunct/>
                    <w:topLinePunct w:val="0"/>
                    <w:autoSpaceDE/>
                    <w:autoSpaceDN/>
                    <w:bidi w:val="0"/>
                    <w:adjustRightInd/>
                    <w:snapToGrid/>
                    <w:jc w:val="center"/>
                    <w:rPr>
                      <w:rFonts w:hint="eastAsia" w:ascii="Times New Roman" w:hAnsi="Times New Roman" w:eastAsia="宋体" w:cs="Times New Roman"/>
                      <w:color w:val="0000FF"/>
                      <w:kern w:val="2"/>
                      <w:sz w:val="21"/>
                      <w:szCs w:val="24"/>
                      <w:lang w:val="en-US" w:eastAsia="zh-CN" w:bidi="ar-SA"/>
                    </w:rPr>
                  </w:pPr>
                  <w:r>
                    <w:rPr>
                      <w:color w:val="0000FF"/>
                      <w:sz w:val="21"/>
                      <w:u w:val="none"/>
                    </w:rPr>
                    <w:t>Jxqt6000</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eastAsia="宋体" w:cs="宋体"/>
                      <w:color w:val="0000FF"/>
                      <w:kern w:val="0"/>
                      <w:szCs w:val="21"/>
                      <w:lang w:eastAsia="zh-CN"/>
                    </w:rPr>
                  </w:pPr>
                  <w:r>
                    <w:rPr>
                      <w:rFonts w:hint="eastAsia" w:cs="宋体"/>
                      <w:color w:val="0000FF"/>
                      <w:kern w:val="0"/>
                      <w:szCs w:val="21"/>
                      <w:lang w:val="en-US" w:eastAsia="zh-CN"/>
                    </w:rPr>
                    <w:t>8</w:t>
                  </w:r>
                </w:p>
              </w:tc>
              <w:tc>
                <w:tcPr>
                  <w:tcW w:w="647" w:type="pct"/>
                  <w:tcBorders>
                    <w:tl2br w:val="nil"/>
                    <w:tr2bl w:val="nil"/>
                  </w:tcBorders>
                  <w:shd w:val="clear" w:color="auto" w:fill="auto"/>
                  <w:vAlign w:val="center"/>
                </w:tcPr>
                <w:p>
                  <w:pPr>
                    <w:keepNext w:val="0"/>
                    <w:keepLines w:val="0"/>
                    <w:pageBreakBefore w:val="0"/>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2"/>
                      <w:sz w:val="21"/>
                      <w:szCs w:val="24"/>
                      <w:lang w:val="en-US" w:eastAsia="zh-CN" w:bidi="ar-SA"/>
                    </w:rPr>
                  </w:pPr>
                  <w:r>
                    <w:rPr>
                      <w:rFonts w:hint="default" w:ascii="Times New Roman" w:hAnsi="Times New Roman" w:cs="Times New Roman"/>
                      <w:color w:val="0000FF"/>
                      <w:kern w:val="2"/>
                      <w:sz w:val="21"/>
                      <w:szCs w:val="24"/>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ascii="Times New Roman" w:hAnsi="Times New Roman" w:eastAsia="宋体" w:cs="宋体"/>
                      <w:color w:val="0000FF"/>
                      <w:kern w:val="0"/>
                      <w:sz w:val="21"/>
                      <w:szCs w:val="21"/>
                      <w:lang w:val="en-US" w:eastAsia="zh-CN" w:bidi="ar-SA"/>
                    </w:rPr>
                  </w:pPr>
                  <w:r>
                    <w:rPr>
                      <w:rFonts w:hint="eastAsia" w:cs="宋体"/>
                      <w:color w:val="0000FF"/>
                      <w:kern w:val="0"/>
                      <w:szCs w:val="21"/>
                    </w:rPr>
                    <w:t>10</w:t>
                  </w:r>
                </w:p>
              </w:tc>
              <w:tc>
                <w:tcPr>
                  <w:tcW w:w="1824"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清洗机</w:t>
                  </w:r>
                </w:p>
              </w:tc>
              <w:tc>
                <w:tcPr>
                  <w:tcW w:w="660" w:type="pct"/>
                  <w:tcBorders>
                    <w:tl2br w:val="nil"/>
                    <w:tr2bl w:val="nil"/>
                  </w:tcBorders>
                  <w:vAlign w:val="center"/>
                </w:tcPr>
                <w:p>
                  <w:pPr>
                    <w:keepNext w:val="0"/>
                    <w:keepLines w:val="0"/>
                    <w:pageBreakBefore w:val="0"/>
                    <w:shd w:val="clear"/>
                    <w:kinsoku/>
                    <w:wordWrap/>
                    <w:overflowPunct/>
                    <w:topLinePunct w:val="0"/>
                    <w:autoSpaceDE/>
                    <w:autoSpaceDN/>
                    <w:bidi w:val="0"/>
                    <w:adjustRightInd/>
                    <w:snapToGrid/>
                    <w:jc w:val="center"/>
                    <w:rPr>
                      <w:rFonts w:hint="eastAsia" w:ascii="Times New Roman" w:hAnsi="Times New Roman" w:eastAsia="宋体" w:cs="Times New Roman"/>
                      <w:color w:val="0000FF"/>
                      <w:kern w:val="2"/>
                      <w:sz w:val="21"/>
                      <w:szCs w:val="24"/>
                      <w:lang w:val="en-US" w:eastAsia="zh-CN" w:bidi="ar-SA"/>
                    </w:rPr>
                  </w:pPr>
                  <w:r>
                    <w:rPr>
                      <w:color w:val="0000FF"/>
                      <w:sz w:val="21"/>
                      <w:u w:val="none"/>
                    </w:rPr>
                    <w:t>Jxqx900</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eastAsia="宋体" w:cs="宋体"/>
                      <w:color w:val="0000FF"/>
                      <w:kern w:val="0"/>
                      <w:szCs w:val="21"/>
                      <w:lang w:eastAsia="zh-CN"/>
                    </w:rPr>
                  </w:pPr>
                  <w:r>
                    <w:rPr>
                      <w:rFonts w:hint="eastAsia" w:cs="宋体"/>
                      <w:color w:val="0000FF"/>
                      <w:kern w:val="0"/>
                      <w:szCs w:val="21"/>
                      <w:lang w:val="en-US" w:eastAsia="zh-CN"/>
                    </w:rPr>
                    <w:t>4</w:t>
                  </w:r>
                </w:p>
              </w:tc>
              <w:tc>
                <w:tcPr>
                  <w:tcW w:w="647" w:type="pct"/>
                  <w:tcBorders>
                    <w:tl2br w:val="nil"/>
                    <w:tr2bl w:val="nil"/>
                  </w:tcBorders>
                  <w:shd w:val="clear" w:color="auto" w:fill="auto"/>
                  <w:vAlign w:val="center"/>
                </w:tcPr>
                <w:p>
                  <w:pPr>
                    <w:keepNext w:val="0"/>
                    <w:keepLines w:val="0"/>
                    <w:pageBreakBefore w:val="0"/>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2"/>
                      <w:sz w:val="21"/>
                      <w:szCs w:val="24"/>
                      <w:lang w:val="en-US" w:eastAsia="zh-CN" w:bidi="ar-SA"/>
                    </w:rPr>
                  </w:pPr>
                  <w:r>
                    <w:rPr>
                      <w:rFonts w:hint="default" w:ascii="Times New Roman" w:hAnsi="Times New Roman" w:cs="Times New Roman"/>
                      <w:color w:val="0000FF"/>
                      <w:kern w:val="2"/>
                      <w:sz w:val="21"/>
                      <w:szCs w:val="24"/>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宋体"/>
                      <w:color w:val="0000FF"/>
                      <w:kern w:val="0"/>
                      <w:sz w:val="21"/>
                      <w:szCs w:val="21"/>
                      <w:lang w:val="en-US" w:eastAsia="zh-CN" w:bidi="ar-SA"/>
                    </w:rPr>
                  </w:pPr>
                  <w:r>
                    <w:rPr>
                      <w:rFonts w:hint="eastAsia" w:cs="宋体"/>
                      <w:color w:val="0000FF"/>
                      <w:kern w:val="0"/>
                      <w:szCs w:val="21"/>
                    </w:rPr>
                    <w:t>11</w:t>
                  </w:r>
                </w:p>
              </w:tc>
              <w:tc>
                <w:tcPr>
                  <w:tcW w:w="1824"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eastAsia="宋体" w:cs="宋体"/>
                      <w:color w:val="0000FF"/>
                      <w:kern w:val="0"/>
                      <w:szCs w:val="21"/>
                      <w:lang w:val="en-US" w:eastAsia="zh-CN"/>
                    </w:rPr>
                  </w:pPr>
                  <w:r>
                    <w:rPr>
                      <w:rFonts w:hint="eastAsia" w:cs="宋体"/>
                      <w:color w:val="0000FF"/>
                      <w:kern w:val="0"/>
                      <w:szCs w:val="21"/>
                      <w:lang w:val="en-US" w:eastAsia="zh-CN"/>
                    </w:rPr>
                    <w:t>包装机</w:t>
                  </w:r>
                </w:p>
              </w:tc>
              <w:tc>
                <w:tcPr>
                  <w:tcW w:w="660" w:type="pct"/>
                  <w:tcBorders>
                    <w:tl2br w:val="nil"/>
                    <w:tr2bl w:val="nil"/>
                  </w:tcBorders>
                  <w:vAlign w:val="center"/>
                </w:tcPr>
                <w:p>
                  <w:pPr>
                    <w:keepNext w:val="0"/>
                    <w:keepLines w:val="0"/>
                    <w:pageBreakBefore w:val="0"/>
                    <w:shd w:val="clear"/>
                    <w:kinsoku/>
                    <w:wordWrap/>
                    <w:overflowPunct/>
                    <w:topLinePunct w:val="0"/>
                    <w:autoSpaceDE/>
                    <w:autoSpaceDN/>
                    <w:bidi w:val="0"/>
                    <w:adjustRightInd/>
                    <w:snapToGrid/>
                    <w:jc w:val="center"/>
                    <w:rPr>
                      <w:rFonts w:hint="eastAsia" w:ascii="Times New Roman" w:hAnsi="Times New Roman" w:eastAsia="宋体" w:cs="Times New Roman"/>
                      <w:color w:val="0000FF"/>
                      <w:kern w:val="2"/>
                      <w:sz w:val="21"/>
                      <w:szCs w:val="24"/>
                      <w:lang w:val="en-US" w:eastAsia="zh-CN" w:bidi="ar-SA"/>
                    </w:rPr>
                  </w:pPr>
                  <w:r>
                    <w:rPr>
                      <w:color w:val="0000FF"/>
                      <w:sz w:val="21"/>
                      <w:u w:val="none"/>
                    </w:rPr>
                    <w:t>Rz10-14z</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宋体"/>
                      <w:color w:val="0000FF"/>
                      <w:kern w:val="0"/>
                      <w:sz w:val="21"/>
                      <w:szCs w:val="21"/>
                      <w:lang w:val="en-US" w:eastAsia="zh-CN" w:bidi="ar-SA"/>
                    </w:rPr>
                  </w:pPr>
                  <w:r>
                    <w:rPr>
                      <w:rFonts w:hint="eastAsia" w:cs="宋体"/>
                      <w:color w:val="0000FF"/>
                      <w:kern w:val="0"/>
                      <w:szCs w:val="21"/>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ascii="Times New Roman" w:hAnsi="Times New Roman" w:eastAsia="宋体" w:cs="宋体"/>
                      <w:color w:val="0000FF"/>
                      <w:kern w:val="0"/>
                      <w:sz w:val="21"/>
                      <w:szCs w:val="21"/>
                      <w:lang w:val="en-US" w:eastAsia="zh-CN" w:bidi="ar-SA"/>
                    </w:rPr>
                  </w:pPr>
                  <w:r>
                    <w:rPr>
                      <w:rFonts w:hint="eastAsia" w:cs="宋体"/>
                      <w:color w:val="0000FF"/>
                      <w:kern w:val="0"/>
                      <w:szCs w:val="21"/>
                      <w:lang w:val="en-US" w:eastAsia="zh-CN"/>
                    </w:rPr>
                    <w:t>20</w:t>
                  </w:r>
                </w:p>
              </w:tc>
              <w:tc>
                <w:tcPr>
                  <w:tcW w:w="647" w:type="pct"/>
                  <w:tcBorders>
                    <w:tl2br w:val="nil"/>
                    <w:tr2bl w:val="nil"/>
                  </w:tcBorders>
                  <w:shd w:val="clear" w:color="auto" w:fill="auto"/>
                  <w:vAlign w:val="center"/>
                </w:tcPr>
                <w:p>
                  <w:pPr>
                    <w:keepNext w:val="0"/>
                    <w:keepLines w:val="0"/>
                    <w:pageBreakBefore w:val="0"/>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2"/>
                      <w:sz w:val="21"/>
                      <w:szCs w:val="24"/>
                      <w:lang w:val="en-US" w:eastAsia="zh-CN" w:bidi="ar-SA"/>
                    </w:rPr>
                  </w:pPr>
                  <w:r>
                    <w:rPr>
                      <w:rFonts w:hint="default" w:ascii="Times New Roman" w:hAnsi="Times New Roman" w:cs="Times New Roman"/>
                      <w:color w:val="0000FF"/>
                      <w:kern w:val="2"/>
                      <w:sz w:val="21"/>
                      <w:szCs w:val="24"/>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ascii="Times New Roman" w:hAnsi="Times New Roman" w:eastAsia="宋体" w:cs="宋体"/>
                      <w:color w:val="0000FF"/>
                      <w:kern w:val="0"/>
                      <w:sz w:val="21"/>
                      <w:szCs w:val="21"/>
                      <w:lang w:val="en-US" w:eastAsia="zh-CN" w:bidi="ar-SA"/>
                    </w:rPr>
                  </w:pPr>
                  <w:r>
                    <w:rPr>
                      <w:rFonts w:hint="eastAsia" w:cs="宋体"/>
                      <w:color w:val="0000FF"/>
                      <w:kern w:val="0"/>
                      <w:szCs w:val="21"/>
                    </w:rPr>
                    <w:t>13</w:t>
                  </w:r>
                </w:p>
              </w:tc>
              <w:tc>
                <w:tcPr>
                  <w:tcW w:w="1824" w:type="pct"/>
                  <w:tcBorders>
                    <w:tl2br w:val="nil"/>
                    <w:tr2bl w:val="nil"/>
                  </w:tcBorders>
                  <w:vAlign w:val="bottom"/>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叉车</w:t>
                  </w:r>
                </w:p>
              </w:tc>
              <w:tc>
                <w:tcPr>
                  <w:tcW w:w="660" w:type="pct"/>
                  <w:tcBorders>
                    <w:tl2br w:val="nil"/>
                    <w:tr2bl w:val="nil"/>
                  </w:tcBorders>
                  <w:vAlign w:val="center"/>
                </w:tcPr>
                <w:p>
                  <w:pPr>
                    <w:keepNext w:val="0"/>
                    <w:keepLines w:val="0"/>
                    <w:pageBreakBefore w:val="0"/>
                    <w:shd w:val="clear"/>
                    <w:kinsoku/>
                    <w:wordWrap/>
                    <w:overflowPunct/>
                    <w:topLinePunct w:val="0"/>
                    <w:autoSpaceDE/>
                    <w:autoSpaceDN/>
                    <w:bidi w:val="0"/>
                    <w:adjustRightInd/>
                    <w:snapToGrid/>
                    <w:jc w:val="center"/>
                    <w:rPr>
                      <w:rFonts w:hint="eastAsia" w:ascii="Times New Roman" w:hAnsi="Times New Roman" w:eastAsia="宋体" w:cs="Times New Roman"/>
                      <w:color w:val="0000FF"/>
                      <w:kern w:val="2"/>
                      <w:sz w:val="21"/>
                      <w:szCs w:val="24"/>
                      <w:lang w:val="en-US" w:eastAsia="zh-CN" w:bidi="ar-SA"/>
                    </w:rPr>
                  </w:pPr>
                  <w:r>
                    <w:rPr>
                      <w:rFonts w:hint="eastAsia" w:cs="Times New Roman"/>
                      <w:color w:val="0000FF"/>
                      <w:sz w:val="21"/>
                      <w:lang w:val="en-US" w:eastAsia="zh-CN" w:bidi="ar-SA"/>
                    </w:rPr>
                    <w:t>/</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辆</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1</w:t>
                  </w:r>
                </w:p>
              </w:tc>
              <w:tc>
                <w:tcPr>
                  <w:tcW w:w="647" w:type="pct"/>
                  <w:tcBorders>
                    <w:tl2br w:val="nil"/>
                    <w:tr2bl w:val="nil"/>
                  </w:tcBorders>
                  <w:shd w:val="clear" w:color="auto" w:fill="auto"/>
                  <w:vAlign w:val="center"/>
                </w:tcPr>
                <w:p>
                  <w:pPr>
                    <w:keepNext w:val="0"/>
                    <w:keepLines w:val="0"/>
                    <w:pageBreakBefore w:val="0"/>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2"/>
                      <w:sz w:val="21"/>
                      <w:szCs w:val="24"/>
                      <w:lang w:val="en-US" w:eastAsia="zh-CN" w:bidi="ar-SA"/>
                    </w:rPr>
                  </w:pPr>
                  <w:r>
                    <w:rPr>
                      <w:rFonts w:hint="default" w:ascii="Times New Roman" w:hAnsi="Times New Roman" w:cs="Times New Roman"/>
                      <w:color w:val="0000FF"/>
                      <w:kern w:val="2"/>
                      <w:sz w:val="21"/>
                      <w:szCs w:val="24"/>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ascii="Times New Roman" w:hAnsi="Times New Roman" w:eastAsia="宋体" w:cs="宋体"/>
                      <w:color w:val="0000FF"/>
                      <w:kern w:val="0"/>
                      <w:sz w:val="21"/>
                      <w:szCs w:val="21"/>
                      <w:lang w:val="en-US" w:eastAsia="zh-CN" w:bidi="ar-SA"/>
                    </w:rPr>
                  </w:pPr>
                  <w:r>
                    <w:rPr>
                      <w:rFonts w:hint="eastAsia" w:cs="宋体"/>
                      <w:color w:val="0000FF"/>
                      <w:kern w:val="0"/>
                      <w:szCs w:val="21"/>
                      <w:lang w:val="en-US" w:eastAsia="zh-CN"/>
                    </w:rPr>
                    <w:t>14</w:t>
                  </w:r>
                </w:p>
              </w:tc>
              <w:tc>
                <w:tcPr>
                  <w:tcW w:w="1824" w:type="pct"/>
                  <w:tcBorders>
                    <w:tl2br w:val="nil"/>
                    <w:tr2bl w:val="nil"/>
                  </w:tcBorders>
                  <w:vAlign w:val="bottom"/>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铲车</w:t>
                  </w:r>
                </w:p>
              </w:tc>
              <w:tc>
                <w:tcPr>
                  <w:tcW w:w="660" w:type="pct"/>
                  <w:tcBorders>
                    <w:tl2br w:val="nil"/>
                    <w:tr2bl w:val="nil"/>
                  </w:tcBorders>
                  <w:vAlign w:val="center"/>
                </w:tcPr>
                <w:p>
                  <w:pPr>
                    <w:keepNext w:val="0"/>
                    <w:keepLines w:val="0"/>
                    <w:pageBreakBefore w:val="0"/>
                    <w:shd w:val="clear"/>
                    <w:kinsoku/>
                    <w:wordWrap/>
                    <w:overflowPunct/>
                    <w:topLinePunct w:val="0"/>
                    <w:autoSpaceDE/>
                    <w:autoSpaceDN/>
                    <w:bidi w:val="0"/>
                    <w:adjustRightInd/>
                    <w:snapToGrid/>
                    <w:jc w:val="center"/>
                    <w:rPr>
                      <w:rFonts w:hint="default" w:ascii="Times New Roman" w:hAnsi="Times New Roman" w:eastAsia="宋体" w:cs="Times New Roman"/>
                      <w:color w:val="0000FF"/>
                      <w:kern w:val="2"/>
                      <w:sz w:val="21"/>
                      <w:szCs w:val="24"/>
                      <w:lang w:val="en-US" w:eastAsia="zh-CN" w:bidi="ar-SA"/>
                    </w:rPr>
                  </w:pPr>
                  <w:r>
                    <w:rPr>
                      <w:rFonts w:hint="eastAsia" w:cs="Times New Roman"/>
                      <w:color w:val="0000FF"/>
                      <w:sz w:val="21"/>
                      <w:lang w:val="en-US" w:eastAsia="zh-CN" w:bidi="ar-SA"/>
                    </w:rPr>
                    <w:t>/</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辆</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1</w:t>
                  </w:r>
                </w:p>
              </w:tc>
              <w:tc>
                <w:tcPr>
                  <w:tcW w:w="647" w:type="pct"/>
                  <w:tcBorders>
                    <w:tl2br w:val="nil"/>
                    <w:tr2bl w:val="nil"/>
                  </w:tcBorders>
                  <w:shd w:val="clear" w:color="auto" w:fill="auto"/>
                  <w:vAlign w:val="center"/>
                </w:tcPr>
                <w:p>
                  <w:pPr>
                    <w:keepNext w:val="0"/>
                    <w:keepLines w:val="0"/>
                    <w:pageBreakBefore w:val="0"/>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2"/>
                      <w:sz w:val="21"/>
                      <w:szCs w:val="24"/>
                      <w:lang w:val="en-US" w:eastAsia="zh-CN" w:bidi="ar-SA"/>
                    </w:rPr>
                  </w:pPr>
                  <w:r>
                    <w:rPr>
                      <w:rFonts w:hint="default" w:ascii="Times New Roman" w:hAnsi="Times New Roman" w:cs="Times New Roman"/>
                      <w:color w:val="0000FF"/>
                      <w:kern w:val="2"/>
                      <w:sz w:val="21"/>
                      <w:szCs w:val="24"/>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ascii="Times New Roman" w:hAnsi="Times New Roman" w:eastAsia="宋体" w:cs="宋体"/>
                      <w:color w:val="0000FF"/>
                      <w:kern w:val="0"/>
                      <w:sz w:val="21"/>
                      <w:szCs w:val="21"/>
                      <w:lang w:val="en-US" w:eastAsia="zh-CN" w:bidi="ar-SA"/>
                    </w:rPr>
                  </w:pPr>
                  <w:r>
                    <w:rPr>
                      <w:rFonts w:hint="eastAsia" w:cs="宋体"/>
                      <w:color w:val="0000FF"/>
                      <w:kern w:val="0"/>
                      <w:sz w:val="21"/>
                      <w:szCs w:val="21"/>
                      <w:lang w:val="en-US" w:eastAsia="zh-CN" w:bidi="ar-SA"/>
                    </w:rPr>
                    <w:t>15</w:t>
                  </w:r>
                </w:p>
              </w:tc>
              <w:tc>
                <w:tcPr>
                  <w:tcW w:w="1824" w:type="pct"/>
                  <w:tcBorders>
                    <w:tl2br w:val="nil"/>
                    <w:tr2bl w:val="nil"/>
                  </w:tcBorders>
                  <w:vAlign w:val="bottom"/>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变压器</w:t>
                  </w:r>
                </w:p>
              </w:tc>
              <w:tc>
                <w:tcPr>
                  <w:tcW w:w="660" w:type="pct"/>
                  <w:tcBorders>
                    <w:tl2br w:val="nil"/>
                    <w:tr2bl w:val="nil"/>
                  </w:tcBorders>
                  <w:vAlign w:val="center"/>
                </w:tcPr>
                <w:p>
                  <w:pPr>
                    <w:keepNext w:val="0"/>
                    <w:keepLines w:val="0"/>
                    <w:pageBreakBefore w:val="0"/>
                    <w:shd w:val="clear"/>
                    <w:kinsoku/>
                    <w:wordWrap/>
                    <w:overflowPunct/>
                    <w:topLinePunct w:val="0"/>
                    <w:autoSpaceDE/>
                    <w:autoSpaceDN/>
                    <w:bidi w:val="0"/>
                    <w:adjustRightInd/>
                    <w:snapToGrid/>
                    <w:jc w:val="center"/>
                    <w:rPr>
                      <w:rFonts w:hint="default" w:ascii="Times New Roman" w:hAnsi="Times New Roman" w:eastAsia="宋体" w:cs="Times New Roman"/>
                      <w:color w:val="0000FF"/>
                      <w:kern w:val="2"/>
                      <w:sz w:val="21"/>
                      <w:szCs w:val="24"/>
                      <w:lang w:val="en-US" w:eastAsia="zh-CN" w:bidi="ar-SA"/>
                    </w:rPr>
                  </w:pPr>
                  <w:r>
                    <w:rPr>
                      <w:rFonts w:hint="eastAsia" w:cs="Times New Roman"/>
                      <w:color w:val="0000FF"/>
                      <w:kern w:val="2"/>
                      <w:sz w:val="21"/>
                      <w:szCs w:val="24"/>
                      <w:lang w:val="en-US" w:eastAsia="zh-CN" w:bidi="ar-SA"/>
                    </w:rPr>
                    <w:t>/</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1</w:t>
                  </w:r>
                </w:p>
              </w:tc>
              <w:tc>
                <w:tcPr>
                  <w:tcW w:w="647" w:type="pct"/>
                  <w:tcBorders>
                    <w:tl2br w:val="nil"/>
                    <w:tr2bl w:val="nil"/>
                  </w:tcBorders>
                  <w:shd w:val="clear" w:color="auto" w:fill="auto"/>
                  <w:vAlign w:val="center"/>
                </w:tcPr>
                <w:p>
                  <w:pPr>
                    <w:keepNext w:val="0"/>
                    <w:keepLines w:val="0"/>
                    <w:pageBreakBefore w:val="0"/>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2"/>
                      <w:sz w:val="21"/>
                      <w:szCs w:val="24"/>
                      <w:lang w:val="en-US" w:eastAsia="zh-CN" w:bidi="ar-SA"/>
                    </w:rPr>
                  </w:pPr>
                  <w:r>
                    <w:rPr>
                      <w:rFonts w:hint="default" w:ascii="Times New Roman" w:hAnsi="Times New Roman" w:cs="Times New Roman"/>
                      <w:color w:val="0000FF"/>
                      <w:kern w:val="2"/>
                      <w:sz w:val="21"/>
                      <w:szCs w:val="24"/>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eastAsia="宋体" w:cs="宋体"/>
                      <w:color w:val="0000FF"/>
                      <w:kern w:val="0"/>
                      <w:szCs w:val="21"/>
                      <w:lang w:val="en-US" w:eastAsia="zh-CN"/>
                    </w:rPr>
                  </w:pPr>
                  <w:r>
                    <w:rPr>
                      <w:rFonts w:hint="eastAsia" w:cs="宋体"/>
                      <w:color w:val="0000FF"/>
                      <w:kern w:val="0"/>
                      <w:szCs w:val="21"/>
                      <w:lang w:val="en-US" w:eastAsia="zh-CN"/>
                    </w:rPr>
                    <w:t>16</w:t>
                  </w:r>
                </w:p>
              </w:tc>
              <w:tc>
                <w:tcPr>
                  <w:tcW w:w="1824"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布袋除尘器</w:t>
                  </w:r>
                </w:p>
              </w:tc>
              <w:tc>
                <w:tcPr>
                  <w:tcW w:w="660" w:type="pct"/>
                  <w:tcBorders>
                    <w:tl2br w:val="nil"/>
                    <w:tr2bl w:val="nil"/>
                  </w:tcBorders>
                  <w:vAlign w:val="center"/>
                </w:tcPr>
                <w:p>
                  <w:pPr>
                    <w:keepNext w:val="0"/>
                    <w:keepLines w:val="0"/>
                    <w:pageBreakBefore w:val="0"/>
                    <w:shd w:val="clear"/>
                    <w:kinsoku/>
                    <w:wordWrap/>
                    <w:overflowPunct/>
                    <w:topLinePunct w:val="0"/>
                    <w:autoSpaceDE/>
                    <w:autoSpaceDN/>
                    <w:bidi w:val="0"/>
                    <w:adjustRightInd/>
                    <w:snapToGrid/>
                    <w:jc w:val="center"/>
                    <w:rPr>
                      <w:rFonts w:hint="default" w:ascii="Times New Roman" w:hAnsi="Times New Roman" w:eastAsia="宋体" w:cs="Times New Roman"/>
                      <w:color w:val="0000FF"/>
                      <w:kern w:val="2"/>
                      <w:sz w:val="21"/>
                      <w:szCs w:val="24"/>
                      <w:lang w:val="en-US" w:eastAsia="zh-CN" w:bidi="ar-SA"/>
                    </w:rPr>
                  </w:pPr>
                  <w:r>
                    <w:rPr>
                      <w:rFonts w:hint="eastAsia" w:cs="Times New Roman"/>
                      <w:color w:val="0000FF"/>
                      <w:kern w:val="2"/>
                      <w:sz w:val="21"/>
                      <w:szCs w:val="24"/>
                      <w:lang w:val="en-US" w:eastAsia="zh-CN" w:bidi="ar-SA"/>
                    </w:rPr>
                    <w:t>/</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套</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cs="宋体"/>
                      <w:color w:val="0000FF"/>
                      <w:kern w:val="0"/>
                      <w:szCs w:val="21"/>
                    </w:rPr>
                  </w:pPr>
                  <w:r>
                    <w:rPr>
                      <w:rFonts w:hint="eastAsia" w:cs="宋体"/>
                      <w:color w:val="0000FF"/>
                      <w:kern w:val="0"/>
                      <w:szCs w:val="21"/>
                    </w:rPr>
                    <w:t>1</w:t>
                  </w:r>
                </w:p>
              </w:tc>
              <w:tc>
                <w:tcPr>
                  <w:tcW w:w="647" w:type="pct"/>
                  <w:tcBorders>
                    <w:tl2br w:val="nil"/>
                    <w:tr2bl w:val="nil"/>
                  </w:tcBorders>
                  <w:shd w:val="clear" w:color="auto" w:fill="auto"/>
                  <w:vAlign w:val="center"/>
                </w:tcPr>
                <w:p>
                  <w:pPr>
                    <w:keepNext w:val="0"/>
                    <w:keepLines w:val="0"/>
                    <w:pageBreakBefore w:val="0"/>
                    <w:shd w:val="clear"/>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FF"/>
                      <w:kern w:val="2"/>
                      <w:sz w:val="21"/>
                      <w:szCs w:val="24"/>
                      <w:lang w:val="en-US" w:eastAsia="zh-CN" w:bidi="ar-SA"/>
                    </w:rPr>
                  </w:pPr>
                  <w:r>
                    <w:rPr>
                      <w:rFonts w:hint="default" w:ascii="Times New Roman" w:hAnsi="Times New Roman" w:cs="Times New Roman"/>
                      <w:color w:val="0000FF"/>
                      <w:kern w:val="2"/>
                      <w:sz w:val="21"/>
                      <w:szCs w:val="24"/>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cs="宋体"/>
                      <w:color w:val="0000FF"/>
                      <w:kern w:val="0"/>
                      <w:szCs w:val="21"/>
                      <w:lang w:val="en-US" w:eastAsia="zh-CN"/>
                    </w:rPr>
                  </w:pPr>
                  <w:r>
                    <w:rPr>
                      <w:rFonts w:hint="eastAsia" w:cs="宋体"/>
                      <w:color w:val="0000FF"/>
                      <w:kern w:val="0"/>
                      <w:szCs w:val="21"/>
                      <w:lang w:val="en-US" w:eastAsia="zh-CN"/>
                    </w:rPr>
                    <w:t>17</w:t>
                  </w:r>
                </w:p>
              </w:tc>
              <w:tc>
                <w:tcPr>
                  <w:tcW w:w="1824"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eastAsia="宋体" w:cs="宋体"/>
                      <w:color w:val="0000FF"/>
                      <w:kern w:val="0"/>
                      <w:szCs w:val="21"/>
                      <w:lang w:val="en-US" w:eastAsia="zh-CN"/>
                    </w:rPr>
                  </w:pPr>
                  <w:r>
                    <w:rPr>
                      <w:rFonts w:hint="eastAsia" w:cs="宋体"/>
                      <w:color w:val="0000FF"/>
                      <w:kern w:val="0"/>
                      <w:szCs w:val="21"/>
                      <w:lang w:val="en-US" w:eastAsia="zh-CN"/>
                    </w:rPr>
                    <w:t>风干机</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rPr>
                      <w:rFonts w:hint="eastAsia" w:ascii="Times New Roman" w:hAnsi="Times New Roman" w:eastAsia="宋体" w:cs="宋体"/>
                      <w:color w:val="0000FF"/>
                      <w:kern w:val="0"/>
                      <w:sz w:val="21"/>
                      <w:szCs w:val="21"/>
                      <w:lang w:val="en-US" w:eastAsia="zh-CN" w:bidi="ar-SA"/>
                    </w:rPr>
                  </w:pPr>
                  <w:r>
                    <w:rPr>
                      <w:color w:val="0000FF"/>
                      <w:sz w:val="21"/>
                      <w:u w:val="none"/>
                    </w:rPr>
                    <w:t>Jxfg8000</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eastAsia="宋体" w:cs="宋体"/>
                      <w:color w:val="0000FF"/>
                      <w:kern w:val="0"/>
                      <w:szCs w:val="21"/>
                      <w:lang w:val="en-US" w:eastAsia="zh-CN"/>
                    </w:rPr>
                  </w:pPr>
                  <w:r>
                    <w:rPr>
                      <w:rFonts w:hint="eastAsia" w:cs="宋体"/>
                      <w:color w:val="0000FF"/>
                      <w:kern w:val="0"/>
                      <w:szCs w:val="21"/>
                      <w:lang w:val="en-US" w:eastAsia="zh-CN"/>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eastAsia="宋体" w:cs="宋体"/>
                      <w:color w:val="0000FF"/>
                      <w:kern w:val="0"/>
                      <w:szCs w:val="21"/>
                      <w:lang w:val="en-US" w:eastAsia="zh-CN"/>
                    </w:rPr>
                  </w:pPr>
                  <w:r>
                    <w:rPr>
                      <w:rFonts w:hint="eastAsia" w:cs="宋体"/>
                      <w:color w:val="0000FF"/>
                      <w:kern w:val="0"/>
                      <w:szCs w:val="21"/>
                      <w:lang w:val="en-US" w:eastAsia="zh-CN"/>
                    </w:rPr>
                    <w:t>8</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cs="宋体"/>
                      <w:color w:val="0000FF"/>
                      <w:kern w:val="0"/>
                      <w:szCs w:val="21"/>
                      <w:lang w:val="en-US" w:eastAsia="zh-CN"/>
                    </w:rPr>
                  </w:pPr>
                  <w:r>
                    <w:rPr>
                      <w:rFonts w:hint="eastAsia" w:cs="宋体"/>
                      <w:color w:val="0000FF"/>
                      <w:kern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cs="宋体"/>
                      <w:color w:val="0000FF"/>
                      <w:kern w:val="0"/>
                      <w:szCs w:val="21"/>
                      <w:lang w:val="en-US" w:eastAsia="zh-CN"/>
                    </w:rPr>
                  </w:pPr>
                  <w:r>
                    <w:rPr>
                      <w:rFonts w:hint="eastAsia" w:cs="宋体"/>
                      <w:color w:val="0000FF"/>
                      <w:kern w:val="0"/>
                      <w:szCs w:val="21"/>
                      <w:lang w:val="en-US" w:eastAsia="zh-CN"/>
                    </w:rPr>
                    <w:t>18</w:t>
                  </w:r>
                </w:p>
              </w:tc>
              <w:tc>
                <w:tcPr>
                  <w:tcW w:w="1824"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cs="宋体"/>
                      <w:color w:val="0000FF"/>
                      <w:kern w:val="0"/>
                      <w:szCs w:val="21"/>
                      <w:lang w:val="en-US" w:eastAsia="zh-CN"/>
                    </w:rPr>
                  </w:pPr>
                  <w:r>
                    <w:rPr>
                      <w:rFonts w:hint="eastAsia" w:cs="宋体"/>
                      <w:color w:val="0000FF"/>
                      <w:kern w:val="0"/>
                      <w:szCs w:val="21"/>
                      <w:lang w:val="en-US" w:eastAsia="zh-CN"/>
                    </w:rPr>
                    <w:t>灭菌锅</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rPr>
                      <w:rFonts w:hint="eastAsia" w:ascii="Times New Roman" w:hAnsi="Times New Roman" w:eastAsia="宋体" w:cs="宋体"/>
                      <w:color w:val="0000FF"/>
                      <w:kern w:val="0"/>
                      <w:sz w:val="21"/>
                      <w:szCs w:val="21"/>
                      <w:lang w:val="en-US" w:eastAsia="zh-CN" w:bidi="ar-SA"/>
                    </w:rPr>
                  </w:pPr>
                  <w:r>
                    <w:rPr>
                      <w:color w:val="0000FF"/>
                      <w:sz w:val="21"/>
                      <w:u w:val="none"/>
                    </w:rPr>
                    <w:t>Zy-1200.B4</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cs="宋体"/>
                      <w:color w:val="0000FF"/>
                      <w:kern w:val="0"/>
                      <w:szCs w:val="21"/>
                      <w:lang w:val="en-US" w:eastAsia="zh-CN"/>
                    </w:rPr>
                  </w:pPr>
                  <w:r>
                    <w:rPr>
                      <w:rFonts w:hint="eastAsia" w:cs="宋体"/>
                      <w:color w:val="0000FF"/>
                      <w:kern w:val="0"/>
                      <w:szCs w:val="21"/>
                      <w:lang w:val="en-US" w:eastAsia="zh-CN"/>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cs="宋体"/>
                      <w:color w:val="0000FF"/>
                      <w:kern w:val="0"/>
                      <w:szCs w:val="21"/>
                      <w:lang w:val="en-US" w:eastAsia="zh-CN"/>
                    </w:rPr>
                  </w:pPr>
                  <w:r>
                    <w:rPr>
                      <w:rFonts w:hint="eastAsia" w:cs="宋体"/>
                      <w:color w:val="0000FF"/>
                      <w:kern w:val="0"/>
                      <w:szCs w:val="21"/>
                      <w:lang w:val="en-US" w:eastAsia="zh-CN"/>
                    </w:rPr>
                    <w:t>16</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cs="宋体"/>
                      <w:color w:val="0000FF"/>
                      <w:kern w:val="0"/>
                      <w:szCs w:val="21"/>
                      <w:lang w:val="en-US" w:eastAsia="zh-CN"/>
                    </w:rPr>
                  </w:pPr>
                  <w:r>
                    <w:rPr>
                      <w:rFonts w:hint="eastAsia" w:cs="宋体"/>
                      <w:color w:val="0000FF"/>
                      <w:kern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cs="宋体"/>
                      <w:color w:val="0000FF"/>
                      <w:kern w:val="0"/>
                      <w:szCs w:val="21"/>
                      <w:lang w:val="en-US" w:eastAsia="zh-CN"/>
                    </w:rPr>
                  </w:pPr>
                  <w:r>
                    <w:rPr>
                      <w:rFonts w:hint="eastAsia" w:cs="宋体"/>
                      <w:color w:val="0000FF"/>
                      <w:kern w:val="0"/>
                      <w:szCs w:val="21"/>
                      <w:lang w:val="en-US" w:eastAsia="zh-CN"/>
                    </w:rPr>
                    <w:t>19</w:t>
                  </w:r>
                </w:p>
              </w:tc>
              <w:tc>
                <w:tcPr>
                  <w:tcW w:w="1824"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cs="宋体"/>
                      <w:color w:val="0000FF"/>
                      <w:kern w:val="0"/>
                      <w:szCs w:val="21"/>
                      <w:lang w:val="en-US" w:eastAsia="zh-CN"/>
                    </w:rPr>
                  </w:pPr>
                  <w:r>
                    <w:rPr>
                      <w:rFonts w:hint="eastAsia" w:cs="宋体"/>
                      <w:color w:val="0000FF"/>
                      <w:kern w:val="0"/>
                      <w:szCs w:val="21"/>
                      <w:lang w:val="en-US" w:eastAsia="zh-CN"/>
                    </w:rPr>
                    <w:t>4t/h生物质蒸汽锅炉</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rPr>
                      <w:rFonts w:hint="default" w:ascii="Times New Roman" w:hAnsi="Times New Roman" w:eastAsia="宋体" w:cs="宋体"/>
                      <w:color w:val="0000FF"/>
                      <w:kern w:val="0"/>
                      <w:sz w:val="21"/>
                      <w:szCs w:val="21"/>
                      <w:lang w:val="en-US" w:eastAsia="zh-CN" w:bidi="ar-SA"/>
                    </w:rPr>
                  </w:pPr>
                  <w:r>
                    <w:rPr>
                      <w:rFonts w:hint="eastAsia" w:cs="宋体"/>
                      <w:color w:val="0000FF"/>
                      <w:kern w:val="0"/>
                      <w:sz w:val="21"/>
                      <w:szCs w:val="21"/>
                      <w:lang w:val="en-US" w:eastAsia="zh-CN" w:bidi="ar-SA"/>
                    </w:rPr>
                    <w:t>/</w:t>
                  </w:r>
                </w:p>
              </w:tc>
              <w:tc>
                <w:tcPr>
                  <w:tcW w:w="660"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cs="宋体"/>
                      <w:color w:val="0000FF"/>
                      <w:kern w:val="0"/>
                      <w:szCs w:val="21"/>
                      <w:lang w:val="en-US" w:eastAsia="zh-CN"/>
                    </w:rPr>
                  </w:pPr>
                  <w:r>
                    <w:rPr>
                      <w:rFonts w:hint="eastAsia" w:cs="宋体"/>
                      <w:color w:val="0000FF"/>
                      <w:kern w:val="0"/>
                      <w:szCs w:val="21"/>
                      <w:lang w:val="en-US" w:eastAsia="zh-CN"/>
                    </w:rPr>
                    <w:t>台</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cs="宋体"/>
                      <w:color w:val="0000FF"/>
                      <w:kern w:val="0"/>
                      <w:szCs w:val="21"/>
                      <w:lang w:val="en-US" w:eastAsia="zh-CN"/>
                    </w:rPr>
                  </w:pPr>
                  <w:r>
                    <w:rPr>
                      <w:rFonts w:hint="eastAsia" w:cs="宋体"/>
                      <w:color w:val="0000FF"/>
                      <w:kern w:val="0"/>
                      <w:szCs w:val="21"/>
                      <w:lang w:val="en-US" w:eastAsia="zh-CN"/>
                    </w:rPr>
                    <w:t>1</w:t>
                  </w:r>
                </w:p>
              </w:tc>
              <w:tc>
                <w:tcPr>
                  <w:tcW w:w="647" w:type="pct"/>
                  <w:tcBorders>
                    <w:tl2br w:val="nil"/>
                    <w:tr2bl w:val="nil"/>
                  </w:tcBorders>
                  <w:shd w:val="clear" w:color="auto" w:fill="auto"/>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default" w:cs="宋体"/>
                      <w:color w:val="0000FF"/>
                      <w:kern w:val="0"/>
                      <w:szCs w:val="21"/>
                      <w:lang w:val="en-US" w:eastAsia="zh-CN"/>
                    </w:rPr>
                  </w:pPr>
                  <w:r>
                    <w:rPr>
                      <w:rFonts w:hint="eastAsia" w:cs="宋体"/>
                      <w:color w:val="0000FF"/>
                      <w:kern w:val="0"/>
                      <w:szCs w:val="21"/>
                      <w:lang w:val="en-US" w:eastAsia="zh-CN"/>
                    </w:rPr>
                    <w:t>/</w:t>
                  </w:r>
                </w:p>
              </w:tc>
            </w:tr>
          </w:tbl>
          <w:p>
            <w:pPr>
              <w:shd w:val="clear"/>
              <w:autoSpaceDE w:val="0"/>
              <w:autoSpaceDN w:val="0"/>
              <w:adjustRightInd w:val="0"/>
              <w:snapToGrid w:val="0"/>
              <w:spacing w:line="360" w:lineRule="auto"/>
              <w:ind w:firstLine="482" w:firstLineChars="200"/>
              <w:rPr>
                <w:b/>
                <w:bCs/>
                <w:color w:val="auto"/>
                <w:sz w:val="24"/>
              </w:rPr>
            </w:pPr>
            <w:r>
              <w:rPr>
                <w:rFonts w:hint="eastAsia"/>
                <w:b/>
                <w:bCs/>
                <w:color w:val="auto"/>
                <w:sz w:val="24"/>
              </w:rPr>
              <w:t>3.</w:t>
            </w:r>
            <w:r>
              <w:rPr>
                <w:b/>
                <w:bCs/>
                <w:color w:val="auto"/>
                <w:sz w:val="24"/>
              </w:rPr>
              <w:t>产品方案</w:t>
            </w:r>
          </w:p>
          <w:p>
            <w:pPr>
              <w:shd w:val="clear"/>
              <w:ind w:firstLine="422" w:firstLineChars="200"/>
              <w:jc w:val="center"/>
              <w:rPr>
                <w:b/>
                <w:color w:val="auto"/>
                <w:szCs w:val="21"/>
              </w:rPr>
            </w:pPr>
            <w:r>
              <w:rPr>
                <w:b/>
                <w:color w:val="auto"/>
                <w:szCs w:val="21"/>
              </w:rPr>
              <w:t>表2-3</w:t>
            </w:r>
            <w:r>
              <w:rPr>
                <w:rFonts w:hint="eastAsia"/>
                <w:b/>
                <w:color w:val="auto"/>
                <w:szCs w:val="21"/>
              </w:rPr>
              <w:t xml:space="preserve">  </w:t>
            </w:r>
            <w:r>
              <w:rPr>
                <w:b/>
                <w:color w:val="auto"/>
                <w:szCs w:val="21"/>
              </w:rPr>
              <w:t>主要产品一览表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27"/>
              <w:gridCol w:w="1634"/>
              <w:gridCol w:w="2323"/>
              <w:gridCol w:w="23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4"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宋体"/>
                      <w:color w:val="auto"/>
                      <w:kern w:val="0"/>
                      <w:szCs w:val="21"/>
                    </w:rPr>
                  </w:pPr>
                  <w:r>
                    <w:rPr>
                      <w:rFonts w:hint="eastAsia" w:ascii="Times New Roman" w:hAnsi="Times New Roman" w:eastAsia="宋体" w:cs="宋体"/>
                      <w:color w:val="auto"/>
                      <w:kern w:val="0"/>
                      <w:szCs w:val="21"/>
                    </w:rPr>
                    <w:t>名称</w:t>
                  </w:r>
                </w:p>
              </w:tc>
              <w:tc>
                <w:tcPr>
                  <w:tcW w:w="971"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宋体"/>
                      <w:color w:val="auto"/>
                      <w:kern w:val="0"/>
                      <w:szCs w:val="21"/>
                    </w:rPr>
                  </w:pPr>
                  <w:r>
                    <w:rPr>
                      <w:rFonts w:hint="eastAsia" w:ascii="Times New Roman" w:hAnsi="Times New Roman" w:eastAsia="宋体" w:cs="宋体"/>
                      <w:color w:val="auto"/>
                      <w:kern w:val="0"/>
                      <w:szCs w:val="21"/>
                    </w:rPr>
                    <w:t>产品</w:t>
                  </w:r>
                </w:p>
              </w:tc>
              <w:tc>
                <w:tcPr>
                  <w:tcW w:w="1381"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宋体"/>
                      <w:color w:val="auto"/>
                      <w:kern w:val="0"/>
                      <w:szCs w:val="21"/>
                    </w:rPr>
                  </w:pPr>
                  <w:r>
                    <w:rPr>
                      <w:rFonts w:hint="eastAsia" w:ascii="Times New Roman" w:hAnsi="Times New Roman" w:eastAsia="宋体" w:cs="宋体"/>
                      <w:color w:val="auto"/>
                      <w:kern w:val="0"/>
                      <w:szCs w:val="21"/>
                    </w:rPr>
                    <w:t>用途</w:t>
                  </w:r>
                </w:p>
              </w:tc>
              <w:tc>
                <w:tcPr>
                  <w:tcW w:w="1381"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宋体"/>
                      <w:color w:val="auto"/>
                      <w:kern w:val="0"/>
                      <w:szCs w:val="21"/>
                    </w:rPr>
                  </w:pPr>
                  <w:r>
                    <w:rPr>
                      <w:rFonts w:hint="eastAsia" w:ascii="Times New Roman" w:hAnsi="Times New Roman" w:eastAsia="宋体" w:cs="宋体"/>
                      <w:color w:val="auto"/>
                      <w:kern w:val="0"/>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4"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宋体"/>
                      <w:color w:val="auto"/>
                      <w:kern w:val="0"/>
                      <w:szCs w:val="21"/>
                    </w:rPr>
                  </w:pPr>
                  <w:r>
                    <w:rPr>
                      <w:rFonts w:hint="eastAsia" w:cs="宋体"/>
                      <w:color w:val="auto"/>
                      <w:kern w:val="0"/>
                      <w:szCs w:val="21"/>
                      <w:lang w:val="en-US" w:eastAsia="zh-CN"/>
                    </w:rPr>
                    <w:t>鲜食</w:t>
                  </w:r>
                  <w:r>
                    <w:rPr>
                      <w:rFonts w:hint="eastAsia" w:ascii="Times New Roman" w:hAnsi="Times New Roman" w:eastAsia="宋体" w:cs="宋体"/>
                      <w:color w:val="auto"/>
                      <w:kern w:val="0"/>
                      <w:szCs w:val="21"/>
                    </w:rPr>
                    <w:t>玉米</w:t>
                  </w:r>
                </w:p>
              </w:tc>
              <w:tc>
                <w:tcPr>
                  <w:tcW w:w="971"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宋体"/>
                      <w:color w:val="auto"/>
                      <w:kern w:val="0"/>
                      <w:szCs w:val="21"/>
                    </w:rPr>
                  </w:pPr>
                  <w:r>
                    <w:rPr>
                      <w:rFonts w:hint="eastAsia" w:ascii="Times New Roman" w:hAnsi="Times New Roman" w:eastAsia="宋体" w:cs="宋体"/>
                      <w:color w:val="auto"/>
                      <w:kern w:val="0"/>
                      <w:szCs w:val="21"/>
                    </w:rPr>
                    <w:t>1</w:t>
                  </w:r>
                  <w:r>
                    <w:rPr>
                      <w:rFonts w:hint="eastAsia" w:ascii="Times New Roman" w:hAnsi="Times New Roman" w:eastAsia="宋体" w:cs="宋体"/>
                      <w:color w:val="auto"/>
                      <w:kern w:val="0"/>
                      <w:szCs w:val="21"/>
                      <w:lang w:val="en-US" w:eastAsia="zh-CN"/>
                    </w:rPr>
                    <w:t>5</w:t>
                  </w:r>
                  <w:r>
                    <w:rPr>
                      <w:rFonts w:hint="eastAsia" w:ascii="Times New Roman" w:hAnsi="Times New Roman" w:eastAsia="宋体" w:cs="宋体"/>
                      <w:color w:val="auto"/>
                      <w:kern w:val="0"/>
                      <w:szCs w:val="21"/>
                    </w:rPr>
                    <w:t>00万穗</w:t>
                  </w:r>
                </w:p>
              </w:tc>
              <w:tc>
                <w:tcPr>
                  <w:tcW w:w="1381"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宋体"/>
                      <w:color w:val="auto"/>
                      <w:kern w:val="0"/>
                      <w:szCs w:val="21"/>
                    </w:rPr>
                  </w:pPr>
                  <w:r>
                    <w:rPr>
                      <w:rFonts w:hint="eastAsia" w:ascii="Times New Roman" w:hAnsi="Times New Roman" w:eastAsia="宋体" w:cs="宋体"/>
                      <w:color w:val="auto"/>
                      <w:kern w:val="0"/>
                      <w:szCs w:val="21"/>
                    </w:rPr>
                    <w:t>外售</w:t>
                  </w:r>
                </w:p>
              </w:tc>
              <w:tc>
                <w:tcPr>
                  <w:tcW w:w="1381" w:type="pct"/>
                  <w:tcBorders>
                    <w:tl2br w:val="nil"/>
                    <w:tr2bl w:val="nil"/>
                  </w:tcBorders>
                  <w:vAlign w:val="center"/>
                </w:tcPr>
                <w:p>
                  <w:pPr>
                    <w:keepNext w:val="0"/>
                    <w:keepLines w:val="0"/>
                    <w:pageBreakBefore w:val="0"/>
                    <w:widowControl/>
                    <w:shd w:val="clear"/>
                    <w:kinsoku/>
                    <w:wordWrap/>
                    <w:overflowPunct/>
                    <w:topLinePunct w:val="0"/>
                    <w:autoSpaceDE/>
                    <w:autoSpaceDN/>
                    <w:bidi w:val="0"/>
                    <w:adjustRightInd/>
                    <w:snapToGrid/>
                    <w:jc w:val="center"/>
                    <w:textAlignment w:val="auto"/>
                    <w:rPr>
                      <w:rFonts w:hint="eastAsia" w:ascii="Times New Roman" w:hAnsi="Times New Roman" w:eastAsia="宋体" w:cs="宋体"/>
                      <w:color w:val="auto"/>
                      <w:kern w:val="0"/>
                      <w:szCs w:val="21"/>
                    </w:rPr>
                  </w:pPr>
                  <w:r>
                    <w:rPr>
                      <w:rFonts w:hint="eastAsia" w:ascii="Times New Roman" w:hAnsi="Times New Roman" w:eastAsia="宋体" w:cs="宋体"/>
                      <w:color w:val="auto"/>
                      <w:kern w:val="0"/>
                      <w:szCs w:val="21"/>
                      <w:lang w:val="en-US" w:eastAsia="zh-CN"/>
                    </w:rPr>
                    <w:t>6500</w:t>
                  </w:r>
                  <w:r>
                    <w:rPr>
                      <w:rFonts w:hint="eastAsia" w:ascii="Times New Roman" w:hAnsi="Times New Roman" w:eastAsia="宋体" w:cs="宋体"/>
                      <w:color w:val="auto"/>
                      <w:kern w:val="0"/>
                      <w:szCs w:val="21"/>
                    </w:rPr>
                    <w:t>t/a</w:t>
                  </w:r>
                </w:p>
              </w:tc>
            </w:tr>
          </w:tbl>
          <w:p>
            <w:pPr>
              <w:keepNext w:val="0"/>
              <w:keepLines w:val="0"/>
              <w:pageBreakBefore w:val="0"/>
              <w:widowControl w:val="0"/>
              <w:shd w:val="clear"/>
              <w:kinsoku/>
              <w:wordWrap/>
              <w:overflowPunct/>
              <w:topLinePunct w:val="0"/>
              <w:autoSpaceDE w:val="0"/>
              <w:autoSpaceDN w:val="0"/>
              <w:bidi w:val="0"/>
              <w:adjustRightInd w:val="0"/>
              <w:snapToGrid/>
              <w:spacing w:line="360" w:lineRule="auto"/>
              <w:ind w:firstLine="482" w:firstLineChars="200"/>
              <w:rPr>
                <w:rFonts w:hint="default" w:ascii="Times New Roman" w:hAnsi="Times New Roman" w:eastAsia="宋体" w:cs="Times New Roman"/>
                <w:b/>
                <w:bCs/>
                <w:color w:val="auto"/>
                <w:sz w:val="24"/>
                <w:szCs w:val="24"/>
              </w:rPr>
            </w:pPr>
            <w:r>
              <w:rPr>
                <w:rFonts w:hint="eastAsia"/>
                <w:b/>
                <w:bCs/>
                <w:color w:val="auto"/>
                <w:sz w:val="24"/>
              </w:rPr>
              <w:t>4.</w:t>
            </w:r>
            <w:r>
              <w:rPr>
                <w:b/>
                <w:bCs/>
                <w:color w:val="auto"/>
                <w:sz w:val="24"/>
              </w:rPr>
              <w:t>主</w:t>
            </w:r>
            <w:r>
              <w:rPr>
                <w:rFonts w:hint="default" w:ascii="Times New Roman" w:hAnsi="Times New Roman" w:eastAsia="宋体" w:cs="Times New Roman"/>
                <w:b/>
                <w:bCs/>
                <w:color w:val="auto"/>
                <w:sz w:val="24"/>
                <w:szCs w:val="24"/>
              </w:rPr>
              <w:t>要原辅材料及能耗情况</w:t>
            </w:r>
          </w:p>
          <w:p>
            <w:pPr>
              <w:keepNext w:val="0"/>
              <w:keepLines w:val="0"/>
              <w:pageBreakBefore w:val="0"/>
              <w:widowControl w:val="0"/>
              <w:shd w:val="clear"/>
              <w:kinsoku/>
              <w:wordWrap/>
              <w:overflowPunct/>
              <w:topLinePunct w:val="0"/>
              <w:autoSpaceDE w:val="0"/>
              <w:autoSpaceDN w:val="0"/>
              <w:bidi w:val="0"/>
              <w:adjustRightInd w:val="0"/>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（1）主要原料</w:t>
            </w:r>
          </w:p>
          <w:p>
            <w:pPr>
              <w:keepNext w:val="0"/>
              <w:keepLines w:val="0"/>
              <w:pageBreakBefore w:val="0"/>
              <w:widowControl w:val="0"/>
              <w:shd w:val="clear"/>
              <w:kinsoku/>
              <w:wordWrap/>
              <w:overflowPunct/>
              <w:topLinePunct w:val="0"/>
              <w:autoSpaceDE w:val="0"/>
              <w:autoSpaceDN w:val="0"/>
              <w:bidi w:val="0"/>
              <w:adjustRightInd w:val="0"/>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本项目原辅材料一览表见表2-4。</w:t>
            </w:r>
          </w:p>
          <w:p>
            <w:pPr>
              <w:pStyle w:val="41"/>
              <w:keepNext w:val="0"/>
              <w:keepLines w:val="0"/>
              <w:pageBreakBefore w:val="0"/>
              <w:widowControl w:val="0"/>
              <w:shd w:val="clear"/>
              <w:kinsoku/>
              <w:wordWrap/>
              <w:overflowPunct/>
              <w:topLinePunct w:val="0"/>
              <w:bidi w:val="0"/>
              <w:snapToGrid/>
              <w:spacing w:beforeLines="0" w:afterLines="0" w:line="240" w:lineRule="auto"/>
              <w:ind w:firstLine="0" w:firstLineChars="0"/>
              <w:jc w:val="center"/>
              <w:textAlignment w:val="baseline"/>
              <w:rPr>
                <w:b/>
                <w:color w:val="auto"/>
                <w:sz w:val="21"/>
                <w:szCs w:val="16"/>
              </w:rPr>
            </w:pPr>
            <w:r>
              <w:rPr>
                <w:rFonts w:hint="default" w:ascii="Times New Roman" w:hAnsi="Times New Roman" w:eastAsia="宋体" w:cs="Times New Roman"/>
                <w:b/>
                <w:color w:val="auto"/>
                <w:sz w:val="24"/>
                <w:szCs w:val="24"/>
              </w:rPr>
              <w:t>表2-4  主要原辅</w:t>
            </w:r>
            <w:r>
              <w:rPr>
                <w:b/>
                <w:color w:val="auto"/>
                <w:sz w:val="21"/>
                <w:szCs w:val="16"/>
              </w:rPr>
              <w:t>材料及动力消耗用量一览表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512"/>
              <w:gridCol w:w="2806"/>
              <w:gridCol w:w="1589"/>
              <w:gridCol w:w="13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6" w:type="pct"/>
                  <w:tcBorders>
                    <w:tl2br w:val="nil"/>
                    <w:tr2bl w:val="nil"/>
                  </w:tcBorders>
                  <w:vAlign w:val="center"/>
                </w:tcPr>
                <w:p>
                  <w:pPr>
                    <w:shd w:val="clear"/>
                    <w:jc w:val="center"/>
                    <w:rPr>
                      <w:color w:val="auto"/>
                      <w:szCs w:val="21"/>
                    </w:rPr>
                  </w:pPr>
                  <w:r>
                    <w:rPr>
                      <w:color w:val="auto"/>
                      <w:szCs w:val="21"/>
                    </w:rPr>
                    <w:t>序号</w:t>
                  </w:r>
                </w:p>
              </w:tc>
              <w:tc>
                <w:tcPr>
                  <w:tcW w:w="899" w:type="pct"/>
                  <w:tcBorders>
                    <w:tl2br w:val="nil"/>
                    <w:tr2bl w:val="nil"/>
                  </w:tcBorders>
                  <w:vAlign w:val="center"/>
                </w:tcPr>
                <w:p>
                  <w:pPr>
                    <w:shd w:val="clear"/>
                    <w:jc w:val="center"/>
                    <w:rPr>
                      <w:color w:val="auto"/>
                      <w:szCs w:val="21"/>
                    </w:rPr>
                  </w:pPr>
                  <w:r>
                    <w:rPr>
                      <w:color w:val="auto"/>
                      <w:szCs w:val="21"/>
                    </w:rPr>
                    <w:t>类别</w:t>
                  </w:r>
                </w:p>
              </w:tc>
              <w:tc>
                <w:tcPr>
                  <w:tcW w:w="1668" w:type="pct"/>
                  <w:tcBorders>
                    <w:tl2br w:val="nil"/>
                    <w:tr2bl w:val="nil"/>
                  </w:tcBorders>
                  <w:vAlign w:val="center"/>
                </w:tcPr>
                <w:p>
                  <w:pPr>
                    <w:shd w:val="clear"/>
                    <w:jc w:val="center"/>
                    <w:rPr>
                      <w:color w:val="auto"/>
                      <w:szCs w:val="21"/>
                    </w:rPr>
                  </w:pPr>
                  <w:r>
                    <w:rPr>
                      <w:color w:val="auto"/>
                      <w:szCs w:val="21"/>
                    </w:rPr>
                    <w:t>材料</w:t>
                  </w:r>
                </w:p>
              </w:tc>
              <w:tc>
                <w:tcPr>
                  <w:tcW w:w="945" w:type="pct"/>
                  <w:tcBorders>
                    <w:tl2br w:val="nil"/>
                    <w:tr2bl w:val="nil"/>
                  </w:tcBorders>
                  <w:vAlign w:val="center"/>
                </w:tcPr>
                <w:p>
                  <w:pPr>
                    <w:shd w:val="clear"/>
                    <w:jc w:val="center"/>
                    <w:rPr>
                      <w:color w:val="auto"/>
                      <w:szCs w:val="21"/>
                    </w:rPr>
                  </w:pPr>
                  <w:r>
                    <w:rPr>
                      <w:color w:val="auto"/>
                      <w:szCs w:val="21"/>
                    </w:rPr>
                    <w:t>数量</w:t>
                  </w:r>
                </w:p>
              </w:tc>
              <w:tc>
                <w:tcPr>
                  <w:tcW w:w="830" w:type="pct"/>
                  <w:tcBorders>
                    <w:tl2br w:val="nil"/>
                    <w:tr2bl w:val="nil"/>
                  </w:tcBorders>
                  <w:vAlign w:val="center"/>
                </w:tcPr>
                <w:p>
                  <w:pPr>
                    <w:shd w:val="clear"/>
                    <w:jc w:val="center"/>
                    <w:rPr>
                      <w:color w:val="auto"/>
                      <w:szCs w:val="21"/>
                    </w:rPr>
                  </w:pPr>
                  <w:r>
                    <w:rPr>
                      <w:color w:val="auto"/>
                      <w:szCs w:val="21"/>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656" w:type="pct"/>
                  <w:tcBorders>
                    <w:tl2br w:val="nil"/>
                    <w:tr2bl w:val="nil"/>
                  </w:tcBorders>
                  <w:vAlign w:val="center"/>
                </w:tcPr>
                <w:p>
                  <w:pPr>
                    <w:shd w:val="clear"/>
                    <w:jc w:val="center"/>
                    <w:rPr>
                      <w:color w:val="auto"/>
                      <w:szCs w:val="21"/>
                    </w:rPr>
                  </w:pPr>
                  <w:r>
                    <w:rPr>
                      <w:color w:val="auto"/>
                      <w:szCs w:val="21"/>
                    </w:rPr>
                    <w:t>1</w:t>
                  </w:r>
                </w:p>
              </w:tc>
              <w:tc>
                <w:tcPr>
                  <w:tcW w:w="899" w:type="pct"/>
                  <w:tcBorders>
                    <w:tl2br w:val="nil"/>
                    <w:tr2bl w:val="nil"/>
                  </w:tcBorders>
                  <w:vAlign w:val="center"/>
                </w:tcPr>
                <w:p>
                  <w:pPr>
                    <w:shd w:val="clear"/>
                    <w:jc w:val="center"/>
                    <w:rPr>
                      <w:color w:val="auto"/>
                      <w:szCs w:val="21"/>
                    </w:rPr>
                  </w:pPr>
                  <w:r>
                    <w:rPr>
                      <w:color w:val="auto"/>
                      <w:szCs w:val="21"/>
                    </w:rPr>
                    <w:t>原料</w:t>
                  </w:r>
                </w:p>
              </w:tc>
              <w:tc>
                <w:tcPr>
                  <w:tcW w:w="1668" w:type="pct"/>
                  <w:tcBorders>
                    <w:tl2br w:val="nil"/>
                    <w:tr2bl w:val="nil"/>
                  </w:tcBorders>
                  <w:vAlign w:val="center"/>
                </w:tcPr>
                <w:p>
                  <w:pPr>
                    <w:shd w:val="clear"/>
                    <w:jc w:val="center"/>
                    <w:rPr>
                      <w:color w:val="auto"/>
                      <w:szCs w:val="21"/>
                    </w:rPr>
                  </w:pPr>
                  <w:r>
                    <w:rPr>
                      <w:rFonts w:hint="eastAsia"/>
                      <w:color w:val="auto"/>
                      <w:szCs w:val="21"/>
                    </w:rPr>
                    <w:t>鲜玉米</w:t>
                  </w:r>
                </w:p>
              </w:tc>
              <w:tc>
                <w:tcPr>
                  <w:tcW w:w="945" w:type="pct"/>
                  <w:tcBorders>
                    <w:tl2br w:val="nil"/>
                    <w:tr2bl w:val="nil"/>
                  </w:tcBorders>
                  <w:vAlign w:val="center"/>
                </w:tcPr>
                <w:p>
                  <w:pPr>
                    <w:shd w:val="clear"/>
                    <w:jc w:val="center"/>
                    <w:rPr>
                      <w:color w:val="auto"/>
                      <w:szCs w:val="21"/>
                    </w:rPr>
                  </w:pPr>
                  <w:r>
                    <w:rPr>
                      <w:rFonts w:hint="eastAsia"/>
                      <w:color w:val="auto"/>
                      <w:szCs w:val="21"/>
                      <w:lang w:val="en-US" w:eastAsia="zh-CN"/>
                    </w:rPr>
                    <w:t>7200</w:t>
                  </w:r>
                  <w:r>
                    <w:rPr>
                      <w:color w:val="auto"/>
                      <w:szCs w:val="21"/>
                    </w:rPr>
                    <w:t>t/a</w:t>
                  </w:r>
                </w:p>
              </w:tc>
              <w:tc>
                <w:tcPr>
                  <w:tcW w:w="830" w:type="pct"/>
                  <w:tcBorders>
                    <w:tl2br w:val="nil"/>
                    <w:tr2bl w:val="nil"/>
                  </w:tcBorders>
                  <w:vAlign w:val="center"/>
                </w:tcPr>
                <w:p>
                  <w:pPr>
                    <w:shd w:val="clear"/>
                    <w:jc w:val="center"/>
                    <w:rPr>
                      <w:color w:val="auto"/>
                      <w:szCs w:val="21"/>
                    </w:rPr>
                  </w:pPr>
                  <w:r>
                    <w:rPr>
                      <w:color w:val="auto"/>
                      <w:szCs w:val="21"/>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656" w:type="pct"/>
                  <w:tcBorders>
                    <w:tl2br w:val="nil"/>
                    <w:tr2bl w:val="nil"/>
                  </w:tcBorders>
                  <w:vAlign w:val="center"/>
                </w:tcPr>
                <w:p>
                  <w:pPr>
                    <w:shd w:val="clear"/>
                    <w:jc w:val="center"/>
                    <w:rPr>
                      <w:rFonts w:hint="eastAsia" w:eastAsia="宋体"/>
                      <w:color w:val="auto"/>
                      <w:szCs w:val="21"/>
                      <w:lang w:val="en-US" w:eastAsia="zh-CN"/>
                    </w:rPr>
                  </w:pPr>
                  <w:r>
                    <w:rPr>
                      <w:rFonts w:hint="eastAsia"/>
                      <w:color w:val="auto"/>
                      <w:szCs w:val="21"/>
                      <w:lang w:val="en-US" w:eastAsia="zh-CN"/>
                    </w:rPr>
                    <w:t>2</w:t>
                  </w:r>
                </w:p>
              </w:tc>
              <w:tc>
                <w:tcPr>
                  <w:tcW w:w="899" w:type="pct"/>
                  <w:vMerge w:val="restart"/>
                  <w:tcBorders>
                    <w:tl2br w:val="nil"/>
                    <w:tr2bl w:val="nil"/>
                  </w:tcBorders>
                  <w:vAlign w:val="center"/>
                </w:tcPr>
                <w:p>
                  <w:pPr>
                    <w:shd w:val="clear"/>
                    <w:jc w:val="center"/>
                    <w:rPr>
                      <w:color w:val="auto"/>
                      <w:szCs w:val="21"/>
                    </w:rPr>
                  </w:pPr>
                  <w:r>
                    <w:rPr>
                      <w:rFonts w:hint="eastAsia"/>
                      <w:color w:val="auto"/>
                      <w:szCs w:val="21"/>
                    </w:rPr>
                    <w:t>包装</w:t>
                  </w:r>
                </w:p>
              </w:tc>
              <w:tc>
                <w:tcPr>
                  <w:tcW w:w="1668" w:type="pct"/>
                  <w:tcBorders>
                    <w:tl2br w:val="nil"/>
                    <w:tr2bl w:val="nil"/>
                  </w:tcBorders>
                  <w:vAlign w:val="center"/>
                </w:tcPr>
                <w:p>
                  <w:pPr>
                    <w:shd w:val="clear"/>
                    <w:jc w:val="center"/>
                    <w:rPr>
                      <w:color w:val="auto"/>
                      <w:szCs w:val="21"/>
                    </w:rPr>
                  </w:pPr>
                  <w:r>
                    <w:rPr>
                      <w:rFonts w:hint="eastAsia"/>
                      <w:color w:val="auto"/>
                      <w:kern w:val="0"/>
                      <w:szCs w:val="21"/>
                    </w:rPr>
                    <w:t>玉米棒包装袋（</w:t>
                  </w:r>
                  <w:r>
                    <w:rPr>
                      <w:color w:val="auto"/>
                      <w:kern w:val="0"/>
                      <w:szCs w:val="21"/>
                    </w:rPr>
                    <w:t>2</w:t>
                  </w:r>
                  <w:r>
                    <w:rPr>
                      <w:rFonts w:hint="eastAsia"/>
                      <w:color w:val="auto"/>
                      <w:kern w:val="0"/>
                      <w:szCs w:val="21"/>
                    </w:rPr>
                    <w:t>穗</w:t>
                  </w:r>
                  <w:r>
                    <w:rPr>
                      <w:color w:val="auto"/>
                      <w:kern w:val="0"/>
                      <w:szCs w:val="21"/>
                    </w:rPr>
                    <w:t>/</w:t>
                  </w:r>
                  <w:r>
                    <w:rPr>
                      <w:rFonts w:hint="eastAsia"/>
                      <w:color w:val="auto"/>
                      <w:kern w:val="0"/>
                      <w:szCs w:val="21"/>
                    </w:rPr>
                    <w:t>袋）</w:t>
                  </w:r>
                </w:p>
              </w:tc>
              <w:tc>
                <w:tcPr>
                  <w:tcW w:w="945" w:type="pct"/>
                  <w:tcBorders>
                    <w:tl2br w:val="nil"/>
                    <w:tr2bl w:val="nil"/>
                  </w:tcBorders>
                  <w:vAlign w:val="center"/>
                </w:tcPr>
                <w:p>
                  <w:pPr>
                    <w:shd w:val="clear"/>
                    <w:jc w:val="center"/>
                    <w:rPr>
                      <w:color w:val="auto"/>
                      <w:szCs w:val="21"/>
                    </w:rPr>
                  </w:pPr>
                  <w:r>
                    <w:rPr>
                      <w:rFonts w:hint="eastAsia"/>
                      <w:color w:val="auto"/>
                      <w:szCs w:val="21"/>
                      <w:lang w:val="en-US" w:eastAsia="zh-CN"/>
                    </w:rPr>
                    <w:t>750</w:t>
                  </w:r>
                  <w:r>
                    <w:rPr>
                      <w:rFonts w:hint="eastAsia"/>
                      <w:color w:val="auto"/>
                      <w:szCs w:val="21"/>
                    </w:rPr>
                    <w:t>万个</w:t>
                  </w:r>
                </w:p>
              </w:tc>
              <w:tc>
                <w:tcPr>
                  <w:tcW w:w="830" w:type="pct"/>
                  <w:tcBorders>
                    <w:tl2br w:val="nil"/>
                    <w:tr2bl w:val="nil"/>
                  </w:tcBorders>
                  <w:vAlign w:val="center"/>
                </w:tcPr>
                <w:p>
                  <w:pPr>
                    <w:shd w:val="clear"/>
                    <w:jc w:val="center"/>
                    <w:rPr>
                      <w:color w:val="auto"/>
                      <w:szCs w:val="21"/>
                    </w:rPr>
                  </w:pPr>
                  <w:r>
                    <w:rPr>
                      <w:color w:val="auto"/>
                      <w:szCs w:val="21"/>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656" w:type="pct"/>
                  <w:tcBorders>
                    <w:tl2br w:val="nil"/>
                    <w:tr2bl w:val="nil"/>
                  </w:tcBorders>
                  <w:vAlign w:val="center"/>
                </w:tcPr>
                <w:p>
                  <w:pPr>
                    <w:shd w:val="clear"/>
                    <w:jc w:val="center"/>
                    <w:rPr>
                      <w:color w:val="auto"/>
                      <w:szCs w:val="21"/>
                    </w:rPr>
                  </w:pPr>
                  <w:r>
                    <w:rPr>
                      <w:rFonts w:hint="eastAsia"/>
                      <w:color w:val="auto"/>
                      <w:szCs w:val="21"/>
                    </w:rPr>
                    <w:t>3</w:t>
                  </w:r>
                </w:p>
              </w:tc>
              <w:tc>
                <w:tcPr>
                  <w:tcW w:w="899" w:type="pct"/>
                  <w:vMerge w:val="continue"/>
                  <w:tcBorders>
                    <w:tl2br w:val="nil"/>
                    <w:tr2bl w:val="nil"/>
                  </w:tcBorders>
                  <w:vAlign w:val="center"/>
                </w:tcPr>
                <w:p>
                  <w:pPr>
                    <w:shd w:val="clear"/>
                    <w:jc w:val="center"/>
                    <w:rPr>
                      <w:color w:val="auto"/>
                      <w:szCs w:val="21"/>
                    </w:rPr>
                  </w:pPr>
                </w:p>
              </w:tc>
              <w:tc>
                <w:tcPr>
                  <w:tcW w:w="1668" w:type="pct"/>
                  <w:tcBorders>
                    <w:tl2br w:val="nil"/>
                    <w:tr2bl w:val="nil"/>
                  </w:tcBorders>
                  <w:vAlign w:val="center"/>
                </w:tcPr>
                <w:p>
                  <w:pPr>
                    <w:shd w:val="clear"/>
                    <w:jc w:val="center"/>
                    <w:rPr>
                      <w:color w:val="auto"/>
                      <w:szCs w:val="21"/>
                    </w:rPr>
                  </w:pPr>
                  <w:r>
                    <w:rPr>
                      <w:rFonts w:hint="eastAsia"/>
                      <w:color w:val="auto"/>
                      <w:kern w:val="0"/>
                      <w:szCs w:val="21"/>
                    </w:rPr>
                    <w:t>玉米棒包装纸箱（</w:t>
                  </w:r>
                  <w:r>
                    <w:rPr>
                      <w:rFonts w:hint="eastAsia"/>
                      <w:color w:val="auto"/>
                      <w:kern w:val="0"/>
                      <w:szCs w:val="21"/>
                      <w:lang w:val="en-US" w:eastAsia="zh-CN"/>
                    </w:rPr>
                    <w:t>1</w:t>
                  </w:r>
                  <w:r>
                    <w:rPr>
                      <w:color w:val="auto"/>
                      <w:kern w:val="0"/>
                      <w:szCs w:val="21"/>
                    </w:rPr>
                    <w:t>0</w:t>
                  </w:r>
                  <w:r>
                    <w:rPr>
                      <w:rFonts w:hint="eastAsia"/>
                      <w:color w:val="auto"/>
                      <w:kern w:val="0"/>
                      <w:szCs w:val="21"/>
                    </w:rPr>
                    <w:t>袋</w:t>
                  </w:r>
                  <w:r>
                    <w:rPr>
                      <w:color w:val="auto"/>
                      <w:kern w:val="0"/>
                      <w:szCs w:val="21"/>
                    </w:rPr>
                    <w:t>/</w:t>
                  </w:r>
                  <w:r>
                    <w:rPr>
                      <w:rFonts w:hint="eastAsia"/>
                      <w:color w:val="auto"/>
                      <w:kern w:val="0"/>
                      <w:szCs w:val="21"/>
                    </w:rPr>
                    <w:t>箱）</w:t>
                  </w:r>
                </w:p>
              </w:tc>
              <w:tc>
                <w:tcPr>
                  <w:tcW w:w="945" w:type="pct"/>
                  <w:tcBorders>
                    <w:tl2br w:val="nil"/>
                    <w:tr2bl w:val="nil"/>
                  </w:tcBorders>
                  <w:vAlign w:val="center"/>
                </w:tcPr>
                <w:p>
                  <w:pPr>
                    <w:shd w:val="clear"/>
                    <w:jc w:val="center"/>
                    <w:rPr>
                      <w:color w:val="auto"/>
                      <w:szCs w:val="21"/>
                    </w:rPr>
                  </w:pPr>
                  <w:r>
                    <w:rPr>
                      <w:rFonts w:hint="eastAsia"/>
                      <w:color w:val="auto"/>
                      <w:szCs w:val="21"/>
                      <w:lang w:val="en-US" w:eastAsia="zh-CN"/>
                    </w:rPr>
                    <w:t>75</w:t>
                  </w:r>
                  <w:r>
                    <w:rPr>
                      <w:rFonts w:hint="eastAsia"/>
                      <w:color w:val="auto"/>
                      <w:szCs w:val="21"/>
                    </w:rPr>
                    <w:t>万个</w:t>
                  </w:r>
                </w:p>
              </w:tc>
              <w:tc>
                <w:tcPr>
                  <w:tcW w:w="830" w:type="pct"/>
                  <w:tcBorders>
                    <w:tl2br w:val="nil"/>
                    <w:tr2bl w:val="nil"/>
                  </w:tcBorders>
                  <w:vAlign w:val="center"/>
                </w:tcPr>
                <w:p>
                  <w:pPr>
                    <w:shd w:val="clear"/>
                    <w:jc w:val="center"/>
                    <w:rPr>
                      <w:color w:val="auto"/>
                      <w:szCs w:val="21"/>
                    </w:rPr>
                  </w:pPr>
                  <w:r>
                    <w:rPr>
                      <w:color w:val="auto"/>
                      <w:szCs w:val="21"/>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6" w:type="pct"/>
                  <w:tcBorders>
                    <w:tl2br w:val="nil"/>
                    <w:tr2bl w:val="nil"/>
                  </w:tcBorders>
                  <w:vAlign w:val="center"/>
                </w:tcPr>
                <w:p>
                  <w:pPr>
                    <w:shd w:val="clear"/>
                    <w:jc w:val="center"/>
                    <w:rPr>
                      <w:color w:val="auto"/>
                      <w:szCs w:val="21"/>
                    </w:rPr>
                  </w:pPr>
                  <w:r>
                    <w:rPr>
                      <w:rFonts w:hint="eastAsia"/>
                      <w:color w:val="auto"/>
                      <w:szCs w:val="21"/>
                    </w:rPr>
                    <w:t>4</w:t>
                  </w:r>
                </w:p>
              </w:tc>
              <w:tc>
                <w:tcPr>
                  <w:tcW w:w="899" w:type="pct"/>
                  <w:vMerge w:val="restart"/>
                  <w:tcBorders>
                    <w:tl2br w:val="nil"/>
                    <w:tr2bl w:val="nil"/>
                  </w:tcBorders>
                  <w:vAlign w:val="center"/>
                </w:tcPr>
                <w:p>
                  <w:pPr>
                    <w:shd w:val="clear"/>
                    <w:jc w:val="center"/>
                    <w:rPr>
                      <w:color w:val="auto"/>
                      <w:szCs w:val="21"/>
                    </w:rPr>
                  </w:pPr>
                  <w:r>
                    <w:rPr>
                      <w:color w:val="auto"/>
                      <w:szCs w:val="21"/>
                    </w:rPr>
                    <w:t>动力消耗</w:t>
                  </w:r>
                </w:p>
              </w:tc>
              <w:tc>
                <w:tcPr>
                  <w:tcW w:w="1668" w:type="pct"/>
                  <w:tcBorders>
                    <w:tl2br w:val="nil"/>
                    <w:tr2bl w:val="nil"/>
                  </w:tcBorders>
                  <w:vAlign w:val="center"/>
                </w:tcPr>
                <w:p>
                  <w:pPr>
                    <w:shd w:val="clear"/>
                    <w:jc w:val="center"/>
                    <w:rPr>
                      <w:color w:val="auto"/>
                      <w:szCs w:val="21"/>
                    </w:rPr>
                  </w:pPr>
                  <w:r>
                    <w:rPr>
                      <w:color w:val="auto"/>
                      <w:szCs w:val="21"/>
                    </w:rPr>
                    <w:t>生物质</w:t>
                  </w:r>
                  <w:r>
                    <w:rPr>
                      <w:rFonts w:hint="eastAsia"/>
                      <w:color w:val="auto"/>
                      <w:szCs w:val="21"/>
                    </w:rPr>
                    <w:t>颗粒</w:t>
                  </w:r>
                </w:p>
              </w:tc>
              <w:tc>
                <w:tcPr>
                  <w:tcW w:w="945" w:type="pct"/>
                  <w:tcBorders>
                    <w:tl2br w:val="nil"/>
                    <w:tr2bl w:val="nil"/>
                  </w:tcBorders>
                  <w:vAlign w:val="center"/>
                </w:tcPr>
                <w:p>
                  <w:pPr>
                    <w:shd w:val="clear"/>
                    <w:jc w:val="center"/>
                    <w:rPr>
                      <w:color w:val="auto"/>
                      <w:szCs w:val="21"/>
                    </w:rPr>
                  </w:pPr>
                  <w:r>
                    <w:rPr>
                      <w:rFonts w:hint="eastAsia"/>
                      <w:color w:val="auto"/>
                      <w:szCs w:val="21"/>
                      <w:lang w:val="en-US" w:eastAsia="zh-CN"/>
                    </w:rPr>
                    <w:t>722.4</w:t>
                  </w:r>
                  <w:r>
                    <w:rPr>
                      <w:color w:val="auto"/>
                      <w:szCs w:val="21"/>
                    </w:rPr>
                    <w:t>t/a</w:t>
                  </w:r>
                </w:p>
              </w:tc>
              <w:tc>
                <w:tcPr>
                  <w:tcW w:w="830" w:type="pct"/>
                  <w:tcBorders>
                    <w:tl2br w:val="nil"/>
                    <w:tr2bl w:val="nil"/>
                  </w:tcBorders>
                  <w:vAlign w:val="center"/>
                </w:tcPr>
                <w:p>
                  <w:pPr>
                    <w:shd w:val="clear"/>
                    <w:jc w:val="center"/>
                    <w:rPr>
                      <w:color w:val="auto"/>
                      <w:szCs w:val="21"/>
                    </w:rPr>
                  </w:pPr>
                  <w:r>
                    <w:rPr>
                      <w:color w:val="auto"/>
                      <w:szCs w:val="21"/>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6" w:type="pct"/>
                  <w:tcBorders>
                    <w:tl2br w:val="nil"/>
                    <w:tr2bl w:val="nil"/>
                  </w:tcBorders>
                  <w:vAlign w:val="center"/>
                </w:tcPr>
                <w:p>
                  <w:pPr>
                    <w:shd w:val="clear"/>
                    <w:jc w:val="center"/>
                    <w:rPr>
                      <w:color w:val="auto"/>
                      <w:szCs w:val="21"/>
                    </w:rPr>
                  </w:pPr>
                  <w:r>
                    <w:rPr>
                      <w:rFonts w:hint="eastAsia"/>
                      <w:color w:val="auto"/>
                      <w:szCs w:val="21"/>
                    </w:rPr>
                    <w:t>5</w:t>
                  </w:r>
                </w:p>
              </w:tc>
              <w:tc>
                <w:tcPr>
                  <w:tcW w:w="899" w:type="pct"/>
                  <w:vMerge w:val="continue"/>
                  <w:tcBorders>
                    <w:tl2br w:val="nil"/>
                    <w:tr2bl w:val="nil"/>
                  </w:tcBorders>
                  <w:vAlign w:val="center"/>
                </w:tcPr>
                <w:p>
                  <w:pPr>
                    <w:shd w:val="clear"/>
                    <w:jc w:val="center"/>
                    <w:rPr>
                      <w:color w:val="auto"/>
                      <w:szCs w:val="21"/>
                    </w:rPr>
                  </w:pPr>
                </w:p>
              </w:tc>
              <w:tc>
                <w:tcPr>
                  <w:tcW w:w="1668" w:type="pct"/>
                  <w:tcBorders>
                    <w:tl2br w:val="nil"/>
                    <w:tr2bl w:val="nil"/>
                  </w:tcBorders>
                  <w:vAlign w:val="center"/>
                </w:tcPr>
                <w:p>
                  <w:pPr>
                    <w:shd w:val="clear"/>
                    <w:jc w:val="center"/>
                    <w:rPr>
                      <w:color w:val="auto"/>
                      <w:szCs w:val="21"/>
                    </w:rPr>
                  </w:pPr>
                  <w:r>
                    <w:rPr>
                      <w:color w:val="auto"/>
                      <w:szCs w:val="21"/>
                    </w:rPr>
                    <w:t>水</w:t>
                  </w:r>
                </w:p>
              </w:tc>
              <w:tc>
                <w:tcPr>
                  <w:tcW w:w="945" w:type="pct"/>
                  <w:tcBorders>
                    <w:tl2br w:val="nil"/>
                    <w:tr2bl w:val="nil"/>
                  </w:tcBorders>
                  <w:vAlign w:val="center"/>
                </w:tcPr>
                <w:p>
                  <w:pPr>
                    <w:shd w:val="clear"/>
                    <w:jc w:val="center"/>
                    <w:rPr>
                      <w:color w:val="auto"/>
                      <w:szCs w:val="21"/>
                    </w:rPr>
                  </w:pPr>
                  <w:r>
                    <w:rPr>
                      <w:rFonts w:hint="eastAsia"/>
                      <w:color w:val="auto"/>
                      <w:szCs w:val="21"/>
                      <w:lang w:val="en-US" w:eastAsia="zh-CN"/>
                    </w:rPr>
                    <w:t>1807.52</w:t>
                  </w:r>
                  <w:r>
                    <w:rPr>
                      <w:color w:val="auto"/>
                      <w:szCs w:val="21"/>
                    </w:rPr>
                    <w:t>t/a</w:t>
                  </w:r>
                </w:p>
              </w:tc>
              <w:tc>
                <w:tcPr>
                  <w:tcW w:w="830" w:type="pct"/>
                  <w:tcBorders>
                    <w:tl2br w:val="nil"/>
                    <w:tr2bl w:val="nil"/>
                  </w:tcBorders>
                  <w:vAlign w:val="center"/>
                </w:tcPr>
                <w:p>
                  <w:pPr>
                    <w:shd w:val="clear"/>
                    <w:jc w:val="center"/>
                    <w:rPr>
                      <w:color w:val="auto"/>
                      <w:szCs w:val="21"/>
                    </w:rPr>
                  </w:pPr>
                  <w:r>
                    <w:rPr>
                      <w:rFonts w:hint="eastAsia"/>
                      <w:color w:val="auto"/>
                      <w:szCs w:val="21"/>
                    </w:rPr>
                    <w:t>深水井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6" w:type="pct"/>
                  <w:tcBorders>
                    <w:tl2br w:val="nil"/>
                    <w:tr2bl w:val="nil"/>
                  </w:tcBorders>
                  <w:vAlign w:val="center"/>
                </w:tcPr>
                <w:p>
                  <w:pPr>
                    <w:shd w:val="clear"/>
                    <w:jc w:val="center"/>
                    <w:rPr>
                      <w:color w:val="auto"/>
                      <w:szCs w:val="21"/>
                    </w:rPr>
                  </w:pPr>
                  <w:r>
                    <w:rPr>
                      <w:rFonts w:hint="eastAsia"/>
                      <w:color w:val="auto"/>
                      <w:szCs w:val="21"/>
                    </w:rPr>
                    <w:t>6</w:t>
                  </w:r>
                </w:p>
              </w:tc>
              <w:tc>
                <w:tcPr>
                  <w:tcW w:w="899" w:type="pct"/>
                  <w:vMerge w:val="continue"/>
                  <w:tcBorders>
                    <w:tl2br w:val="nil"/>
                    <w:tr2bl w:val="nil"/>
                  </w:tcBorders>
                  <w:vAlign w:val="center"/>
                </w:tcPr>
                <w:p>
                  <w:pPr>
                    <w:shd w:val="clear"/>
                    <w:jc w:val="center"/>
                    <w:rPr>
                      <w:color w:val="auto"/>
                      <w:szCs w:val="21"/>
                    </w:rPr>
                  </w:pPr>
                </w:p>
              </w:tc>
              <w:tc>
                <w:tcPr>
                  <w:tcW w:w="1668" w:type="pct"/>
                  <w:tcBorders>
                    <w:tl2br w:val="nil"/>
                    <w:tr2bl w:val="nil"/>
                  </w:tcBorders>
                  <w:vAlign w:val="center"/>
                </w:tcPr>
                <w:p>
                  <w:pPr>
                    <w:shd w:val="clear"/>
                    <w:jc w:val="center"/>
                    <w:rPr>
                      <w:color w:val="auto"/>
                      <w:szCs w:val="21"/>
                    </w:rPr>
                  </w:pPr>
                  <w:r>
                    <w:rPr>
                      <w:rFonts w:hint="eastAsia"/>
                      <w:color w:val="auto"/>
                      <w:szCs w:val="21"/>
                    </w:rPr>
                    <w:t>电</w:t>
                  </w:r>
                </w:p>
              </w:tc>
              <w:tc>
                <w:tcPr>
                  <w:tcW w:w="945" w:type="pct"/>
                  <w:tcBorders>
                    <w:tl2br w:val="nil"/>
                    <w:tr2bl w:val="nil"/>
                  </w:tcBorders>
                  <w:vAlign w:val="center"/>
                </w:tcPr>
                <w:p>
                  <w:pPr>
                    <w:shd w:val="clear"/>
                    <w:jc w:val="center"/>
                    <w:rPr>
                      <w:color w:val="auto"/>
                      <w:szCs w:val="21"/>
                    </w:rPr>
                  </w:pPr>
                  <w:r>
                    <w:rPr>
                      <w:rFonts w:hint="eastAsia"/>
                      <w:color w:val="auto"/>
                      <w:szCs w:val="24"/>
                      <w:lang w:val="en-US" w:eastAsia="zh-CN"/>
                    </w:rPr>
                    <w:t>60</w:t>
                  </w:r>
                  <w:r>
                    <w:rPr>
                      <w:rFonts w:hint="eastAsia"/>
                      <w:color w:val="auto"/>
                      <w:szCs w:val="24"/>
                    </w:rPr>
                    <w:t>万kW</w:t>
                  </w:r>
                  <w:r>
                    <w:rPr>
                      <w:color w:val="auto"/>
                      <w:szCs w:val="24"/>
                    </w:rPr>
                    <w:t>·</w:t>
                  </w:r>
                  <w:r>
                    <w:rPr>
                      <w:rFonts w:hint="eastAsia"/>
                      <w:color w:val="auto"/>
                      <w:szCs w:val="24"/>
                    </w:rPr>
                    <w:t>h</w:t>
                  </w:r>
                </w:p>
              </w:tc>
              <w:tc>
                <w:tcPr>
                  <w:tcW w:w="830" w:type="pct"/>
                  <w:tcBorders>
                    <w:tl2br w:val="nil"/>
                    <w:tr2bl w:val="nil"/>
                  </w:tcBorders>
                  <w:vAlign w:val="center"/>
                </w:tcPr>
                <w:p>
                  <w:pPr>
                    <w:shd w:val="clear"/>
                    <w:jc w:val="center"/>
                    <w:rPr>
                      <w:color w:val="auto"/>
                      <w:szCs w:val="21"/>
                    </w:rPr>
                  </w:pPr>
                  <w:r>
                    <w:rPr>
                      <w:rFonts w:hint="eastAsia"/>
                      <w:color w:val="auto"/>
                      <w:szCs w:val="21"/>
                    </w:rPr>
                    <w:t>市政电网</w:t>
                  </w:r>
                </w:p>
              </w:tc>
            </w:tr>
          </w:tbl>
          <w:p>
            <w:pPr>
              <w:shd w:val="clear"/>
              <w:adjustRightInd w:val="0"/>
              <w:snapToGrid w:val="0"/>
              <w:spacing w:line="360" w:lineRule="auto"/>
              <w:ind w:firstLine="420" w:firstLineChars="200"/>
              <w:rPr>
                <w:color w:val="auto"/>
                <w:kern w:val="0"/>
                <w:szCs w:val="21"/>
                <w:shd w:val="clear" w:color="auto" w:fill="FFFFFF"/>
              </w:rPr>
            </w:pPr>
            <w:r>
              <w:rPr>
                <w:rFonts w:hint="eastAsia"/>
                <w:color w:val="auto"/>
                <w:kern w:val="0"/>
                <w:szCs w:val="21"/>
                <w:shd w:val="clear" w:color="auto" w:fill="FFFFFF"/>
              </w:rPr>
              <w:t>注：</w:t>
            </w:r>
            <w:r>
              <w:rPr>
                <w:rFonts w:hint="eastAsia"/>
                <w:color w:val="auto"/>
                <w:kern w:val="0"/>
                <w:szCs w:val="21"/>
                <w:shd w:val="clear" w:color="auto" w:fill="FFFFFF"/>
                <w:lang w:val="en-US" w:eastAsia="zh-CN"/>
              </w:rPr>
              <w:t>热量消耗计算蒸煮</w:t>
            </w:r>
            <w:r>
              <w:rPr>
                <w:rFonts w:hint="eastAsia"/>
                <w:color w:val="auto"/>
                <w:kern w:val="0"/>
                <w:szCs w:val="21"/>
                <w:shd w:val="clear" w:color="auto" w:fill="FFFFFF"/>
              </w:rPr>
              <w:t>工序年用生物质燃料</w:t>
            </w:r>
            <w:r>
              <w:rPr>
                <w:rFonts w:hint="eastAsia"/>
                <w:color w:val="auto"/>
                <w:kern w:val="0"/>
                <w:szCs w:val="21"/>
                <w:shd w:val="clear" w:color="auto" w:fill="FFFFFF"/>
                <w:lang w:val="en-US" w:eastAsia="zh-CN"/>
              </w:rPr>
              <w:t>722.4</w:t>
            </w:r>
            <w:r>
              <w:rPr>
                <w:rFonts w:hint="eastAsia"/>
                <w:color w:val="auto"/>
                <w:kern w:val="0"/>
                <w:szCs w:val="21"/>
                <w:shd w:val="clear" w:color="auto" w:fill="FFFFFF"/>
              </w:rPr>
              <w:t>吨，故项目年用生物质燃料总量为</w:t>
            </w:r>
            <w:r>
              <w:rPr>
                <w:rFonts w:hint="eastAsia"/>
                <w:color w:val="auto"/>
                <w:kern w:val="0"/>
                <w:szCs w:val="21"/>
                <w:shd w:val="clear" w:color="auto" w:fill="FFFFFF"/>
                <w:lang w:val="en-US" w:eastAsia="zh-CN"/>
              </w:rPr>
              <w:t>722.4</w:t>
            </w:r>
            <w:r>
              <w:rPr>
                <w:rFonts w:hint="eastAsia"/>
                <w:color w:val="auto"/>
                <w:kern w:val="0"/>
                <w:szCs w:val="21"/>
                <w:shd w:val="clear" w:color="auto" w:fill="FFFFFF"/>
              </w:rPr>
              <w:t>吨。</w:t>
            </w:r>
          </w:p>
          <w:p>
            <w:pPr>
              <w:shd w:val="clear"/>
              <w:adjustRightInd w:val="0"/>
              <w:snapToGrid w:val="0"/>
              <w:spacing w:line="360" w:lineRule="auto"/>
              <w:ind w:firstLine="480" w:firstLineChars="200"/>
              <w:rPr>
                <w:color w:val="auto"/>
                <w:kern w:val="0"/>
                <w:sz w:val="24"/>
                <w:szCs w:val="20"/>
              </w:rPr>
            </w:pPr>
            <w:r>
              <w:rPr>
                <w:color w:val="auto"/>
                <w:kern w:val="0"/>
                <w:sz w:val="24"/>
                <w:szCs w:val="20"/>
              </w:rPr>
              <w:t>（2）劳动定员及其它</w:t>
            </w:r>
          </w:p>
          <w:p>
            <w:pPr>
              <w:shd w:val="clear"/>
              <w:spacing w:line="360" w:lineRule="auto"/>
              <w:ind w:firstLine="480" w:firstLineChars="200"/>
              <w:rPr>
                <w:rFonts w:hint="default" w:ascii="Times New Roman" w:hAnsi="Times New Roman" w:eastAsia="宋体" w:cs="Times New Roman"/>
                <w:color w:val="auto"/>
                <w:kern w:val="0"/>
                <w:sz w:val="24"/>
                <w:szCs w:val="20"/>
                <w:lang w:val="en-US" w:eastAsia="zh-CN"/>
              </w:rPr>
            </w:pPr>
            <w:r>
              <w:rPr>
                <w:color w:val="auto"/>
                <w:kern w:val="0"/>
                <w:sz w:val="24"/>
                <w:szCs w:val="20"/>
              </w:rPr>
              <w:t>本项目劳动定</w:t>
            </w:r>
            <w:r>
              <w:rPr>
                <w:color w:val="auto"/>
                <w:sz w:val="24"/>
              </w:rPr>
              <w:t>员</w:t>
            </w:r>
            <w:r>
              <w:rPr>
                <w:rFonts w:hint="eastAsia"/>
                <w:color w:val="auto"/>
                <w:sz w:val="24"/>
                <w:lang w:val="en-US" w:eastAsia="zh-CN"/>
              </w:rPr>
              <w:t>15</w:t>
            </w:r>
            <w:r>
              <w:rPr>
                <w:rFonts w:hint="eastAsia"/>
                <w:color w:val="auto"/>
                <w:sz w:val="24"/>
              </w:rPr>
              <w:t>0</w:t>
            </w:r>
            <w:r>
              <w:rPr>
                <w:color w:val="auto"/>
                <w:sz w:val="24"/>
              </w:rPr>
              <w:t>人，一班制，</w:t>
            </w:r>
            <w:r>
              <w:rPr>
                <w:rFonts w:hint="eastAsia" w:ascii="Times New Roman" w:hAnsi="Times New Roman" w:eastAsia="宋体" w:cs="Times New Roman"/>
                <w:color w:val="auto"/>
                <w:kern w:val="0"/>
                <w:sz w:val="24"/>
                <w:szCs w:val="20"/>
              </w:rPr>
              <w:t>10</w:t>
            </w:r>
            <w:r>
              <w:rPr>
                <w:rFonts w:ascii="Times New Roman" w:hAnsi="Times New Roman" w:eastAsia="宋体" w:cs="Times New Roman"/>
                <w:color w:val="auto"/>
                <w:kern w:val="0"/>
                <w:sz w:val="24"/>
                <w:szCs w:val="20"/>
              </w:rPr>
              <w:t>小时工作制，年生产</w:t>
            </w:r>
            <w:r>
              <w:rPr>
                <w:rFonts w:hint="eastAsia" w:ascii="Times New Roman" w:hAnsi="Times New Roman" w:eastAsia="宋体" w:cs="Times New Roman"/>
                <w:color w:val="auto"/>
                <w:kern w:val="0"/>
                <w:sz w:val="24"/>
                <w:szCs w:val="20"/>
                <w:lang w:val="en-US" w:eastAsia="zh-CN"/>
              </w:rPr>
              <w:t>90</w:t>
            </w:r>
            <w:r>
              <w:rPr>
                <w:rFonts w:ascii="Times New Roman" w:hAnsi="Times New Roman" w:eastAsia="宋体" w:cs="Times New Roman"/>
                <w:color w:val="auto"/>
                <w:kern w:val="0"/>
                <w:sz w:val="24"/>
                <w:szCs w:val="20"/>
              </w:rPr>
              <w:t>天</w:t>
            </w:r>
            <w:r>
              <w:rPr>
                <w:rFonts w:hint="eastAsia" w:ascii="Times New Roman" w:hAnsi="Times New Roman" w:eastAsia="宋体" w:cs="Times New Roman"/>
                <w:color w:val="auto"/>
                <w:kern w:val="0"/>
                <w:sz w:val="24"/>
                <w:szCs w:val="20"/>
                <w:lang w:eastAsia="zh-CN"/>
              </w:rPr>
              <w:t>（</w:t>
            </w:r>
            <w:r>
              <w:rPr>
                <w:rFonts w:hint="eastAsia" w:ascii="Times New Roman" w:hAnsi="Times New Roman" w:eastAsia="宋体" w:cs="Times New Roman"/>
                <w:color w:val="auto"/>
                <w:kern w:val="0"/>
                <w:sz w:val="24"/>
                <w:szCs w:val="20"/>
                <w:lang w:val="en-US" w:eastAsia="zh-CN"/>
              </w:rPr>
              <w:t>8-10月）</w:t>
            </w:r>
          </w:p>
          <w:p>
            <w:pPr>
              <w:pStyle w:val="12"/>
              <w:shd w:val="clear"/>
              <w:adjustRightInd w:val="0"/>
              <w:snapToGrid w:val="0"/>
              <w:spacing w:after="0" w:line="360" w:lineRule="auto"/>
              <w:ind w:left="0" w:leftChars="0" w:firstLine="482" w:firstLineChars="200"/>
              <w:rPr>
                <w:b/>
                <w:bCs/>
                <w:color w:val="auto"/>
              </w:rPr>
            </w:pPr>
            <w:r>
              <w:rPr>
                <w:rFonts w:hint="eastAsia"/>
                <w:b/>
                <w:bCs/>
                <w:color w:val="auto"/>
              </w:rPr>
              <w:t>5.公用工程</w:t>
            </w:r>
          </w:p>
          <w:p>
            <w:pPr>
              <w:pStyle w:val="12"/>
              <w:shd w:val="clear"/>
              <w:adjustRightInd w:val="0"/>
              <w:snapToGrid w:val="0"/>
              <w:spacing w:after="0" w:line="360" w:lineRule="auto"/>
              <w:rPr>
                <w:color w:val="auto"/>
              </w:rPr>
            </w:pPr>
            <w:r>
              <w:rPr>
                <w:color w:val="auto"/>
              </w:rPr>
              <w:t>（1）</w:t>
            </w:r>
            <w:r>
              <w:rPr>
                <w:rFonts w:hint="eastAsia"/>
                <w:color w:val="auto"/>
              </w:rPr>
              <w:t>给</w:t>
            </w:r>
            <w:r>
              <w:rPr>
                <w:color w:val="auto"/>
              </w:rPr>
              <w:t>水</w:t>
            </w:r>
          </w:p>
          <w:p>
            <w:pPr>
              <w:shd w:val="clear"/>
              <w:adjustRightInd w:val="0"/>
              <w:snapToGrid w:val="0"/>
              <w:spacing w:line="360" w:lineRule="auto"/>
              <w:ind w:firstLine="480" w:firstLineChars="200"/>
              <w:textAlignment w:val="baseline"/>
              <w:rPr>
                <w:color w:val="auto"/>
                <w:sz w:val="24"/>
                <w:lang w:val="zh-CN"/>
              </w:rPr>
            </w:pPr>
            <w:r>
              <w:rPr>
                <w:rFonts w:hint="eastAsia"/>
                <w:color w:val="auto"/>
                <w:sz w:val="24"/>
              </w:rPr>
              <w:t>生活用水：</w:t>
            </w:r>
            <w:r>
              <w:rPr>
                <w:color w:val="auto"/>
                <w:sz w:val="24"/>
              </w:rPr>
              <w:t>本项目水源</w:t>
            </w:r>
            <w:r>
              <w:rPr>
                <w:rFonts w:hint="eastAsia"/>
                <w:color w:val="auto"/>
                <w:sz w:val="24"/>
              </w:rPr>
              <w:t>由厂区深水井提供，单井出水能力可达6</w:t>
            </w:r>
            <w:r>
              <w:rPr>
                <w:color w:val="auto"/>
                <w:sz w:val="24"/>
              </w:rPr>
              <w:t>0m</w:t>
            </w:r>
            <w:r>
              <w:rPr>
                <w:color w:val="auto"/>
                <w:sz w:val="24"/>
                <w:vertAlign w:val="superscript"/>
              </w:rPr>
              <w:t>3</w:t>
            </w:r>
            <w:r>
              <w:rPr>
                <w:color w:val="auto"/>
                <w:sz w:val="24"/>
              </w:rPr>
              <w:t>/h。本项目员工为</w:t>
            </w:r>
            <w:r>
              <w:rPr>
                <w:rFonts w:hint="eastAsia"/>
                <w:color w:val="auto"/>
                <w:sz w:val="24"/>
                <w:lang w:val="en-US" w:eastAsia="zh-CN"/>
              </w:rPr>
              <w:t>15</w:t>
            </w:r>
            <w:r>
              <w:rPr>
                <w:rFonts w:hint="eastAsia"/>
                <w:color w:val="auto"/>
                <w:sz w:val="24"/>
              </w:rPr>
              <w:t>0</w:t>
            </w:r>
            <w:r>
              <w:rPr>
                <w:color w:val="auto"/>
                <w:sz w:val="24"/>
              </w:rPr>
              <w:t>人，年生产天数为</w:t>
            </w:r>
            <w:r>
              <w:rPr>
                <w:rFonts w:hint="eastAsia"/>
                <w:color w:val="auto"/>
                <w:sz w:val="24"/>
              </w:rPr>
              <w:t>90</w:t>
            </w:r>
            <w:r>
              <w:rPr>
                <w:color w:val="auto"/>
                <w:sz w:val="24"/>
              </w:rPr>
              <w:t>天，参照</w:t>
            </w:r>
            <w:r>
              <w:rPr>
                <w:color w:val="auto"/>
                <w:sz w:val="24"/>
                <w:szCs w:val="20"/>
              </w:rPr>
              <w:t>黑龙江省地方标准《用水定额》（DB23/T727-2021）</w:t>
            </w:r>
            <w:r>
              <w:rPr>
                <w:color w:val="auto"/>
                <w:sz w:val="24"/>
              </w:rPr>
              <w:t>，80L/人·d，则生活用水量</w:t>
            </w:r>
            <w:r>
              <w:rPr>
                <w:rFonts w:hint="eastAsia"/>
                <w:color w:val="auto"/>
                <w:sz w:val="24"/>
                <w:lang w:val="en-US" w:eastAsia="zh-CN"/>
              </w:rPr>
              <w:t>12</w:t>
            </w:r>
            <w:r>
              <w:rPr>
                <w:color w:val="auto"/>
                <w:sz w:val="24"/>
                <w:lang w:val="zh-CN"/>
              </w:rPr>
              <w:t>t/d，</w:t>
            </w:r>
            <w:r>
              <w:rPr>
                <w:rFonts w:hint="eastAsia"/>
                <w:color w:val="auto"/>
                <w:sz w:val="24"/>
                <w:lang w:val="en-US" w:eastAsia="zh-CN"/>
              </w:rPr>
              <w:t>1080</w:t>
            </w:r>
            <w:r>
              <w:rPr>
                <w:color w:val="auto"/>
                <w:sz w:val="24"/>
                <w:lang w:val="zh-CN"/>
              </w:rPr>
              <w:t>t/a。</w:t>
            </w:r>
          </w:p>
          <w:p>
            <w:pPr>
              <w:shd w:val="clear"/>
              <w:adjustRightInd w:val="0"/>
              <w:snapToGrid w:val="0"/>
              <w:spacing w:line="360" w:lineRule="auto"/>
              <w:ind w:firstLine="480" w:firstLineChars="200"/>
              <w:textAlignment w:val="baseline"/>
              <w:rPr>
                <w:color w:val="auto"/>
                <w:sz w:val="24"/>
                <w:lang w:val="zh-CN"/>
              </w:rPr>
            </w:pPr>
            <w:r>
              <w:rPr>
                <w:rFonts w:hint="eastAsia"/>
                <w:color w:val="auto"/>
                <w:sz w:val="24"/>
                <w:lang w:val="zh-CN"/>
              </w:rPr>
              <w:t>生产用水：</w:t>
            </w:r>
          </w:p>
          <w:p>
            <w:pPr>
              <w:shd w:val="clear"/>
              <w:adjustRightInd w:val="0"/>
              <w:snapToGrid w:val="0"/>
              <w:spacing w:line="360" w:lineRule="auto"/>
              <w:ind w:firstLine="480" w:firstLineChars="200"/>
              <w:textAlignment w:val="baseline"/>
              <w:rPr>
                <w:color w:val="auto"/>
                <w:sz w:val="24"/>
                <w:lang w:val="zh-CN"/>
              </w:rPr>
            </w:pPr>
            <w:r>
              <w:rPr>
                <w:color w:val="auto"/>
                <w:sz w:val="24"/>
                <w:lang w:val="zh-CN"/>
              </w:rPr>
              <w:fldChar w:fldCharType="begin"/>
            </w:r>
            <w:r>
              <w:rPr>
                <w:color w:val="auto"/>
                <w:sz w:val="24"/>
                <w:lang w:val="zh-CN"/>
              </w:rPr>
              <w:instrText xml:space="preserve"> </w:instrText>
            </w:r>
            <w:r>
              <w:rPr>
                <w:rFonts w:hint="eastAsia"/>
                <w:color w:val="auto"/>
                <w:sz w:val="24"/>
                <w:lang w:val="zh-CN"/>
              </w:rPr>
              <w:instrText xml:space="preserve">= 1 \* GB3</w:instrText>
            </w:r>
            <w:r>
              <w:rPr>
                <w:color w:val="auto"/>
                <w:sz w:val="24"/>
                <w:lang w:val="zh-CN"/>
              </w:rPr>
              <w:instrText xml:space="preserve"> </w:instrText>
            </w:r>
            <w:r>
              <w:rPr>
                <w:color w:val="auto"/>
                <w:sz w:val="24"/>
                <w:lang w:val="zh-CN"/>
              </w:rPr>
              <w:fldChar w:fldCharType="separate"/>
            </w:r>
            <w:r>
              <w:rPr>
                <w:rFonts w:hint="eastAsia"/>
                <w:color w:val="auto"/>
                <w:sz w:val="24"/>
                <w:lang w:val="zh-CN"/>
              </w:rPr>
              <w:t>①</w:t>
            </w:r>
            <w:r>
              <w:rPr>
                <w:color w:val="auto"/>
                <w:sz w:val="24"/>
                <w:lang w:val="zh-CN"/>
              </w:rPr>
              <w:fldChar w:fldCharType="end"/>
            </w:r>
            <w:r>
              <w:rPr>
                <w:rFonts w:hint="eastAsia"/>
                <w:color w:val="auto"/>
                <w:sz w:val="24"/>
                <w:lang w:val="zh-CN"/>
              </w:rPr>
              <w:t>车间地面冲洗用水：</w:t>
            </w:r>
            <w:r>
              <w:rPr>
                <w:color w:val="auto"/>
                <w:sz w:val="24"/>
              </w:rPr>
              <w:t>参照</w:t>
            </w:r>
            <w:r>
              <w:rPr>
                <w:color w:val="auto"/>
                <w:sz w:val="24"/>
                <w:szCs w:val="20"/>
              </w:rPr>
              <w:t>黑龙江省地方标准《用水定额》（DB23/T727-2021）</w:t>
            </w:r>
            <w:r>
              <w:rPr>
                <w:color w:val="auto"/>
                <w:sz w:val="24"/>
              </w:rPr>
              <w:t>，</w:t>
            </w:r>
            <w:r>
              <w:rPr>
                <w:rFonts w:hint="eastAsia"/>
                <w:color w:val="auto"/>
                <w:sz w:val="24"/>
                <w:lang w:val="zh-CN"/>
              </w:rPr>
              <w:t>每平米清洗用水按</w:t>
            </w:r>
            <w:r>
              <w:rPr>
                <w:rFonts w:hint="eastAsia"/>
                <w:color w:val="auto"/>
                <w:sz w:val="24"/>
              </w:rPr>
              <w:t>2</w:t>
            </w:r>
            <w:r>
              <w:rPr>
                <w:rFonts w:hint="eastAsia"/>
                <w:color w:val="auto"/>
                <w:sz w:val="24"/>
                <w:lang w:val="zh-CN"/>
              </w:rPr>
              <w:t>L计算，车间地面</w:t>
            </w:r>
            <w:r>
              <w:rPr>
                <w:rFonts w:hint="eastAsia"/>
                <w:color w:val="auto"/>
                <w:sz w:val="24"/>
              </w:rPr>
              <w:t>为</w:t>
            </w:r>
            <w:r>
              <w:rPr>
                <w:rFonts w:hint="eastAsia"/>
                <w:color w:val="auto"/>
                <w:sz w:val="24"/>
                <w:lang w:val="en-US" w:eastAsia="zh-CN"/>
              </w:rPr>
              <w:t>2421.68</w:t>
            </w:r>
            <w:r>
              <w:rPr>
                <w:rFonts w:hint="eastAsia"/>
                <w:color w:val="auto"/>
                <w:sz w:val="24"/>
              </w:rPr>
              <w:t>m</w:t>
            </w:r>
            <w:r>
              <w:rPr>
                <w:rFonts w:hint="eastAsia"/>
                <w:color w:val="auto"/>
                <w:sz w:val="24"/>
                <w:vertAlign w:val="superscript"/>
              </w:rPr>
              <w:t>2</w:t>
            </w:r>
            <w:r>
              <w:rPr>
                <w:rFonts w:hint="eastAsia"/>
                <w:color w:val="auto"/>
                <w:sz w:val="24"/>
              </w:rPr>
              <w:t>，</w:t>
            </w:r>
            <w:r>
              <w:rPr>
                <w:rFonts w:hint="eastAsia"/>
                <w:color w:val="auto"/>
                <w:sz w:val="24"/>
                <w:lang w:val="zh-CN"/>
              </w:rPr>
              <w:t>冲洗用水量为日均</w:t>
            </w:r>
            <w:r>
              <w:rPr>
                <w:rFonts w:hint="eastAsia"/>
                <w:color w:val="auto"/>
                <w:sz w:val="24"/>
                <w:lang w:val="en-US" w:eastAsia="zh-CN"/>
              </w:rPr>
              <w:t>4.84</w:t>
            </w:r>
            <w:r>
              <w:rPr>
                <w:rFonts w:hint="eastAsia"/>
                <w:color w:val="auto"/>
                <w:sz w:val="24"/>
                <w:lang w:val="zh-CN"/>
              </w:rPr>
              <w:t>t</w:t>
            </w:r>
            <w:r>
              <w:rPr>
                <w:rFonts w:hint="eastAsia"/>
                <w:color w:val="auto"/>
                <w:sz w:val="24"/>
              </w:rPr>
              <w:t>，年车间冲洗用水量为</w:t>
            </w:r>
            <w:r>
              <w:rPr>
                <w:rFonts w:hint="eastAsia"/>
                <w:color w:val="auto"/>
                <w:sz w:val="24"/>
                <w:lang w:val="en-US" w:eastAsia="zh-CN"/>
              </w:rPr>
              <w:t>435.6</w:t>
            </w:r>
            <w:r>
              <w:rPr>
                <w:color w:val="auto"/>
                <w:sz w:val="24"/>
                <w:lang w:val="zh-CN"/>
              </w:rPr>
              <w:t>t</w:t>
            </w:r>
            <w:r>
              <w:rPr>
                <w:rFonts w:hint="eastAsia"/>
                <w:color w:val="auto"/>
                <w:sz w:val="24"/>
              </w:rPr>
              <w:t>/a。</w:t>
            </w:r>
          </w:p>
          <w:p>
            <w:pPr>
              <w:shd w:val="clear"/>
              <w:adjustRightInd w:val="0"/>
              <w:snapToGrid w:val="0"/>
              <w:spacing w:line="360" w:lineRule="auto"/>
              <w:ind w:firstLine="480" w:firstLineChars="200"/>
              <w:textAlignment w:val="baseline"/>
              <w:rPr>
                <w:rFonts w:hint="eastAsia"/>
                <w:color w:val="auto"/>
                <w:sz w:val="24"/>
                <w:lang w:val="zh-CN"/>
              </w:rPr>
            </w:pPr>
            <w:r>
              <w:rPr>
                <w:rFonts w:hint="eastAsia"/>
                <w:color w:val="auto"/>
                <w:sz w:val="24"/>
                <w:lang w:val="zh-CN"/>
              </w:rPr>
              <w:fldChar w:fldCharType="begin"/>
            </w:r>
            <w:r>
              <w:rPr>
                <w:rFonts w:hint="eastAsia"/>
                <w:color w:val="auto"/>
                <w:sz w:val="24"/>
                <w:lang w:val="zh-CN"/>
              </w:rPr>
              <w:instrText xml:space="preserve"> = 2 \* GB3 </w:instrText>
            </w:r>
            <w:r>
              <w:rPr>
                <w:rFonts w:hint="eastAsia"/>
                <w:color w:val="auto"/>
                <w:sz w:val="24"/>
                <w:lang w:val="zh-CN"/>
              </w:rPr>
              <w:fldChar w:fldCharType="separate"/>
            </w:r>
            <w:r>
              <w:rPr>
                <w:rFonts w:hint="eastAsia"/>
                <w:color w:val="auto"/>
                <w:sz w:val="24"/>
                <w:lang w:val="zh-CN"/>
              </w:rPr>
              <w:t>②</w:t>
            </w:r>
            <w:r>
              <w:rPr>
                <w:rFonts w:hint="eastAsia"/>
                <w:color w:val="auto"/>
                <w:sz w:val="24"/>
                <w:lang w:val="zh-CN"/>
              </w:rPr>
              <w:fldChar w:fldCharType="end"/>
            </w:r>
            <w:r>
              <w:rPr>
                <w:rFonts w:hint="eastAsia"/>
                <w:color w:val="auto"/>
                <w:sz w:val="24"/>
                <w:lang w:val="en-US" w:eastAsia="zh-CN"/>
              </w:rPr>
              <w:t>清洗用水：</w:t>
            </w:r>
            <w:r>
              <w:rPr>
                <w:rFonts w:hint="eastAsia"/>
                <w:color w:val="auto"/>
                <w:sz w:val="24"/>
                <w:lang w:val="zh-CN"/>
              </w:rPr>
              <w:t>根据建设单位提供资料，本项目主要生产</w:t>
            </w:r>
            <w:r>
              <w:rPr>
                <w:rFonts w:hint="eastAsia"/>
                <w:color w:val="auto"/>
                <w:sz w:val="24"/>
                <w:lang w:val="en-US" w:eastAsia="zh-CN"/>
              </w:rPr>
              <w:t>用</w:t>
            </w:r>
            <w:r>
              <w:rPr>
                <w:rFonts w:hint="eastAsia"/>
                <w:color w:val="auto"/>
                <w:sz w:val="24"/>
                <w:lang w:val="zh-CN"/>
              </w:rPr>
              <w:t>水为清洗</w:t>
            </w:r>
            <w:r>
              <w:rPr>
                <w:rFonts w:hint="eastAsia"/>
                <w:color w:val="auto"/>
                <w:sz w:val="24"/>
                <w:lang w:val="zh-CN" w:eastAsia="zh-CN"/>
              </w:rPr>
              <w:t>用</w:t>
            </w:r>
            <w:r>
              <w:rPr>
                <w:rFonts w:hint="eastAsia"/>
                <w:color w:val="auto"/>
                <w:sz w:val="24"/>
                <w:lang w:val="zh-CN"/>
              </w:rPr>
              <w:t>水，用水量为</w:t>
            </w:r>
            <w:r>
              <w:rPr>
                <w:rFonts w:hint="eastAsia"/>
                <w:color w:val="auto"/>
                <w:sz w:val="24"/>
                <w:lang w:val="en-US" w:eastAsia="zh-CN"/>
              </w:rPr>
              <w:t>27</w:t>
            </w:r>
            <w:r>
              <w:rPr>
                <w:rFonts w:hint="eastAsia"/>
                <w:color w:val="auto"/>
                <w:sz w:val="24"/>
                <w:lang w:val="zh-CN"/>
              </w:rPr>
              <w:t>00m³/a（30m³/d）。</w:t>
            </w:r>
          </w:p>
          <w:p>
            <w:pPr>
              <w:shd w:val="clear"/>
              <w:adjustRightInd w:val="0"/>
              <w:snapToGrid w:val="0"/>
              <w:spacing w:line="360" w:lineRule="auto"/>
              <w:ind w:firstLine="480" w:firstLineChars="200"/>
              <w:textAlignment w:val="baseline"/>
              <w:rPr>
                <w:rFonts w:hint="eastAsia"/>
                <w:color w:val="auto"/>
                <w:sz w:val="24"/>
                <w:lang w:val="zh-CN"/>
              </w:rPr>
            </w:pPr>
            <w:r>
              <w:rPr>
                <w:rFonts w:hint="default"/>
                <w:color w:val="auto"/>
                <w:sz w:val="24"/>
                <w:lang w:val="en-US" w:eastAsia="zh-CN"/>
              </w:rPr>
              <w:t>③高温杀菌用水：</w:t>
            </w:r>
            <w:r>
              <w:rPr>
                <w:rFonts w:hint="eastAsia"/>
                <w:color w:val="auto"/>
                <w:sz w:val="24"/>
                <w:lang w:val="en-US" w:eastAsia="zh-CN"/>
              </w:rPr>
              <w:t>根据建设单位提供设计资料及设备容积核算，高温灭菌用水循环使用水量为1.05t</w:t>
            </w:r>
            <w:r>
              <w:rPr>
                <w:rFonts w:hint="default"/>
                <w:color w:val="auto"/>
                <w:sz w:val="24"/>
                <w:lang w:val="en-US" w:eastAsia="zh-CN"/>
              </w:rPr>
              <w:t>/d</w:t>
            </w:r>
            <w:r>
              <w:rPr>
                <w:rFonts w:hint="eastAsia"/>
                <w:color w:val="auto"/>
                <w:sz w:val="24"/>
                <w:lang w:val="en-US" w:eastAsia="zh-CN"/>
              </w:rPr>
              <w:t>，94.5t</w:t>
            </w:r>
            <w:r>
              <w:rPr>
                <w:rFonts w:hint="default"/>
                <w:color w:val="auto"/>
                <w:sz w:val="24"/>
                <w:lang w:val="en-US" w:eastAsia="zh-CN"/>
              </w:rPr>
              <w:t>/a</w:t>
            </w:r>
            <w:r>
              <w:rPr>
                <w:rFonts w:hint="eastAsia"/>
                <w:color w:val="auto"/>
                <w:sz w:val="24"/>
                <w:lang w:val="en-US" w:eastAsia="zh-CN"/>
              </w:rPr>
              <w:t>。</w:t>
            </w:r>
          </w:p>
          <w:p>
            <w:pPr>
              <w:shd w:val="clear"/>
              <w:adjustRightInd w:val="0"/>
              <w:snapToGrid w:val="0"/>
              <w:spacing w:line="360" w:lineRule="auto"/>
              <w:ind w:firstLine="480" w:firstLineChars="200"/>
              <w:textAlignment w:val="baseline"/>
              <w:rPr>
                <w:rFonts w:hint="default"/>
                <w:color w:val="auto"/>
                <w:sz w:val="24"/>
                <w:lang w:val="zh-CN"/>
              </w:rPr>
            </w:pPr>
            <w:r>
              <w:rPr>
                <w:rFonts w:hint="default"/>
                <w:color w:val="auto"/>
                <w:sz w:val="24"/>
                <w:lang w:val="zh-CN" w:eastAsia="zh-CN"/>
              </w:rPr>
              <w:t>④</w:t>
            </w:r>
            <w:r>
              <w:rPr>
                <w:rFonts w:hint="default"/>
                <w:color w:val="auto"/>
                <w:sz w:val="24"/>
                <w:lang w:val="zh-CN"/>
              </w:rPr>
              <w:t>锅炉用水：</w:t>
            </w:r>
          </w:p>
          <w:p>
            <w:pPr>
              <w:pStyle w:val="9"/>
              <w:shd w:val="clear"/>
              <w:spacing w:before="0" w:after="0" w:line="360" w:lineRule="auto"/>
              <w:ind w:right="0" w:firstLine="480" w:firstLineChars="200"/>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锅炉用水由</w:t>
            </w:r>
            <w:r>
              <w:rPr>
                <w:rFonts w:hint="eastAsia" w:cs="Times New Roman"/>
                <w:b w:val="0"/>
                <w:bCs/>
                <w:color w:val="auto"/>
                <w:sz w:val="24"/>
                <w:lang w:val="en-US" w:eastAsia="zh-CN"/>
              </w:rPr>
              <w:t>厂区深水井提供</w:t>
            </w:r>
            <w:r>
              <w:rPr>
                <w:rFonts w:hint="default" w:ascii="Times New Roman" w:hAnsi="Times New Roman" w:eastAsia="宋体" w:cs="Times New Roman"/>
                <w:b w:val="0"/>
                <w:bCs/>
                <w:color w:val="auto"/>
                <w:sz w:val="24"/>
                <w:szCs w:val="24"/>
              </w:rPr>
              <w:t>。软化水处理装置</w:t>
            </w:r>
            <w:r>
              <w:rPr>
                <w:rFonts w:hint="default" w:ascii="Times New Roman" w:hAnsi="Times New Roman" w:cs="Times New Roman"/>
                <w:b w:val="0"/>
                <w:bCs/>
                <w:color w:val="auto"/>
                <w:sz w:val="24"/>
                <w:szCs w:val="24"/>
                <w:lang w:eastAsia="zh-CN"/>
              </w:rPr>
              <w:t>为离子交换树脂</w:t>
            </w:r>
            <w:r>
              <w:rPr>
                <w:rFonts w:hint="default" w:ascii="Times New Roman" w:hAnsi="Times New Roman" w:eastAsia="宋体" w:cs="Times New Roman"/>
                <w:b w:val="0"/>
                <w:bCs/>
                <w:color w:val="auto"/>
                <w:sz w:val="24"/>
                <w:szCs w:val="24"/>
              </w:rPr>
              <w:t>，处理</w:t>
            </w:r>
            <w:r>
              <w:rPr>
                <w:rFonts w:hint="default" w:ascii="Times New Roman" w:hAnsi="Times New Roman" w:cs="Times New Roman"/>
                <w:b w:val="0"/>
                <w:bCs/>
                <w:color w:val="auto"/>
                <w:sz w:val="24"/>
                <w:szCs w:val="24"/>
                <w:lang w:eastAsia="zh-CN"/>
              </w:rPr>
              <w:t>能力</w:t>
            </w:r>
            <w:r>
              <w:rPr>
                <w:rFonts w:hint="default" w:ascii="Times New Roman" w:hAnsi="Times New Roman" w:cs="Times New Roman"/>
                <w:b w:val="0"/>
                <w:bCs/>
                <w:color w:val="auto"/>
                <w:sz w:val="24"/>
                <w:szCs w:val="24"/>
                <w:lang w:val="en-US" w:eastAsia="zh-CN"/>
              </w:rPr>
              <w:t>6</w:t>
            </w:r>
            <w:r>
              <w:rPr>
                <w:rFonts w:hint="default" w:ascii="Times New Roman" w:hAnsi="Times New Roman" w:eastAsia="宋体" w:cs="Times New Roman"/>
                <w:b w:val="0"/>
                <w:bCs/>
                <w:color w:val="auto"/>
                <w:sz w:val="24"/>
                <w:szCs w:val="24"/>
              </w:rPr>
              <w:t>m</w:t>
            </w:r>
            <w:r>
              <w:rPr>
                <w:rFonts w:hint="default" w:ascii="Times New Roman" w:hAnsi="Times New Roman" w:eastAsia="宋体" w:cs="Times New Roman"/>
                <w:b w:val="0"/>
                <w:bCs/>
                <w:color w:val="auto"/>
                <w:sz w:val="24"/>
                <w:szCs w:val="24"/>
                <w:vertAlign w:val="superscript"/>
              </w:rPr>
              <w:t>3</w:t>
            </w:r>
            <w:r>
              <w:rPr>
                <w:rFonts w:hint="default" w:ascii="Times New Roman" w:hAnsi="Times New Roman" w:eastAsia="宋体" w:cs="Times New Roman"/>
                <w:b w:val="0"/>
                <w:bCs/>
                <w:color w:val="auto"/>
                <w:sz w:val="24"/>
                <w:szCs w:val="24"/>
              </w:rPr>
              <w:t>/h。</w:t>
            </w:r>
          </w:p>
          <w:p>
            <w:pPr>
              <w:pStyle w:val="9"/>
              <w:keepNext w:val="0"/>
              <w:keepLines w:val="0"/>
              <w:pageBreakBefore w:val="0"/>
              <w:shd w:val="clear"/>
              <w:kinsoku/>
              <w:wordWrap/>
              <w:overflowPunct/>
              <w:topLinePunct w:val="0"/>
              <w:autoSpaceDE/>
              <w:autoSpaceDN/>
              <w:bidi w:val="0"/>
              <w:spacing w:before="0" w:after="0" w:line="360" w:lineRule="auto"/>
              <w:ind w:right="0" w:firstLine="480" w:firstLineChars="200"/>
              <w:textAlignment w:val="auto"/>
              <w:rPr>
                <w:rFonts w:hint="default" w:ascii="Times New Roman" w:hAnsi="Times New Roman" w:eastAsia="宋体" w:cs="Times New Roman"/>
                <w:color w:val="auto"/>
                <w:kern w:val="2"/>
                <w:sz w:val="24"/>
                <w:szCs w:val="24"/>
                <w:lang w:val="en-US" w:eastAsia="zh-CN"/>
              </w:rPr>
            </w:pPr>
            <w:r>
              <w:rPr>
                <w:rFonts w:hint="default" w:ascii="Times New Roman" w:hAnsi="Times New Roman" w:cs="Times New Roman"/>
                <w:b w:val="0"/>
                <w:bCs/>
                <w:color w:val="auto"/>
                <w:sz w:val="24"/>
                <w:szCs w:val="24"/>
                <w:lang w:eastAsia="zh-CN"/>
              </w:rPr>
              <w:t>本</w:t>
            </w:r>
            <w:r>
              <w:rPr>
                <w:rFonts w:hint="default" w:ascii="Times New Roman" w:hAnsi="Times New Roman" w:cs="Times New Roman"/>
                <w:b w:val="0"/>
                <w:bCs/>
                <w:color w:val="auto"/>
                <w:sz w:val="24"/>
                <w:szCs w:val="24"/>
              </w:rPr>
              <w:t>项目鲜食玉米生产过程中由</w:t>
            </w:r>
            <w:r>
              <w:rPr>
                <w:rFonts w:hint="eastAsia" w:cs="Times New Roman"/>
                <w:b w:val="0"/>
                <w:bCs/>
                <w:color w:val="auto"/>
                <w:kern w:val="2"/>
                <w:sz w:val="24"/>
                <w:szCs w:val="24"/>
                <w:lang w:val="en-US" w:eastAsia="zh-CN"/>
              </w:rPr>
              <w:t>1台4</w:t>
            </w:r>
            <w:r>
              <w:rPr>
                <w:rFonts w:hint="default" w:ascii="Times New Roman" w:hAnsi="Times New Roman" w:cs="Times New Roman"/>
                <w:b w:val="0"/>
                <w:bCs/>
                <w:color w:val="auto"/>
                <w:kern w:val="2"/>
                <w:sz w:val="24"/>
                <w:szCs w:val="24"/>
                <w:lang w:val="en-US" w:eastAsia="zh-CN"/>
              </w:rPr>
              <w:t>t/h燃生物质蒸汽锅炉</w:t>
            </w:r>
            <w:r>
              <w:rPr>
                <w:rFonts w:hint="default" w:ascii="Times New Roman" w:hAnsi="Times New Roman" w:cs="Times New Roman"/>
                <w:b w:val="0"/>
                <w:bCs/>
                <w:color w:val="auto"/>
                <w:sz w:val="24"/>
                <w:szCs w:val="24"/>
              </w:rPr>
              <w:t>供应蒸汽蒸熟玉米，消耗</w:t>
            </w:r>
            <w:r>
              <w:rPr>
                <w:rFonts w:hint="default" w:ascii="Times New Roman" w:hAnsi="Times New Roman" w:cs="Times New Roman"/>
                <w:b w:val="0"/>
                <w:bCs/>
                <w:color w:val="auto"/>
                <w:sz w:val="24"/>
                <w:szCs w:val="24"/>
                <w:lang w:eastAsia="zh-CN"/>
              </w:rPr>
              <w:t>蒸汽</w:t>
            </w:r>
            <w:r>
              <w:rPr>
                <w:rFonts w:hint="default" w:ascii="Times New Roman" w:hAnsi="Times New Roman" w:cs="Times New Roman"/>
                <w:b w:val="0"/>
                <w:bCs/>
                <w:color w:val="auto"/>
                <w:sz w:val="24"/>
                <w:szCs w:val="24"/>
              </w:rPr>
              <w:t>量为</w:t>
            </w:r>
            <w:r>
              <w:rPr>
                <w:rFonts w:hint="eastAsia" w:cs="Times New Roman"/>
                <w:b w:val="0"/>
                <w:bCs/>
                <w:color w:val="auto"/>
                <w:sz w:val="24"/>
                <w:szCs w:val="24"/>
                <w:lang w:val="en-US" w:eastAsia="zh-CN"/>
              </w:rPr>
              <w:t>4</w:t>
            </w:r>
            <w:r>
              <w:rPr>
                <w:rFonts w:hint="default" w:ascii="Times New Roman" w:hAnsi="Times New Roman" w:cs="Times New Roman"/>
                <w:b w:val="0"/>
                <w:bCs/>
                <w:color w:val="auto"/>
                <w:sz w:val="24"/>
                <w:szCs w:val="24"/>
                <w:lang w:val="en-US" w:eastAsia="zh-CN"/>
              </w:rPr>
              <w:t>t/h</w:t>
            </w:r>
            <w:r>
              <w:rPr>
                <w:rFonts w:hint="default" w:ascii="Times New Roman" w:hAnsi="Times New Roman" w:eastAsia="宋体" w:cs="Times New Roman"/>
                <w:b w:val="0"/>
                <w:bCs/>
                <w:color w:val="auto"/>
                <w:sz w:val="24"/>
                <w:szCs w:val="24"/>
              </w:rPr>
              <w:t>（</w:t>
            </w:r>
            <w:r>
              <w:rPr>
                <w:rFonts w:hint="eastAsia" w:cs="Times New Roman"/>
                <w:b w:val="0"/>
                <w:bCs/>
                <w:color w:val="auto"/>
                <w:sz w:val="24"/>
                <w:szCs w:val="24"/>
                <w:lang w:val="en-US" w:eastAsia="zh-CN"/>
              </w:rPr>
              <w:t>40</w:t>
            </w:r>
            <w:r>
              <w:rPr>
                <w:rFonts w:hint="default" w:ascii="Times New Roman" w:hAnsi="Times New Roman" w:eastAsia="宋体" w:cs="Times New Roman"/>
                <w:b w:val="0"/>
                <w:bCs/>
                <w:color w:val="auto"/>
                <w:sz w:val="24"/>
                <w:szCs w:val="24"/>
              </w:rPr>
              <w:t>t/d）</w:t>
            </w:r>
            <w:r>
              <w:rPr>
                <w:rFonts w:hint="default" w:ascii="Times New Roman" w:hAnsi="Times New Roman" w:cs="Times New Roman"/>
                <w:b w:val="0"/>
                <w:bCs/>
                <w:color w:val="auto"/>
                <w:sz w:val="24"/>
                <w:szCs w:val="24"/>
              </w:rPr>
              <w:t>，则</w:t>
            </w:r>
            <w:r>
              <w:rPr>
                <w:rFonts w:hint="default" w:ascii="Times New Roman" w:hAnsi="Times New Roman" w:cs="Times New Roman"/>
                <w:b w:val="0"/>
                <w:bCs/>
                <w:color w:val="auto"/>
                <w:sz w:val="24"/>
                <w:szCs w:val="24"/>
                <w:lang w:eastAsia="zh-CN"/>
              </w:rPr>
              <w:t>锅</w:t>
            </w:r>
            <w:r>
              <w:rPr>
                <w:rFonts w:hint="default" w:ascii="Times New Roman" w:hAnsi="Times New Roman" w:cs="Times New Roman"/>
                <w:b w:val="0"/>
                <w:bCs/>
                <w:color w:val="auto"/>
                <w:sz w:val="24"/>
                <w:szCs w:val="24"/>
              </w:rPr>
              <w:t>炉补水量为</w:t>
            </w:r>
            <w:r>
              <w:rPr>
                <w:rFonts w:hint="eastAsia" w:cs="Times New Roman"/>
                <w:b w:val="0"/>
                <w:bCs/>
                <w:color w:val="auto"/>
                <w:sz w:val="24"/>
                <w:szCs w:val="24"/>
                <w:lang w:val="en-US" w:eastAsia="zh-CN"/>
              </w:rPr>
              <w:t>4</w:t>
            </w:r>
            <w:r>
              <w:rPr>
                <w:rFonts w:hint="default" w:ascii="Times New Roman" w:hAnsi="Times New Roman" w:cs="Times New Roman"/>
                <w:b w:val="0"/>
                <w:bCs/>
                <w:color w:val="auto"/>
                <w:sz w:val="24"/>
                <w:szCs w:val="24"/>
                <w:lang w:val="en-US" w:eastAsia="zh-CN"/>
              </w:rPr>
              <w:t>t/h</w:t>
            </w:r>
            <w:r>
              <w:rPr>
                <w:rFonts w:hint="default" w:ascii="Times New Roman" w:hAnsi="Times New Roman" w:eastAsia="宋体" w:cs="Times New Roman"/>
                <w:b w:val="0"/>
                <w:bCs/>
                <w:color w:val="auto"/>
                <w:sz w:val="24"/>
                <w:szCs w:val="24"/>
              </w:rPr>
              <w:t>（</w:t>
            </w:r>
            <w:r>
              <w:rPr>
                <w:rFonts w:hint="eastAsia" w:cs="Times New Roman"/>
                <w:b w:val="0"/>
                <w:bCs/>
                <w:color w:val="auto"/>
                <w:sz w:val="24"/>
                <w:szCs w:val="24"/>
                <w:lang w:val="en-US" w:eastAsia="zh-CN"/>
              </w:rPr>
              <w:t>4</w:t>
            </w:r>
            <w:r>
              <w:rPr>
                <w:rFonts w:hint="default" w:ascii="Times New Roman" w:hAnsi="Times New Roman" w:cs="Times New Roman"/>
                <w:b w:val="0"/>
                <w:bCs/>
                <w:color w:val="auto"/>
                <w:sz w:val="24"/>
                <w:szCs w:val="24"/>
                <w:lang w:val="en-US" w:eastAsia="zh-CN"/>
              </w:rPr>
              <w:t>0</w:t>
            </w:r>
            <w:r>
              <w:rPr>
                <w:rFonts w:hint="default" w:ascii="Times New Roman" w:hAnsi="Times New Roman" w:eastAsia="宋体" w:cs="Times New Roman"/>
                <w:b w:val="0"/>
                <w:bCs/>
                <w:color w:val="auto"/>
                <w:sz w:val="24"/>
                <w:szCs w:val="24"/>
              </w:rPr>
              <w:t>t/d）</w:t>
            </w:r>
            <w:r>
              <w:rPr>
                <w:rFonts w:hint="default" w:ascii="Times New Roman" w:hAnsi="Times New Roman" w:cs="Times New Roman"/>
                <w:b w:val="0"/>
                <w:bCs/>
                <w:color w:val="auto"/>
                <w:sz w:val="24"/>
                <w:szCs w:val="24"/>
              </w:rPr>
              <w:t>。</w:t>
            </w:r>
            <w:r>
              <w:rPr>
                <w:rFonts w:hint="default" w:ascii="Times New Roman" w:hAnsi="Times New Roman" w:eastAsia="宋体" w:cs="Times New Roman"/>
                <w:b w:val="0"/>
                <w:bCs/>
                <w:color w:val="auto"/>
                <w:sz w:val="24"/>
                <w:szCs w:val="24"/>
              </w:rPr>
              <w:t>锅炉用水采用软化水处理</w:t>
            </w:r>
            <w:r>
              <w:rPr>
                <w:rFonts w:hint="default" w:ascii="Times New Roman" w:hAnsi="Times New Roman" w:eastAsia="宋体" w:cs="Times New Roman"/>
                <w:b w:val="0"/>
                <w:bCs/>
                <w:color w:val="auto"/>
                <w:sz w:val="24"/>
                <w:szCs w:val="24"/>
                <w:highlight w:val="none"/>
              </w:rPr>
              <w:t>装置进行水质软化处</w:t>
            </w:r>
            <w:r>
              <w:rPr>
                <w:rFonts w:hint="default" w:ascii="Times New Roman" w:hAnsi="Times New Roman" w:eastAsia="宋体" w:cs="Times New Roman"/>
                <w:b w:val="0"/>
                <w:bCs/>
                <w:color w:val="auto"/>
                <w:sz w:val="24"/>
                <w:szCs w:val="24"/>
              </w:rPr>
              <w:t>理，制水效率为</w:t>
            </w:r>
            <w:r>
              <w:rPr>
                <w:rFonts w:hint="default" w:ascii="Times New Roman" w:hAnsi="Times New Roman" w:eastAsia="宋体" w:cs="Times New Roman"/>
                <w:b w:val="0"/>
                <w:bCs/>
                <w:color w:val="auto"/>
                <w:sz w:val="24"/>
                <w:szCs w:val="24"/>
                <w:lang w:val="en-US" w:eastAsia="zh-CN"/>
              </w:rPr>
              <w:t>84</w:t>
            </w:r>
            <w:r>
              <w:rPr>
                <w:rFonts w:hint="default" w:ascii="Times New Roman" w:hAnsi="Times New Roman" w:eastAsia="宋体" w:cs="Times New Roman"/>
                <w:b w:val="0"/>
                <w:bCs/>
                <w:color w:val="auto"/>
                <w:sz w:val="24"/>
                <w:szCs w:val="24"/>
              </w:rPr>
              <w:t>%。本项目软化水制备用水为</w:t>
            </w:r>
            <w:r>
              <w:rPr>
                <w:rFonts w:hint="eastAsia" w:cs="Times New Roman"/>
                <w:b w:val="0"/>
                <w:bCs/>
                <w:color w:val="auto"/>
                <w:sz w:val="24"/>
                <w:szCs w:val="24"/>
                <w:lang w:val="en-US" w:eastAsia="zh-CN"/>
              </w:rPr>
              <w:t>5</w:t>
            </w:r>
            <w:r>
              <w:rPr>
                <w:rFonts w:hint="default" w:ascii="Times New Roman" w:hAnsi="Times New Roman" w:eastAsia="宋体" w:cs="Times New Roman"/>
                <w:b w:val="0"/>
                <w:bCs/>
                <w:color w:val="auto"/>
                <w:sz w:val="24"/>
                <w:szCs w:val="24"/>
                <w:lang w:val="en-US" w:eastAsia="zh-CN"/>
              </w:rPr>
              <w:t>.28</w:t>
            </w:r>
            <w:r>
              <w:rPr>
                <w:rFonts w:hint="default" w:ascii="Times New Roman" w:hAnsi="Times New Roman" w:eastAsia="宋体" w:cs="Times New Roman"/>
                <w:b w:val="0"/>
                <w:bCs/>
                <w:color w:val="auto"/>
                <w:sz w:val="24"/>
                <w:szCs w:val="24"/>
              </w:rPr>
              <w:t>t/h（</w:t>
            </w:r>
            <w:r>
              <w:rPr>
                <w:rFonts w:hint="default" w:ascii="Times New Roman" w:hAnsi="Times New Roman" w:eastAsia="宋体" w:cs="Times New Roman"/>
                <w:b w:val="0"/>
                <w:bCs/>
                <w:color w:val="auto"/>
                <w:sz w:val="24"/>
                <w:szCs w:val="24"/>
                <w:lang w:val="en-US" w:eastAsia="zh-CN"/>
              </w:rPr>
              <w:t>52.8</w:t>
            </w:r>
            <w:r>
              <w:rPr>
                <w:rFonts w:hint="default" w:ascii="Times New Roman" w:hAnsi="Times New Roman" w:eastAsia="宋体" w:cs="Times New Roman"/>
                <w:b w:val="0"/>
                <w:bCs/>
                <w:color w:val="auto"/>
                <w:sz w:val="24"/>
                <w:szCs w:val="24"/>
              </w:rPr>
              <w:t>t/d），锅炉用水为</w:t>
            </w:r>
            <w:r>
              <w:rPr>
                <w:rFonts w:hint="default" w:ascii="Times New Roman" w:hAnsi="Times New Roman" w:eastAsia="宋体" w:cs="Times New Roman"/>
                <w:b w:val="0"/>
                <w:bCs/>
                <w:color w:val="auto"/>
                <w:sz w:val="24"/>
                <w:szCs w:val="24"/>
                <w:lang w:val="en-US" w:eastAsia="zh-CN"/>
              </w:rPr>
              <w:t>4.44</w:t>
            </w:r>
            <w:r>
              <w:rPr>
                <w:rFonts w:hint="default" w:ascii="Times New Roman" w:hAnsi="Times New Roman" w:eastAsia="宋体" w:cs="Times New Roman"/>
                <w:b w:val="0"/>
                <w:bCs/>
                <w:color w:val="auto"/>
                <w:sz w:val="24"/>
                <w:szCs w:val="24"/>
              </w:rPr>
              <w:t>t/h（</w:t>
            </w:r>
            <w:r>
              <w:rPr>
                <w:rFonts w:hint="default" w:ascii="Times New Roman" w:hAnsi="Times New Roman" w:eastAsia="宋体" w:cs="Times New Roman"/>
                <w:b w:val="0"/>
                <w:bCs/>
                <w:color w:val="auto"/>
                <w:sz w:val="24"/>
                <w:szCs w:val="24"/>
                <w:lang w:val="en-US" w:eastAsia="zh-CN"/>
              </w:rPr>
              <w:t>44.4</w:t>
            </w:r>
            <w:r>
              <w:rPr>
                <w:rFonts w:hint="default" w:ascii="Times New Roman" w:hAnsi="Times New Roman" w:eastAsia="宋体" w:cs="Times New Roman"/>
                <w:b w:val="0"/>
                <w:bCs/>
                <w:color w:val="auto"/>
                <w:sz w:val="24"/>
                <w:szCs w:val="24"/>
              </w:rPr>
              <w:t>t/d），</w:t>
            </w:r>
            <w:r>
              <w:rPr>
                <w:rFonts w:hint="default" w:ascii="Times New Roman" w:hAnsi="Times New Roman" w:eastAsia="宋体" w:cs="Times New Roman"/>
                <w:b w:val="0"/>
                <w:bCs/>
                <w:color w:val="auto"/>
                <w:sz w:val="24"/>
                <w:szCs w:val="24"/>
                <w:lang w:eastAsia="zh-CN"/>
              </w:rPr>
              <w:t>软化处理废水</w:t>
            </w:r>
            <w:r>
              <w:rPr>
                <w:rFonts w:hint="default" w:ascii="Times New Roman" w:hAnsi="Times New Roman" w:eastAsia="宋体" w:cs="Times New Roman"/>
                <w:b w:val="0"/>
                <w:bCs/>
                <w:color w:val="auto"/>
                <w:sz w:val="24"/>
                <w:szCs w:val="24"/>
              </w:rPr>
              <w:t>排放量</w:t>
            </w:r>
            <w:r>
              <w:rPr>
                <w:rFonts w:hint="default" w:ascii="Times New Roman" w:hAnsi="Times New Roman" w:eastAsia="宋体" w:cs="Times New Roman"/>
                <w:b w:val="0"/>
                <w:bCs/>
                <w:color w:val="auto"/>
                <w:sz w:val="24"/>
                <w:szCs w:val="24"/>
                <w:lang w:val="en-US" w:eastAsia="zh-CN"/>
              </w:rPr>
              <w:t>0.84</w:t>
            </w:r>
            <w:r>
              <w:rPr>
                <w:rFonts w:hint="default" w:ascii="Times New Roman" w:hAnsi="Times New Roman" w:eastAsia="宋体" w:cs="Times New Roman"/>
                <w:b w:val="0"/>
                <w:bCs/>
                <w:color w:val="auto"/>
                <w:sz w:val="24"/>
                <w:szCs w:val="24"/>
              </w:rPr>
              <w:t>t/h（</w:t>
            </w:r>
            <w:r>
              <w:rPr>
                <w:rFonts w:hint="default" w:ascii="Times New Roman" w:hAnsi="Times New Roman" w:eastAsia="宋体" w:cs="Times New Roman"/>
                <w:b w:val="0"/>
                <w:bCs/>
                <w:color w:val="auto"/>
                <w:sz w:val="24"/>
                <w:szCs w:val="24"/>
                <w:lang w:val="en-US" w:eastAsia="zh-CN"/>
              </w:rPr>
              <w:t>8.4</w:t>
            </w:r>
            <w:r>
              <w:rPr>
                <w:rFonts w:hint="default" w:ascii="Times New Roman" w:hAnsi="Times New Roman" w:eastAsia="宋体" w:cs="Times New Roman"/>
                <w:b w:val="0"/>
                <w:bCs/>
                <w:color w:val="auto"/>
                <w:sz w:val="24"/>
                <w:szCs w:val="24"/>
              </w:rPr>
              <w:t>t/d），</w:t>
            </w:r>
            <w:r>
              <w:rPr>
                <w:rFonts w:hint="default" w:ascii="Times New Roman" w:hAnsi="Times New Roman" w:eastAsia="宋体" w:cs="Times New Roman"/>
                <w:b w:val="0"/>
                <w:bCs/>
                <w:color w:val="auto"/>
                <w:sz w:val="24"/>
                <w:szCs w:val="24"/>
                <w:lang w:eastAsia="zh-CN"/>
              </w:rPr>
              <w:t>锅炉</w:t>
            </w:r>
            <w:r>
              <w:rPr>
                <w:rFonts w:hint="default" w:ascii="Times New Roman" w:hAnsi="Times New Roman" w:eastAsia="宋体" w:cs="Times New Roman"/>
                <w:b w:val="0"/>
                <w:bCs/>
                <w:color w:val="auto"/>
                <w:sz w:val="24"/>
                <w:szCs w:val="24"/>
              </w:rPr>
              <w:t>排污水量为</w:t>
            </w:r>
            <w:r>
              <w:rPr>
                <w:rFonts w:hint="default" w:ascii="Times New Roman" w:hAnsi="Times New Roman" w:eastAsia="宋体" w:cs="Times New Roman"/>
                <w:b w:val="0"/>
                <w:bCs/>
                <w:color w:val="auto"/>
                <w:sz w:val="24"/>
                <w:szCs w:val="24"/>
                <w:lang w:val="en-US" w:eastAsia="zh-CN"/>
              </w:rPr>
              <w:t>0.44</w:t>
            </w:r>
            <w:r>
              <w:rPr>
                <w:rFonts w:hint="default" w:ascii="Times New Roman" w:hAnsi="Times New Roman" w:eastAsia="宋体" w:cs="Times New Roman"/>
                <w:b w:val="0"/>
                <w:bCs/>
                <w:color w:val="auto"/>
                <w:sz w:val="24"/>
                <w:szCs w:val="24"/>
              </w:rPr>
              <w:t>t/h（</w:t>
            </w:r>
            <w:r>
              <w:rPr>
                <w:rFonts w:hint="default" w:ascii="Times New Roman" w:hAnsi="Times New Roman" w:eastAsia="宋体" w:cs="Times New Roman"/>
                <w:b w:val="0"/>
                <w:bCs/>
                <w:color w:val="auto"/>
                <w:sz w:val="24"/>
                <w:szCs w:val="24"/>
                <w:lang w:val="en-US" w:eastAsia="zh-CN"/>
              </w:rPr>
              <w:t>4.4</w:t>
            </w:r>
            <w:r>
              <w:rPr>
                <w:rFonts w:hint="default" w:ascii="Times New Roman" w:hAnsi="Times New Roman" w:eastAsia="宋体" w:cs="Times New Roman"/>
                <w:b w:val="0"/>
                <w:bCs/>
                <w:color w:val="auto"/>
                <w:sz w:val="24"/>
                <w:szCs w:val="24"/>
              </w:rPr>
              <w:t>t/d）。</w:t>
            </w:r>
          </w:p>
          <w:p>
            <w:pPr>
              <w:pStyle w:val="12"/>
              <w:keepNext w:val="0"/>
              <w:keepLines w:val="0"/>
              <w:pageBreakBefore w:val="0"/>
              <w:shd w:val="clea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b w:val="0"/>
                <w:bCs/>
                <w:color w:val="auto"/>
                <w:kern w:val="0"/>
                <w:sz w:val="24"/>
                <w:szCs w:val="24"/>
                <w:lang w:val="en-US" w:eastAsia="zh-CN" w:bidi="ar-SA"/>
              </w:rPr>
            </w:pPr>
            <w:r>
              <w:rPr>
                <w:rFonts w:hint="default" w:ascii="Times New Roman" w:hAnsi="Times New Roman" w:eastAsia="宋体" w:cs="Times New Roman"/>
                <w:b w:val="0"/>
                <w:bCs/>
                <w:color w:val="auto"/>
                <w:kern w:val="0"/>
                <w:sz w:val="24"/>
                <w:szCs w:val="24"/>
                <w:lang w:val="en-US" w:eastAsia="zh-CN" w:bidi="ar-SA"/>
              </w:rPr>
              <w:t>（2）排水</w:t>
            </w:r>
          </w:p>
          <w:p>
            <w:pPr>
              <w:keepNext w:val="0"/>
              <w:keepLines w:val="0"/>
              <w:pageBreakBefore w:val="0"/>
              <w:widowControl/>
              <w:suppressLineNumbers w:val="0"/>
              <w:shd w:val="clear"/>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val="0"/>
                <w:bCs/>
                <w:color w:val="auto"/>
                <w:kern w:val="0"/>
                <w:sz w:val="24"/>
                <w:szCs w:val="24"/>
                <w:lang w:val="en-US" w:eastAsia="zh-CN" w:bidi="ar-SA"/>
              </w:rPr>
              <w:t>生活污水产生量按用水量的80%计，产生量为9.6</w:t>
            </w:r>
            <w:r>
              <w:rPr>
                <w:rFonts w:hint="default" w:ascii="Times New Roman" w:hAnsi="Times New Roman" w:eastAsia="宋体" w:cs="Times New Roman"/>
                <w:b w:val="0"/>
                <w:bCs/>
                <w:color w:val="auto"/>
                <w:kern w:val="0"/>
                <w:sz w:val="24"/>
                <w:szCs w:val="24"/>
                <w:lang w:val="zh-CN" w:eastAsia="zh-CN" w:bidi="ar-SA"/>
              </w:rPr>
              <w:t>t/d，</w:t>
            </w:r>
            <w:r>
              <w:rPr>
                <w:rFonts w:hint="default" w:ascii="Times New Roman" w:hAnsi="Times New Roman" w:eastAsia="宋体" w:cs="Times New Roman"/>
                <w:b w:val="0"/>
                <w:bCs/>
                <w:color w:val="auto"/>
                <w:kern w:val="0"/>
                <w:sz w:val="24"/>
                <w:szCs w:val="24"/>
                <w:lang w:val="en-US" w:eastAsia="zh-CN" w:bidi="ar-SA"/>
              </w:rPr>
              <w:t>864t/a，生活污水排入防渗化粪池，定期清掏；车间地面冲洗废水产生量按用水量的80%计，则冲洗废水产生量为3.872</w:t>
            </w:r>
            <w:r>
              <w:rPr>
                <w:rFonts w:hint="default" w:ascii="Times New Roman" w:hAnsi="Times New Roman" w:eastAsia="宋体" w:cs="Times New Roman"/>
                <w:b w:val="0"/>
                <w:bCs/>
                <w:color w:val="auto"/>
                <w:kern w:val="0"/>
                <w:sz w:val="24"/>
                <w:szCs w:val="24"/>
                <w:lang w:val="zh-CN" w:eastAsia="zh-CN" w:bidi="ar-SA"/>
              </w:rPr>
              <w:t>t/d，</w:t>
            </w:r>
            <w:r>
              <w:rPr>
                <w:rFonts w:hint="default" w:ascii="Times New Roman" w:hAnsi="Times New Roman" w:eastAsia="宋体" w:cs="Times New Roman"/>
                <w:b w:val="0"/>
                <w:bCs/>
                <w:color w:val="auto"/>
                <w:kern w:val="0"/>
                <w:sz w:val="24"/>
                <w:szCs w:val="24"/>
                <w:lang w:val="en-US" w:eastAsia="zh-CN" w:bidi="ar-SA"/>
              </w:rPr>
              <w:t>348.48t/a；清洗废水</w:t>
            </w:r>
            <w:r>
              <w:rPr>
                <w:rFonts w:hint="default" w:ascii="Times New Roman" w:hAnsi="Times New Roman" w:eastAsia="宋体" w:cs="Times New Roman"/>
                <w:b w:val="0"/>
                <w:bCs/>
                <w:color w:val="auto"/>
                <w:kern w:val="0"/>
                <w:sz w:val="24"/>
                <w:szCs w:val="24"/>
                <w:lang w:val="zh-CN" w:eastAsia="zh-CN" w:bidi="ar-SA"/>
              </w:rPr>
              <w:t>产生量按用水量</w:t>
            </w:r>
            <w:r>
              <w:rPr>
                <w:rFonts w:hint="default" w:ascii="Times New Roman" w:hAnsi="Times New Roman" w:eastAsia="宋体" w:cs="Times New Roman"/>
                <w:b w:val="0"/>
                <w:bCs/>
                <w:color w:val="auto"/>
                <w:kern w:val="0"/>
                <w:sz w:val="24"/>
                <w:szCs w:val="24"/>
                <w:lang w:val="en-US" w:eastAsia="zh-CN" w:bidi="ar-SA"/>
              </w:rPr>
              <w:t>的80%计，则清洗废水产生量为24</w:t>
            </w:r>
            <w:r>
              <w:rPr>
                <w:rFonts w:hint="default" w:ascii="Times New Roman" w:hAnsi="Times New Roman" w:eastAsia="宋体" w:cs="Times New Roman"/>
                <w:b w:val="0"/>
                <w:bCs/>
                <w:color w:val="auto"/>
                <w:kern w:val="0"/>
                <w:sz w:val="24"/>
                <w:szCs w:val="24"/>
                <w:lang w:val="zh-CN" w:eastAsia="zh-CN" w:bidi="ar-SA"/>
              </w:rPr>
              <w:t>t/d，</w:t>
            </w:r>
            <w:r>
              <w:rPr>
                <w:rFonts w:hint="default" w:ascii="Times New Roman" w:hAnsi="Times New Roman" w:eastAsia="宋体" w:cs="Times New Roman"/>
                <w:b w:val="0"/>
                <w:bCs/>
                <w:color w:val="auto"/>
                <w:kern w:val="0"/>
                <w:sz w:val="24"/>
                <w:szCs w:val="24"/>
                <w:lang w:val="en-US" w:eastAsia="zh-CN" w:bidi="ar-SA"/>
              </w:rPr>
              <w:t>2160t/a；锅炉排污水和软化处理废水：根据物料平衡，本项目软化处理废水排放量8.4t/d，锅炉排污水量为4.4t/d，锅炉排污水及软化处理废水排放量为756t/d</w:t>
            </w:r>
            <w:bookmarkStart w:id="4" w:name="OLE_LINK4"/>
            <w:r>
              <w:rPr>
                <w:rFonts w:hint="default" w:ascii="Times New Roman" w:hAnsi="Times New Roman" w:eastAsia="宋体" w:cs="Times New Roman"/>
                <w:b w:val="0"/>
                <w:bCs/>
                <w:color w:val="auto"/>
                <w:kern w:val="0"/>
                <w:sz w:val="24"/>
                <w:szCs w:val="24"/>
                <w:lang w:val="en-US" w:eastAsia="zh-CN" w:bidi="ar-SA"/>
              </w:rPr>
              <w:t>，396t/a</w:t>
            </w:r>
            <w:bookmarkEnd w:id="4"/>
            <w:r>
              <w:rPr>
                <w:rFonts w:hint="default" w:ascii="Times New Roman" w:hAnsi="Times New Roman" w:eastAsia="宋体" w:cs="Times New Roman"/>
                <w:b w:val="0"/>
                <w:bCs/>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
              </w:rPr>
              <w:t>高温灭菌废水产生量按用水量的50%计，则高温灭菌废水产生量为</w:t>
            </w:r>
            <w:r>
              <w:rPr>
                <w:rFonts w:hint="eastAsia" w:ascii="Times New Roman" w:hAnsi="Times New Roman" w:eastAsia="宋体" w:cs="Times New Roman"/>
                <w:color w:val="auto"/>
                <w:kern w:val="0"/>
                <w:sz w:val="24"/>
                <w:szCs w:val="24"/>
                <w:lang w:val="en-US" w:eastAsia="zh-CN" w:bidi="ar"/>
              </w:rPr>
              <w:t>0.525t</w:t>
            </w:r>
            <w:r>
              <w:rPr>
                <w:rFonts w:hint="default" w:ascii="Times New Roman" w:hAnsi="Times New Roman" w:eastAsia="宋体" w:cs="Times New Roman"/>
                <w:color w:val="auto"/>
                <w:kern w:val="0"/>
                <w:sz w:val="24"/>
                <w:szCs w:val="24"/>
                <w:lang w:val="en-US" w:eastAsia="zh-CN" w:bidi="ar"/>
              </w:rPr>
              <w:t>/d，</w:t>
            </w:r>
            <w:r>
              <w:rPr>
                <w:rFonts w:hint="eastAsia" w:ascii="Times New Roman" w:hAnsi="Times New Roman" w:eastAsia="宋体" w:cs="Times New Roman"/>
                <w:color w:val="auto"/>
                <w:kern w:val="0"/>
                <w:sz w:val="24"/>
                <w:szCs w:val="24"/>
                <w:lang w:val="en-US" w:eastAsia="zh-CN" w:bidi="ar"/>
              </w:rPr>
              <w:t>47.25t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eastAsia="宋体" w:cs="Times New Roman"/>
                <w:b w:val="0"/>
                <w:bCs/>
                <w:color w:val="auto"/>
                <w:kern w:val="0"/>
                <w:sz w:val="24"/>
                <w:szCs w:val="24"/>
                <w:lang w:val="en-US" w:eastAsia="zh-CN" w:bidi="ar-SA"/>
              </w:rPr>
              <w:t>。本项目生活污水进入厂区内防渗化粪池，定期清掏；锅炉排污水、软化处理废水、清洗废水、车间地面冲洗废水暂存于60m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b w:val="0"/>
                <w:bCs/>
                <w:color w:val="auto"/>
                <w:kern w:val="0"/>
                <w:sz w:val="24"/>
                <w:szCs w:val="24"/>
                <w:lang w:val="en-US" w:eastAsia="zh-CN" w:bidi="ar-SA"/>
              </w:rPr>
              <w:t>的密闭储罐内，可以储存约1天的废水，日</w:t>
            </w:r>
            <w:r>
              <w:rPr>
                <w:rFonts w:hint="default" w:ascii="Times New Roman" w:hAnsi="Times New Roman" w:eastAsia="宋体" w:cs="Times New Roman"/>
                <w:color w:val="auto"/>
                <w:sz w:val="24"/>
                <w:szCs w:val="24"/>
              </w:rPr>
              <w:t>产日清，每日由专用罐车拉运至海伦市污水处理厂处理，废水排放浓度满足《污水综合排放标准》（GB8978-1996）三级标准及海伦市污水处理厂进水水质标准。</w:t>
            </w:r>
          </w:p>
          <w:p>
            <w:pPr>
              <w:pStyle w:val="12"/>
              <w:shd w:val="clear"/>
              <w:adjustRightInd w:val="0"/>
              <w:snapToGrid w:val="0"/>
              <w:spacing w:after="0" w:line="240" w:lineRule="auto"/>
              <w:ind w:left="0" w:leftChars="0"/>
              <w:jc w:val="center"/>
              <w:rPr>
                <w:rFonts w:hint="eastAsia"/>
                <w:b/>
                <w:bCs/>
                <w:color w:val="auto"/>
                <w:sz w:val="24"/>
                <w:szCs w:val="24"/>
              </w:rPr>
            </w:pPr>
          </w:p>
          <w:p>
            <w:pPr>
              <w:pStyle w:val="12"/>
              <w:shd w:val="clear"/>
              <w:adjustRightInd w:val="0"/>
              <w:snapToGrid w:val="0"/>
              <w:spacing w:after="0" w:line="240" w:lineRule="auto"/>
              <w:ind w:left="0" w:leftChars="0"/>
              <w:jc w:val="center"/>
              <w:rPr>
                <w:rFonts w:hint="eastAsia"/>
                <w:b/>
                <w:bCs/>
                <w:color w:val="auto"/>
                <w:sz w:val="24"/>
                <w:szCs w:val="24"/>
              </w:rPr>
            </w:pPr>
            <w:r>
              <w:rPr>
                <w:rFonts w:hint="eastAsia"/>
                <w:b/>
                <w:bCs/>
                <w:color w:val="auto"/>
                <w:sz w:val="24"/>
                <w:szCs w:val="24"/>
              </w:rPr>
              <w:t>表2-</w:t>
            </w:r>
            <w:r>
              <w:rPr>
                <w:b/>
                <w:bCs/>
                <w:color w:val="auto"/>
                <w:sz w:val="24"/>
                <w:szCs w:val="24"/>
              </w:rPr>
              <w:t>5</w:t>
            </w:r>
            <w:r>
              <w:rPr>
                <w:rFonts w:hint="eastAsia"/>
                <w:b/>
                <w:bCs/>
                <w:color w:val="auto"/>
                <w:sz w:val="24"/>
                <w:szCs w:val="24"/>
              </w:rPr>
              <w:t xml:space="preserve">  项目用排水情况表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4"/>
              <w:gridCol w:w="1530"/>
              <w:gridCol w:w="941"/>
              <w:gridCol w:w="1071"/>
              <w:gridCol w:w="1971"/>
              <w:gridCol w:w="869"/>
              <w:gridCol w:w="15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18" w:hRule="atLeast"/>
                <w:tblHeader/>
                <w:jc w:val="center"/>
              </w:trPr>
              <w:tc>
                <w:tcPr>
                  <w:tcW w:w="294" w:type="pct"/>
                  <w:tcBorders>
                    <w:tl2br w:val="nil"/>
                    <w:tr2bl w:val="nil"/>
                  </w:tcBorders>
                  <w:noWrap w:val="0"/>
                  <w:vAlign w:val="center"/>
                </w:tcPr>
                <w:p>
                  <w:pPr>
                    <w:shd w:val="clear"/>
                    <w:snapToGrid w:val="0"/>
                    <w:jc w:val="center"/>
                    <w:rPr>
                      <w:rFonts w:hint="default" w:ascii="Times New Roman" w:hAnsi="Times New Roman" w:eastAsia="宋体" w:cs="Times New Roman"/>
                      <w:b w:val="0"/>
                      <w:bCs w:val="0"/>
                      <w:snapToGrid w:val="0"/>
                      <w:color w:val="auto"/>
                      <w:sz w:val="21"/>
                      <w:szCs w:val="21"/>
                      <w:highlight w:val="none"/>
                    </w:rPr>
                  </w:pPr>
                  <w:r>
                    <w:rPr>
                      <w:rFonts w:hint="default" w:ascii="Times New Roman" w:hAnsi="Times New Roman" w:eastAsia="宋体" w:cs="Times New Roman"/>
                      <w:b w:val="0"/>
                      <w:bCs w:val="0"/>
                      <w:snapToGrid w:val="0"/>
                      <w:color w:val="auto"/>
                      <w:sz w:val="21"/>
                      <w:szCs w:val="21"/>
                      <w:highlight w:val="none"/>
                    </w:rPr>
                    <w:t>编号</w:t>
                  </w:r>
                </w:p>
              </w:tc>
              <w:tc>
                <w:tcPr>
                  <w:tcW w:w="909" w:type="pct"/>
                  <w:tcBorders>
                    <w:tl2br w:val="nil"/>
                    <w:tr2bl w:val="nil"/>
                  </w:tcBorders>
                  <w:noWrap w:val="0"/>
                  <w:vAlign w:val="center"/>
                </w:tcPr>
                <w:p>
                  <w:pPr>
                    <w:shd w:val="clear"/>
                    <w:snapToGrid w:val="0"/>
                    <w:jc w:val="center"/>
                    <w:rPr>
                      <w:rFonts w:hint="default" w:ascii="Times New Roman" w:hAnsi="Times New Roman" w:eastAsia="宋体" w:cs="Times New Roman"/>
                      <w:b w:val="0"/>
                      <w:bCs w:val="0"/>
                      <w:snapToGrid w:val="0"/>
                      <w:color w:val="auto"/>
                      <w:sz w:val="21"/>
                      <w:szCs w:val="21"/>
                      <w:highlight w:val="none"/>
                    </w:rPr>
                  </w:pPr>
                  <w:r>
                    <w:rPr>
                      <w:rFonts w:hint="default" w:ascii="Times New Roman" w:hAnsi="Times New Roman" w:eastAsia="宋体" w:cs="Times New Roman"/>
                      <w:b w:val="0"/>
                      <w:bCs w:val="0"/>
                      <w:snapToGrid w:val="0"/>
                      <w:color w:val="auto"/>
                      <w:sz w:val="21"/>
                      <w:szCs w:val="21"/>
                      <w:highlight w:val="none"/>
                    </w:rPr>
                    <w:t>用水项目</w:t>
                  </w:r>
                </w:p>
              </w:tc>
              <w:tc>
                <w:tcPr>
                  <w:tcW w:w="559" w:type="pct"/>
                  <w:tcBorders>
                    <w:tl2br w:val="nil"/>
                    <w:tr2bl w:val="nil"/>
                  </w:tcBorders>
                  <w:noWrap w:val="0"/>
                  <w:vAlign w:val="center"/>
                </w:tcPr>
                <w:p>
                  <w:pPr>
                    <w:widowControl/>
                    <w:shd w:val="clear"/>
                    <w:jc w:val="center"/>
                    <w:rPr>
                      <w:rFonts w:hint="default" w:ascii="Times New Roman" w:hAnsi="Times New Roman" w:eastAsia="宋体" w:cs="Times New Roman"/>
                      <w:b w:val="0"/>
                      <w:bCs w:val="0"/>
                      <w:snapToGrid w:val="0"/>
                      <w:color w:val="auto"/>
                      <w:sz w:val="21"/>
                      <w:szCs w:val="21"/>
                      <w:highlight w:val="none"/>
                    </w:rPr>
                  </w:pPr>
                  <w:r>
                    <w:rPr>
                      <w:rFonts w:hint="default" w:ascii="Times New Roman" w:hAnsi="Times New Roman" w:eastAsia="宋体" w:cs="Times New Roman"/>
                      <w:b w:val="0"/>
                      <w:bCs w:val="0"/>
                      <w:snapToGrid w:val="0"/>
                      <w:color w:val="auto"/>
                      <w:sz w:val="21"/>
                      <w:szCs w:val="21"/>
                      <w:highlight w:val="none"/>
                    </w:rPr>
                    <w:t>用水量(m</w:t>
                  </w:r>
                  <w:r>
                    <w:rPr>
                      <w:rFonts w:hint="default" w:ascii="Times New Roman" w:hAnsi="Times New Roman" w:eastAsia="宋体" w:cs="Times New Roman"/>
                      <w:b w:val="0"/>
                      <w:bCs w:val="0"/>
                      <w:snapToGrid w:val="0"/>
                      <w:color w:val="auto"/>
                      <w:sz w:val="21"/>
                      <w:szCs w:val="21"/>
                      <w:highlight w:val="none"/>
                      <w:vertAlign w:val="superscript"/>
                    </w:rPr>
                    <w:t>3</w:t>
                  </w:r>
                  <w:r>
                    <w:rPr>
                      <w:rFonts w:hint="default" w:ascii="Times New Roman" w:hAnsi="Times New Roman" w:eastAsia="宋体" w:cs="Times New Roman"/>
                      <w:b w:val="0"/>
                      <w:bCs w:val="0"/>
                      <w:snapToGrid w:val="0"/>
                      <w:color w:val="auto"/>
                      <w:sz w:val="21"/>
                      <w:szCs w:val="21"/>
                      <w:highlight w:val="none"/>
                    </w:rPr>
                    <w:t>/</w:t>
                  </w:r>
                  <w:r>
                    <w:rPr>
                      <w:rFonts w:hint="default" w:ascii="Times New Roman" w:hAnsi="Times New Roman" w:eastAsia="宋体" w:cs="Times New Roman"/>
                      <w:b w:val="0"/>
                      <w:bCs w:val="0"/>
                      <w:snapToGrid w:val="0"/>
                      <w:color w:val="auto"/>
                      <w:sz w:val="21"/>
                      <w:szCs w:val="21"/>
                      <w:highlight w:val="none"/>
                      <w:lang w:val="en-US" w:eastAsia="zh-CN"/>
                    </w:rPr>
                    <w:t>d</w:t>
                  </w:r>
                  <w:r>
                    <w:rPr>
                      <w:rFonts w:hint="default" w:ascii="Times New Roman" w:hAnsi="Times New Roman" w:eastAsia="宋体" w:cs="Times New Roman"/>
                      <w:b w:val="0"/>
                      <w:bCs w:val="0"/>
                      <w:snapToGrid w:val="0"/>
                      <w:color w:val="auto"/>
                      <w:sz w:val="21"/>
                      <w:szCs w:val="21"/>
                      <w:highlight w:val="none"/>
                    </w:rPr>
                    <w:t>)</w:t>
                  </w:r>
                </w:p>
              </w:tc>
              <w:tc>
                <w:tcPr>
                  <w:tcW w:w="636" w:type="pct"/>
                  <w:tcBorders>
                    <w:tl2br w:val="nil"/>
                    <w:tr2bl w:val="nil"/>
                  </w:tcBorders>
                  <w:noWrap w:val="0"/>
                  <w:vAlign w:val="center"/>
                </w:tcPr>
                <w:p>
                  <w:pPr>
                    <w:widowControl/>
                    <w:shd w:val="clear"/>
                    <w:jc w:val="center"/>
                    <w:rPr>
                      <w:rFonts w:hint="default" w:ascii="Times New Roman" w:hAnsi="Times New Roman" w:eastAsia="宋体" w:cs="Times New Roman"/>
                      <w:b w:val="0"/>
                      <w:bCs w:val="0"/>
                      <w:snapToGrid w:val="0"/>
                      <w:color w:val="auto"/>
                      <w:sz w:val="21"/>
                      <w:szCs w:val="21"/>
                      <w:highlight w:val="none"/>
                    </w:rPr>
                  </w:pPr>
                  <w:r>
                    <w:rPr>
                      <w:rFonts w:hint="default" w:ascii="Times New Roman" w:hAnsi="Times New Roman" w:eastAsia="宋体" w:cs="Times New Roman"/>
                      <w:b w:val="0"/>
                      <w:bCs w:val="0"/>
                      <w:snapToGrid w:val="0"/>
                      <w:color w:val="auto"/>
                      <w:sz w:val="21"/>
                      <w:szCs w:val="21"/>
                      <w:highlight w:val="none"/>
                    </w:rPr>
                    <w:t>消耗水量(m</w:t>
                  </w:r>
                  <w:r>
                    <w:rPr>
                      <w:rFonts w:hint="default" w:ascii="Times New Roman" w:hAnsi="Times New Roman" w:eastAsia="宋体" w:cs="Times New Roman"/>
                      <w:b w:val="0"/>
                      <w:bCs w:val="0"/>
                      <w:snapToGrid w:val="0"/>
                      <w:color w:val="auto"/>
                      <w:sz w:val="21"/>
                      <w:szCs w:val="21"/>
                      <w:highlight w:val="none"/>
                      <w:vertAlign w:val="superscript"/>
                    </w:rPr>
                    <w:t>3</w:t>
                  </w:r>
                  <w:r>
                    <w:rPr>
                      <w:rFonts w:hint="default" w:ascii="Times New Roman" w:hAnsi="Times New Roman" w:eastAsia="宋体" w:cs="Times New Roman"/>
                      <w:b w:val="0"/>
                      <w:bCs w:val="0"/>
                      <w:snapToGrid w:val="0"/>
                      <w:color w:val="auto"/>
                      <w:sz w:val="21"/>
                      <w:szCs w:val="21"/>
                      <w:highlight w:val="none"/>
                    </w:rPr>
                    <w:t>/</w:t>
                  </w:r>
                  <w:r>
                    <w:rPr>
                      <w:rFonts w:hint="default" w:ascii="Times New Roman" w:hAnsi="Times New Roman" w:eastAsia="宋体" w:cs="Times New Roman"/>
                      <w:b w:val="0"/>
                      <w:bCs w:val="0"/>
                      <w:snapToGrid w:val="0"/>
                      <w:color w:val="auto"/>
                      <w:sz w:val="21"/>
                      <w:szCs w:val="21"/>
                      <w:highlight w:val="none"/>
                      <w:lang w:val="en-US" w:eastAsia="zh-CN"/>
                    </w:rPr>
                    <w:t>d</w:t>
                  </w:r>
                  <w:r>
                    <w:rPr>
                      <w:rFonts w:hint="default" w:ascii="Times New Roman" w:hAnsi="Times New Roman" w:eastAsia="宋体" w:cs="Times New Roman"/>
                      <w:b w:val="0"/>
                      <w:bCs w:val="0"/>
                      <w:snapToGrid w:val="0"/>
                      <w:color w:val="auto"/>
                      <w:sz w:val="21"/>
                      <w:szCs w:val="21"/>
                      <w:highlight w:val="none"/>
                    </w:rPr>
                    <w:t>)</w:t>
                  </w:r>
                </w:p>
              </w:tc>
              <w:tc>
                <w:tcPr>
                  <w:tcW w:w="1171" w:type="pct"/>
                  <w:tcBorders>
                    <w:tl2br w:val="nil"/>
                    <w:tr2bl w:val="nil"/>
                  </w:tcBorders>
                  <w:noWrap w:val="0"/>
                  <w:vAlign w:val="center"/>
                </w:tcPr>
                <w:p>
                  <w:pPr>
                    <w:shd w:val="clear"/>
                    <w:snapToGrid w:val="0"/>
                    <w:jc w:val="center"/>
                    <w:rPr>
                      <w:rFonts w:hint="default" w:ascii="Times New Roman" w:hAnsi="Times New Roman" w:eastAsia="宋体" w:cs="Times New Roman"/>
                      <w:b w:val="0"/>
                      <w:bCs w:val="0"/>
                      <w:snapToGrid w:val="0"/>
                      <w:color w:val="auto"/>
                      <w:sz w:val="21"/>
                      <w:szCs w:val="21"/>
                      <w:highlight w:val="none"/>
                    </w:rPr>
                  </w:pPr>
                  <w:r>
                    <w:rPr>
                      <w:rFonts w:hint="default" w:ascii="Times New Roman" w:hAnsi="Times New Roman" w:eastAsia="宋体" w:cs="Times New Roman"/>
                      <w:b w:val="0"/>
                      <w:bCs w:val="0"/>
                      <w:snapToGrid w:val="0"/>
                      <w:color w:val="auto"/>
                      <w:sz w:val="21"/>
                      <w:szCs w:val="21"/>
                      <w:highlight w:val="none"/>
                    </w:rPr>
                    <w:t>排水项目</w:t>
                  </w:r>
                </w:p>
              </w:tc>
              <w:tc>
                <w:tcPr>
                  <w:tcW w:w="516" w:type="pct"/>
                  <w:tcBorders>
                    <w:tl2br w:val="nil"/>
                    <w:tr2bl w:val="nil"/>
                  </w:tcBorders>
                  <w:noWrap w:val="0"/>
                  <w:vAlign w:val="center"/>
                </w:tcPr>
                <w:p>
                  <w:pPr>
                    <w:shd w:val="clear"/>
                    <w:snapToGrid w:val="0"/>
                    <w:jc w:val="center"/>
                    <w:rPr>
                      <w:rFonts w:hint="default" w:ascii="Times New Roman" w:hAnsi="Times New Roman" w:eastAsia="宋体" w:cs="Times New Roman"/>
                      <w:b w:val="0"/>
                      <w:bCs w:val="0"/>
                      <w:snapToGrid w:val="0"/>
                      <w:color w:val="auto"/>
                      <w:sz w:val="21"/>
                      <w:szCs w:val="21"/>
                      <w:highlight w:val="none"/>
                    </w:rPr>
                  </w:pPr>
                  <w:r>
                    <w:rPr>
                      <w:rFonts w:hint="default" w:ascii="Times New Roman" w:hAnsi="Times New Roman" w:eastAsia="宋体" w:cs="Times New Roman"/>
                      <w:b w:val="0"/>
                      <w:bCs w:val="0"/>
                      <w:snapToGrid w:val="0"/>
                      <w:color w:val="auto"/>
                      <w:sz w:val="21"/>
                      <w:szCs w:val="21"/>
                      <w:highlight w:val="none"/>
                    </w:rPr>
                    <w:t>排水量(m</w:t>
                  </w:r>
                  <w:r>
                    <w:rPr>
                      <w:rFonts w:hint="default" w:ascii="Times New Roman" w:hAnsi="Times New Roman" w:eastAsia="宋体" w:cs="Times New Roman"/>
                      <w:b w:val="0"/>
                      <w:bCs w:val="0"/>
                      <w:snapToGrid w:val="0"/>
                      <w:color w:val="auto"/>
                      <w:sz w:val="21"/>
                      <w:szCs w:val="21"/>
                      <w:highlight w:val="none"/>
                      <w:vertAlign w:val="superscript"/>
                    </w:rPr>
                    <w:t>3</w:t>
                  </w:r>
                  <w:r>
                    <w:rPr>
                      <w:rFonts w:hint="default" w:ascii="Times New Roman" w:hAnsi="Times New Roman" w:eastAsia="宋体" w:cs="Times New Roman"/>
                      <w:b w:val="0"/>
                      <w:bCs w:val="0"/>
                      <w:snapToGrid w:val="0"/>
                      <w:color w:val="auto"/>
                      <w:sz w:val="21"/>
                      <w:szCs w:val="21"/>
                      <w:highlight w:val="none"/>
                    </w:rPr>
                    <w:t>/</w:t>
                  </w:r>
                  <w:r>
                    <w:rPr>
                      <w:rFonts w:hint="default" w:ascii="Times New Roman" w:hAnsi="Times New Roman" w:eastAsia="宋体" w:cs="Times New Roman"/>
                      <w:b w:val="0"/>
                      <w:bCs w:val="0"/>
                      <w:snapToGrid w:val="0"/>
                      <w:color w:val="auto"/>
                      <w:sz w:val="21"/>
                      <w:szCs w:val="21"/>
                      <w:highlight w:val="none"/>
                      <w:lang w:val="en-US" w:eastAsia="zh-CN"/>
                    </w:rPr>
                    <w:t>d</w:t>
                  </w:r>
                  <w:r>
                    <w:rPr>
                      <w:rFonts w:hint="default" w:ascii="Times New Roman" w:hAnsi="Times New Roman" w:eastAsia="宋体" w:cs="Times New Roman"/>
                      <w:b w:val="0"/>
                      <w:bCs w:val="0"/>
                      <w:snapToGrid w:val="0"/>
                      <w:color w:val="auto"/>
                      <w:sz w:val="21"/>
                      <w:szCs w:val="21"/>
                      <w:highlight w:val="none"/>
                    </w:rPr>
                    <w:t>)</w:t>
                  </w:r>
                </w:p>
              </w:tc>
              <w:tc>
                <w:tcPr>
                  <w:tcW w:w="911" w:type="pct"/>
                  <w:tcBorders>
                    <w:tl2br w:val="nil"/>
                    <w:tr2bl w:val="nil"/>
                  </w:tcBorders>
                  <w:noWrap w:val="0"/>
                  <w:vAlign w:val="center"/>
                </w:tcPr>
                <w:p>
                  <w:pPr>
                    <w:shd w:val="clear"/>
                    <w:snapToGrid w:val="0"/>
                    <w:jc w:val="center"/>
                    <w:rPr>
                      <w:rFonts w:hint="default" w:ascii="Times New Roman" w:hAnsi="Times New Roman" w:eastAsia="宋体" w:cs="Times New Roman"/>
                      <w:b w:val="0"/>
                      <w:bCs w:val="0"/>
                      <w:snapToGrid w:val="0"/>
                      <w:color w:val="auto"/>
                      <w:sz w:val="21"/>
                      <w:szCs w:val="21"/>
                      <w:highlight w:val="none"/>
                    </w:rPr>
                  </w:pPr>
                  <w:r>
                    <w:rPr>
                      <w:rFonts w:hint="default" w:ascii="Times New Roman" w:hAnsi="Times New Roman" w:eastAsia="宋体" w:cs="Times New Roman"/>
                      <w:b w:val="0"/>
                      <w:bCs w:val="0"/>
                      <w:snapToGrid w:val="0"/>
                      <w:color w:val="auto"/>
                      <w:sz w:val="21"/>
                      <w:szCs w:val="21"/>
                      <w:highlight w:val="none"/>
                    </w:rPr>
                    <w:t>排水去向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294" w:type="pct"/>
                  <w:vMerge w:val="restar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w:t>
                  </w:r>
                </w:p>
              </w:tc>
              <w:tc>
                <w:tcPr>
                  <w:tcW w:w="909" w:type="pct"/>
                  <w:vMerge w:val="restar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锅炉</w:t>
                  </w:r>
                  <w:r>
                    <w:rPr>
                      <w:rFonts w:hint="default" w:ascii="Times New Roman" w:hAnsi="Times New Roman" w:eastAsia="宋体" w:cs="Times New Roman"/>
                      <w:snapToGrid w:val="0"/>
                      <w:color w:val="auto"/>
                      <w:sz w:val="21"/>
                      <w:szCs w:val="21"/>
                      <w:highlight w:val="none"/>
                    </w:rPr>
                    <w:t>用水</w:t>
                  </w:r>
                </w:p>
              </w:tc>
              <w:tc>
                <w:tcPr>
                  <w:tcW w:w="559" w:type="pct"/>
                  <w:vMerge w:val="restart"/>
                  <w:tcBorders>
                    <w:tl2br w:val="nil"/>
                    <w:tr2bl w:val="nil"/>
                  </w:tcBorders>
                  <w:noWrap w:val="0"/>
                  <w:vAlign w:val="center"/>
                </w:tcPr>
                <w:p>
                  <w:pPr>
                    <w:shd w:val="clear"/>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52.8</w:t>
                  </w:r>
                </w:p>
              </w:tc>
              <w:tc>
                <w:tcPr>
                  <w:tcW w:w="636" w:type="pct"/>
                  <w:vMerge w:val="restart"/>
                  <w:tcBorders>
                    <w:tl2br w:val="nil"/>
                    <w:tr2bl w:val="nil"/>
                  </w:tcBorders>
                  <w:noWrap w:val="0"/>
                  <w:vAlign w:val="center"/>
                </w:tcPr>
                <w:p>
                  <w:pPr>
                    <w:shd w:val="clear"/>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12.8</w:t>
                  </w:r>
                </w:p>
              </w:tc>
              <w:tc>
                <w:tcPr>
                  <w:tcW w:w="1171"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锅炉排污水</w:t>
                  </w:r>
                </w:p>
              </w:tc>
              <w:tc>
                <w:tcPr>
                  <w:tcW w:w="516"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4.4</w:t>
                  </w:r>
                </w:p>
              </w:tc>
              <w:tc>
                <w:tcPr>
                  <w:tcW w:w="911" w:type="pct"/>
                  <w:vMerge w:val="restar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eastAsia="zh-CN"/>
                    </w:rPr>
                    <w:t>由专用罐车拉运至</w:t>
                  </w:r>
                  <w:r>
                    <w:rPr>
                      <w:rFonts w:hint="default" w:ascii="Times New Roman" w:hAnsi="Times New Roman" w:cs="Times New Roman"/>
                      <w:color w:val="auto"/>
                      <w:sz w:val="21"/>
                      <w:szCs w:val="21"/>
                    </w:rPr>
                    <w:t>海伦市污水处理厂处理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0" w:type="auto"/>
                  <w:vMerge w:val="continue"/>
                  <w:tcBorders>
                    <w:tl2br w:val="nil"/>
                    <w:tr2bl w:val="nil"/>
                  </w:tcBorders>
                  <w:noWrap w:val="0"/>
                  <w:vAlign w:val="center"/>
                </w:tcPr>
                <w:p>
                  <w:pPr>
                    <w:widowControl/>
                    <w:shd w:val="clear"/>
                    <w:rPr>
                      <w:rFonts w:hint="default" w:ascii="Times New Roman" w:hAnsi="Times New Roman" w:eastAsia="宋体" w:cs="Times New Roman"/>
                      <w:snapToGrid w:val="0"/>
                      <w:color w:val="auto"/>
                      <w:sz w:val="21"/>
                      <w:szCs w:val="21"/>
                      <w:highlight w:val="none"/>
                    </w:rPr>
                  </w:pPr>
                </w:p>
              </w:tc>
              <w:tc>
                <w:tcPr>
                  <w:tcW w:w="909" w:type="pct"/>
                  <w:vMerge w:val="continue"/>
                  <w:tcBorders>
                    <w:tl2br w:val="nil"/>
                    <w:tr2bl w:val="nil"/>
                  </w:tcBorders>
                  <w:noWrap w:val="0"/>
                  <w:vAlign w:val="center"/>
                </w:tcPr>
                <w:p>
                  <w:pPr>
                    <w:widowControl/>
                    <w:shd w:val="clear"/>
                    <w:rPr>
                      <w:rFonts w:hint="default" w:ascii="Times New Roman" w:hAnsi="Times New Roman" w:eastAsia="宋体" w:cs="Times New Roman"/>
                      <w:snapToGrid w:val="0"/>
                      <w:color w:val="auto"/>
                      <w:sz w:val="21"/>
                      <w:szCs w:val="21"/>
                      <w:highlight w:val="none"/>
                    </w:rPr>
                  </w:pPr>
                </w:p>
              </w:tc>
              <w:tc>
                <w:tcPr>
                  <w:tcW w:w="559" w:type="pct"/>
                  <w:vMerge w:val="continue"/>
                  <w:tcBorders>
                    <w:tl2br w:val="nil"/>
                    <w:tr2bl w:val="nil"/>
                  </w:tcBorders>
                  <w:noWrap w:val="0"/>
                  <w:vAlign w:val="center"/>
                </w:tcPr>
                <w:p>
                  <w:pPr>
                    <w:widowControl/>
                    <w:shd w:val="clear"/>
                    <w:rPr>
                      <w:rFonts w:hint="default" w:ascii="Times New Roman" w:hAnsi="Times New Roman" w:eastAsia="宋体" w:cs="Times New Roman"/>
                      <w:snapToGrid w:val="0"/>
                      <w:color w:val="auto"/>
                      <w:sz w:val="21"/>
                      <w:szCs w:val="21"/>
                      <w:highlight w:val="none"/>
                    </w:rPr>
                  </w:pPr>
                </w:p>
              </w:tc>
              <w:tc>
                <w:tcPr>
                  <w:tcW w:w="636" w:type="pct"/>
                  <w:vMerge w:val="continue"/>
                  <w:tcBorders>
                    <w:tl2br w:val="nil"/>
                    <w:tr2bl w:val="nil"/>
                  </w:tcBorders>
                  <w:noWrap w:val="0"/>
                  <w:vAlign w:val="center"/>
                </w:tcPr>
                <w:p>
                  <w:pPr>
                    <w:widowControl/>
                    <w:shd w:val="clear"/>
                    <w:rPr>
                      <w:rFonts w:hint="default" w:ascii="Times New Roman" w:hAnsi="Times New Roman" w:eastAsia="宋体" w:cs="Times New Roman"/>
                      <w:snapToGrid w:val="0"/>
                      <w:color w:val="auto"/>
                      <w:sz w:val="21"/>
                      <w:szCs w:val="21"/>
                      <w:highlight w:val="none"/>
                    </w:rPr>
                  </w:pPr>
                </w:p>
              </w:tc>
              <w:tc>
                <w:tcPr>
                  <w:tcW w:w="1171"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cs="Times New Roman"/>
                      <w:snapToGrid w:val="0"/>
                      <w:color w:val="auto"/>
                      <w:sz w:val="21"/>
                      <w:szCs w:val="21"/>
                      <w:highlight w:val="none"/>
                      <w:lang w:eastAsia="zh-CN"/>
                    </w:rPr>
                    <w:t>软化处理废水</w:t>
                  </w:r>
                </w:p>
              </w:tc>
              <w:tc>
                <w:tcPr>
                  <w:tcW w:w="516"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8.4</w:t>
                  </w:r>
                </w:p>
              </w:tc>
              <w:tc>
                <w:tcPr>
                  <w:tcW w:w="911" w:type="pct"/>
                  <w:vMerge w:val="continue"/>
                  <w:tcBorders>
                    <w:tl2br w:val="nil"/>
                    <w:tr2bl w:val="nil"/>
                  </w:tcBorders>
                  <w:noWrap w:val="0"/>
                  <w:vAlign w:val="center"/>
                </w:tcPr>
                <w:p>
                  <w:pPr>
                    <w:widowControl/>
                    <w:shd w:val="clear"/>
                    <w:jc w:val="center"/>
                    <w:rPr>
                      <w:rFonts w:hint="default" w:ascii="Times New Roman" w:hAnsi="Times New Roman" w:eastAsia="宋体" w:cs="Times New Roman"/>
                      <w:snapToGrid w:val="0"/>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94"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2</w:t>
                  </w:r>
                </w:p>
              </w:tc>
              <w:tc>
                <w:tcPr>
                  <w:tcW w:w="909"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车间</w:t>
                  </w:r>
                  <w:r>
                    <w:rPr>
                      <w:rFonts w:hint="default" w:ascii="Times New Roman" w:hAnsi="Times New Roman" w:cs="Times New Roman"/>
                      <w:color w:val="auto"/>
                      <w:sz w:val="21"/>
                      <w:szCs w:val="21"/>
                      <w:highlight w:val="none"/>
                      <w:lang w:eastAsia="zh-CN"/>
                    </w:rPr>
                    <w:t>地面</w:t>
                  </w:r>
                </w:p>
                <w:p>
                  <w:pPr>
                    <w:pStyle w:val="12"/>
                    <w:shd w:val="clear"/>
                    <w:adjustRightInd w:val="0"/>
                    <w:snapToGrid w:val="0"/>
                    <w:spacing w:after="0"/>
                    <w:ind w:left="0" w:left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冲洗用水</w:t>
                  </w:r>
                </w:p>
              </w:tc>
              <w:tc>
                <w:tcPr>
                  <w:tcW w:w="559"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4.84</w:t>
                  </w:r>
                </w:p>
              </w:tc>
              <w:tc>
                <w:tcPr>
                  <w:tcW w:w="636" w:type="pct"/>
                  <w:tcBorders>
                    <w:tl2br w:val="nil"/>
                    <w:tr2bl w:val="nil"/>
                  </w:tcBorders>
                  <w:noWrap w:val="0"/>
                  <w:vAlign w:val="center"/>
                </w:tcPr>
                <w:p>
                  <w:pPr>
                    <w:shd w:val="clear"/>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snapToGrid w:val="0"/>
                      <w:color w:val="auto"/>
                      <w:kern w:val="2"/>
                      <w:sz w:val="21"/>
                      <w:szCs w:val="21"/>
                      <w:highlight w:val="none"/>
                      <w:lang w:val="en-US" w:eastAsia="zh-CN" w:bidi="ar-SA"/>
                    </w:rPr>
                    <w:t>0.968</w:t>
                  </w:r>
                </w:p>
              </w:tc>
              <w:tc>
                <w:tcPr>
                  <w:tcW w:w="1171" w:type="pct"/>
                  <w:tcBorders>
                    <w:tl2br w:val="nil"/>
                    <w:tr2bl w:val="nil"/>
                  </w:tcBorders>
                  <w:noWrap w:val="0"/>
                  <w:vAlign w:val="center"/>
                </w:tcPr>
                <w:p>
                  <w:pPr>
                    <w:widowControl w:val="0"/>
                    <w:shd w:val="clear"/>
                    <w:adjustRightInd w:val="0"/>
                    <w:snapToGrid w:val="0"/>
                    <w:spacing w:after="0"/>
                    <w:ind w:left="0" w:lef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车间</w:t>
                  </w:r>
                  <w:r>
                    <w:rPr>
                      <w:rFonts w:hint="default" w:ascii="Times New Roman" w:hAnsi="Times New Roman" w:cs="Times New Roman"/>
                      <w:color w:val="auto"/>
                      <w:kern w:val="0"/>
                      <w:sz w:val="21"/>
                      <w:szCs w:val="21"/>
                      <w:highlight w:val="none"/>
                      <w:lang w:val="en-US" w:eastAsia="zh-CN" w:bidi="ar-SA"/>
                    </w:rPr>
                    <w:t>地面</w:t>
                  </w:r>
                  <w:r>
                    <w:rPr>
                      <w:rFonts w:hint="default" w:ascii="Times New Roman" w:hAnsi="Times New Roman" w:eastAsia="宋体" w:cs="Times New Roman"/>
                      <w:color w:val="auto"/>
                      <w:kern w:val="0"/>
                      <w:sz w:val="21"/>
                      <w:szCs w:val="21"/>
                      <w:highlight w:val="none"/>
                      <w:lang w:val="en-US" w:eastAsia="zh-CN" w:bidi="ar-SA"/>
                    </w:rPr>
                    <w:t>冲洗废水</w:t>
                  </w:r>
                </w:p>
              </w:tc>
              <w:tc>
                <w:tcPr>
                  <w:tcW w:w="516"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cs="Times New Roman"/>
                      <w:color w:val="auto"/>
                      <w:sz w:val="21"/>
                      <w:szCs w:val="21"/>
                      <w:highlight w:val="none"/>
                      <w:lang w:val="en-US" w:eastAsia="zh-CN"/>
                    </w:rPr>
                    <w:t>3.872</w:t>
                  </w:r>
                </w:p>
              </w:tc>
              <w:tc>
                <w:tcPr>
                  <w:tcW w:w="911" w:type="pct"/>
                  <w:vMerge w:val="continue"/>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94"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3</w:t>
                  </w:r>
                </w:p>
              </w:tc>
              <w:tc>
                <w:tcPr>
                  <w:tcW w:w="909"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清洗用水</w:t>
                  </w:r>
                </w:p>
              </w:tc>
              <w:tc>
                <w:tcPr>
                  <w:tcW w:w="559"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30</w:t>
                  </w:r>
                </w:p>
              </w:tc>
              <w:tc>
                <w:tcPr>
                  <w:tcW w:w="636" w:type="pct"/>
                  <w:tcBorders>
                    <w:tl2br w:val="nil"/>
                    <w:tr2bl w:val="nil"/>
                  </w:tcBorders>
                  <w:noWrap w:val="0"/>
                  <w:vAlign w:val="center"/>
                </w:tcPr>
                <w:p>
                  <w:pPr>
                    <w:shd w:val="clear"/>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6.0</w:t>
                  </w:r>
                </w:p>
              </w:tc>
              <w:tc>
                <w:tcPr>
                  <w:tcW w:w="1171"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kern w:val="2"/>
                      <w:sz w:val="21"/>
                      <w:szCs w:val="21"/>
                      <w:highlight w:val="none"/>
                      <w:lang w:val="en-US" w:eastAsia="zh-CN" w:bidi="ar-SA"/>
                    </w:rPr>
                    <w:t>清洗废水</w:t>
                  </w:r>
                </w:p>
              </w:tc>
              <w:tc>
                <w:tcPr>
                  <w:tcW w:w="516"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24</w:t>
                  </w:r>
                </w:p>
              </w:tc>
              <w:tc>
                <w:tcPr>
                  <w:tcW w:w="911" w:type="pct"/>
                  <w:vMerge w:val="continue"/>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94" w:type="pct"/>
                  <w:tcBorders>
                    <w:tl2br w:val="nil"/>
                    <w:tr2bl w:val="nil"/>
                  </w:tcBorders>
                  <w:noWrap w:val="0"/>
                  <w:vAlign w:val="center"/>
                </w:tcPr>
                <w:p>
                  <w:pPr>
                    <w:shd w:val="clear"/>
                    <w:snapToGrid w:val="0"/>
                    <w:jc w:val="center"/>
                    <w:rPr>
                      <w:rFonts w:hint="default" w:ascii="Times New Roman" w:hAnsi="Times New Roman" w:cs="Times New Roman"/>
                      <w:snapToGrid w:val="0"/>
                      <w:color w:val="auto"/>
                      <w:kern w:val="2"/>
                      <w:sz w:val="21"/>
                      <w:szCs w:val="21"/>
                      <w:highlight w:val="none"/>
                      <w:lang w:val="en-US" w:eastAsia="zh-CN" w:bidi="ar-SA"/>
                    </w:rPr>
                  </w:pPr>
                  <w:bookmarkStart w:id="5" w:name="OLE_LINK1" w:colFirst="1" w:colLast="1"/>
                  <w:r>
                    <w:rPr>
                      <w:rFonts w:hint="default" w:ascii="Times New Roman" w:hAnsi="Times New Roman" w:cs="Times New Roman"/>
                      <w:snapToGrid w:val="0"/>
                      <w:color w:val="auto"/>
                      <w:kern w:val="2"/>
                      <w:sz w:val="21"/>
                      <w:szCs w:val="21"/>
                      <w:highlight w:val="none"/>
                      <w:lang w:val="en-US" w:eastAsia="zh-CN" w:bidi="ar-SA"/>
                    </w:rPr>
                    <w:t>4</w:t>
                  </w:r>
                </w:p>
              </w:tc>
              <w:tc>
                <w:tcPr>
                  <w:tcW w:w="909"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高温杀菌用水</w:t>
                  </w:r>
                </w:p>
              </w:tc>
              <w:tc>
                <w:tcPr>
                  <w:tcW w:w="559"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1.05</w:t>
                  </w:r>
                </w:p>
              </w:tc>
              <w:tc>
                <w:tcPr>
                  <w:tcW w:w="636" w:type="pct"/>
                  <w:tcBorders>
                    <w:tl2br w:val="nil"/>
                    <w:tr2bl w:val="nil"/>
                  </w:tcBorders>
                  <w:noWrap w:val="0"/>
                  <w:vAlign w:val="center"/>
                </w:tcPr>
                <w:p>
                  <w:pPr>
                    <w:shd w:val="clear"/>
                    <w:jc w:val="center"/>
                    <w:rPr>
                      <w:rFonts w:hint="default" w:ascii="Times New Roman" w:hAnsi="Times New Roman" w:cs="Times New Roman"/>
                      <w:snapToGrid w:val="0"/>
                      <w:color w:val="auto"/>
                      <w:kern w:val="2"/>
                      <w:sz w:val="21"/>
                      <w:szCs w:val="21"/>
                      <w:highlight w:val="none"/>
                      <w:lang w:val="en-US" w:eastAsia="zh-CN" w:bidi="ar-SA"/>
                    </w:rPr>
                  </w:pPr>
                  <w:r>
                    <w:rPr>
                      <w:rFonts w:hint="eastAsia" w:cs="Times New Roman"/>
                      <w:snapToGrid w:val="0"/>
                      <w:color w:val="auto"/>
                      <w:kern w:val="2"/>
                      <w:sz w:val="21"/>
                      <w:szCs w:val="21"/>
                      <w:highlight w:val="none"/>
                      <w:lang w:val="en-US" w:eastAsia="zh-CN" w:bidi="ar-SA"/>
                    </w:rPr>
                    <w:t>0.525</w:t>
                  </w:r>
                </w:p>
              </w:tc>
              <w:tc>
                <w:tcPr>
                  <w:tcW w:w="1171"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高温杀菌</w:t>
                  </w:r>
                  <w:r>
                    <w:rPr>
                      <w:rFonts w:hint="eastAsia"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lang w:eastAsia="zh-CN"/>
                    </w:rPr>
                    <w:t>水</w:t>
                  </w:r>
                </w:p>
              </w:tc>
              <w:tc>
                <w:tcPr>
                  <w:tcW w:w="516"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0.525</w:t>
                  </w:r>
                </w:p>
              </w:tc>
              <w:tc>
                <w:tcPr>
                  <w:tcW w:w="911" w:type="pct"/>
                  <w:vMerge w:val="continue"/>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highlight w:val="none"/>
                      <w:lang w:val="en-US" w:eastAsia="zh-CN"/>
                    </w:rPr>
                  </w:pPr>
                </w:p>
              </w:tc>
            </w:tr>
            <w:bookmarkEnd w:id="5"/>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3" w:hRule="atLeast"/>
                <w:jc w:val="center"/>
              </w:trPr>
              <w:tc>
                <w:tcPr>
                  <w:tcW w:w="294"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5</w:t>
                  </w:r>
                </w:p>
              </w:tc>
              <w:tc>
                <w:tcPr>
                  <w:tcW w:w="909"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生活用水</w:t>
                  </w:r>
                </w:p>
              </w:tc>
              <w:tc>
                <w:tcPr>
                  <w:tcW w:w="559"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12</w:t>
                  </w:r>
                </w:p>
              </w:tc>
              <w:tc>
                <w:tcPr>
                  <w:tcW w:w="636" w:type="pct"/>
                  <w:tcBorders>
                    <w:tl2br w:val="nil"/>
                    <w:tr2bl w:val="nil"/>
                  </w:tcBorders>
                  <w:noWrap w:val="0"/>
                  <w:vAlign w:val="center"/>
                </w:tcPr>
                <w:p>
                  <w:pPr>
                    <w:shd w:val="clear"/>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snapToGrid w:val="0"/>
                      <w:color w:val="auto"/>
                      <w:kern w:val="2"/>
                      <w:sz w:val="21"/>
                      <w:szCs w:val="21"/>
                      <w:highlight w:val="none"/>
                      <w:lang w:val="en-US" w:eastAsia="zh-CN" w:bidi="ar-SA"/>
                    </w:rPr>
                    <w:t>2.4</w:t>
                  </w:r>
                </w:p>
              </w:tc>
              <w:tc>
                <w:tcPr>
                  <w:tcW w:w="1171"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kern w:val="2"/>
                      <w:sz w:val="21"/>
                      <w:szCs w:val="21"/>
                      <w:highlight w:val="none"/>
                      <w:lang w:val="en-US" w:eastAsia="zh-CN" w:bidi="ar-SA"/>
                    </w:rPr>
                    <w:t>生活污水</w:t>
                  </w:r>
                </w:p>
              </w:tc>
              <w:tc>
                <w:tcPr>
                  <w:tcW w:w="516" w:type="pct"/>
                  <w:tcBorders>
                    <w:tl2br w:val="nil"/>
                    <w:tr2bl w:val="nil"/>
                  </w:tcBorders>
                  <w:noWrap w:val="0"/>
                  <w:vAlign w:val="center"/>
                </w:tcPr>
                <w:p>
                  <w:pPr>
                    <w:pStyle w:val="12"/>
                    <w:shd w:val="clear"/>
                    <w:adjustRightInd w:val="0"/>
                    <w:snapToGrid w:val="0"/>
                    <w:spacing w:after="0"/>
                    <w:ind w:left="0" w:left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cs="Times New Roman"/>
                      <w:color w:val="auto"/>
                      <w:sz w:val="21"/>
                      <w:szCs w:val="21"/>
                      <w:highlight w:val="none"/>
                      <w:lang w:val="en-US" w:eastAsia="zh-CN"/>
                    </w:rPr>
                    <w:t>9.6</w:t>
                  </w:r>
                </w:p>
              </w:tc>
              <w:tc>
                <w:tcPr>
                  <w:tcW w:w="911"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eastAsia="zh-CN"/>
                    </w:rPr>
                    <w:t>排入防渗</w:t>
                  </w:r>
                  <w:r>
                    <w:rPr>
                      <w:rFonts w:hint="eastAsia" w:cs="Times New Roman"/>
                      <w:snapToGrid w:val="0"/>
                      <w:color w:val="auto"/>
                      <w:sz w:val="21"/>
                      <w:szCs w:val="21"/>
                      <w:highlight w:val="none"/>
                      <w:lang w:val="en-US" w:eastAsia="zh-CN"/>
                    </w:rPr>
                    <w:t>化粪池</w:t>
                  </w:r>
                  <w:r>
                    <w:rPr>
                      <w:rFonts w:hint="default" w:ascii="Times New Roman" w:hAnsi="Times New Roman" w:eastAsia="宋体" w:cs="Times New Roman"/>
                      <w:snapToGrid w:val="0"/>
                      <w:color w:val="auto"/>
                      <w:sz w:val="21"/>
                      <w:szCs w:val="21"/>
                      <w:highlight w:val="none"/>
                      <w:lang w:eastAsia="zh-CN"/>
                    </w:rPr>
                    <w:t>，定期清掏。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94"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cs="Times New Roman"/>
                      <w:snapToGrid w:val="0"/>
                      <w:color w:val="auto"/>
                      <w:sz w:val="21"/>
                      <w:szCs w:val="21"/>
                      <w:lang w:val="en-US" w:eastAsia="zh-CN"/>
                    </w:rPr>
                    <w:t>6</w:t>
                  </w:r>
                </w:p>
              </w:tc>
              <w:tc>
                <w:tcPr>
                  <w:tcW w:w="909"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合计</w:t>
                  </w:r>
                </w:p>
              </w:tc>
              <w:tc>
                <w:tcPr>
                  <w:tcW w:w="559"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fldChar w:fldCharType="begin"/>
                  </w:r>
                  <w:r>
                    <w:rPr>
                      <w:rFonts w:hint="default" w:ascii="Times New Roman" w:hAnsi="Times New Roman" w:eastAsia="宋体" w:cs="Times New Roman"/>
                      <w:snapToGrid w:val="0"/>
                      <w:color w:val="auto"/>
                      <w:sz w:val="21"/>
                      <w:szCs w:val="21"/>
                      <w:lang w:val="en-US" w:eastAsia="zh-CN"/>
                    </w:rPr>
                    <w:instrText xml:space="preserve"> = sum(C2:C7) \* MERGEFORMAT </w:instrText>
                  </w:r>
                  <w:r>
                    <w:rPr>
                      <w:rFonts w:hint="default" w:ascii="Times New Roman" w:hAnsi="Times New Roman" w:eastAsia="宋体" w:cs="Times New Roman"/>
                      <w:snapToGrid w:val="0"/>
                      <w:color w:val="auto"/>
                      <w:sz w:val="21"/>
                      <w:szCs w:val="21"/>
                      <w:lang w:val="en-US" w:eastAsia="zh-CN"/>
                    </w:rPr>
                    <w:fldChar w:fldCharType="separate"/>
                  </w:r>
                  <w:r>
                    <w:rPr>
                      <w:rFonts w:hint="default" w:ascii="Times New Roman" w:hAnsi="Times New Roman" w:eastAsia="宋体" w:cs="Times New Roman"/>
                      <w:snapToGrid w:val="0"/>
                      <w:color w:val="auto"/>
                      <w:sz w:val="21"/>
                      <w:szCs w:val="21"/>
                      <w:lang w:val="en-US" w:eastAsia="zh-CN"/>
                    </w:rPr>
                    <w:t>100.69</w:t>
                  </w:r>
                  <w:r>
                    <w:rPr>
                      <w:rFonts w:hint="default" w:ascii="Times New Roman" w:hAnsi="Times New Roman" w:eastAsia="宋体" w:cs="Times New Roman"/>
                      <w:snapToGrid w:val="0"/>
                      <w:color w:val="auto"/>
                      <w:sz w:val="21"/>
                      <w:szCs w:val="21"/>
                      <w:lang w:val="en-US" w:eastAsia="zh-CN"/>
                    </w:rPr>
                    <w:fldChar w:fldCharType="end"/>
                  </w:r>
                </w:p>
              </w:tc>
              <w:tc>
                <w:tcPr>
                  <w:tcW w:w="636"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fldChar w:fldCharType="begin"/>
                  </w:r>
                  <w:r>
                    <w:rPr>
                      <w:rFonts w:hint="default" w:ascii="Times New Roman" w:hAnsi="Times New Roman" w:eastAsia="宋体" w:cs="Times New Roman"/>
                      <w:snapToGrid w:val="0"/>
                      <w:color w:val="auto"/>
                      <w:sz w:val="21"/>
                      <w:szCs w:val="21"/>
                      <w:lang w:val="en-US" w:eastAsia="zh-CN"/>
                    </w:rPr>
                    <w:instrText xml:space="preserve"> = sum(D2:D7) \* MERGEFORMAT </w:instrText>
                  </w:r>
                  <w:r>
                    <w:rPr>
                      <w:rFonts w:hint="default" w:ascii="Times New Roman" w:hAnsi="Times New Roman" w:eastAsia="宋体" w:cs="Times New Roman"/>
                      <w:snapToGrid w:val="0"/>
                      <w:color w:val="auto"/>
                      <w:sz w:val="21"/>
                      <w:szCs w:val="21"/>
                      <w:lang w:val="en-US" w:eastAsia="zh-CN"/>
                    </w:rPr>
                    <w:fldChar w:fldCharType="separate"/>
                  </w:r>
                  <w:r>
                    <w:rPr>
                      <w:rFonts w:hint="default" w:ascii="Times New Roman" w:hAnsi="Times New Roman" w:eastAsia="宋体" w:cs="Times New Roman"/>
                      <w:snapToGrid w:val="0"/>
                      <w:color w:val="auto"/>
                      <w:sz w:val="21"/>
                      <w:szCs w:val="21"/>
                      <w:lang w:val="en-US" w:eastAsia="zh-CN"/>
                    </w:rPr>
                    <w:t>22.693</w:t>
                  </w:r>
                  <w:r>
                    <w:rPr>
                      <w:rFonts w:hint="default" w:ascii="Times New Roman" w:hAnsi="Times New Roman" w:eastAsia="宋体" w:cs="Times New Roman"/>
                      <w:snapToGrid w:val="0"/>
                      <w:color w:val="auto"/>
                      <w:sz w:val="21"/>
                      <w:szCs w:val="21"/>
                      <w:lang w:val="en-US" w:eastAsia="zh-CN"/>
                    </w:rPr>
                    <w:fldChar w:fldCharType="end"/>
                  </w:r>
                </w:p>
              </w:tc>
              <w:tc>
                <w:tcPr>
                  <w:tcW w:w="1171"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lang w:val="en-US" w:eastAsia="zh-CN"/>
                    </w:rPr>
                  </w:pPr>
                  <w:r>
                    <w:rPr>
                      <w:rFonts w:hint="eastAsia" w:cs="Times New Roman"/>
                      <w:snapToGrid w:val="0"/>
                      <w:color w:val="auto"/>
                      <w:sz w:val="21"/>
                      <w:szCs w:val="21"/>
                      <w:lang w:val="en-US" w:eastAsia="zh-CN"/>
                    </w:rPr>
                    <w:t>/</w:t>
                  </w:r>
                </w:p>
              </w:tc>
              <w:tc>
                <w:tcPr>
                  <w:tcW w:w="516"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fldChar w:fldCharType="begin"/>
                  </w:r>
                  <w:r>
                    <w:rPr>
                      <w:rFonts w:hint="default" w:ascii="Times New Roman" w:hAnsi="Times New Roman" w:eastAsia="宋体" w:cs="Times New Roman"/>
                      <w:snapToGrid w:val="0"/>
                      <w:color w:val="auto"/>
                      <w:sz w:val="21"/>
                      <w:szCs w:val="21"/>
                      <w:lang w:val="en-US" w:eastAsia="zh-CN"/>
                    </w:rPr>
                    <w:instrText xml:space="preserve"> = sum(F2:F7) \* MERGEFORMAT </w:instrText>
                  </w:r>
                  <w:r>
                    <w:rPr>
                      <w:rFonts w:hint="default" w:ascii="Times New Roman" w:hAnsi="Times New Roman" w:eastAsia="宋体" w:cs="Times New Roman"/>
                      <w:snapToGrid w:val="0"/>
                      <w:color w:val="auto"/>
                      <w:sz w:val="21"/>
                      <w:szCs w:val="21"/>
                      <w:lang w:val="en-US" w:eastAsia="zh-CN"/>
                    </w:rPr>
                    <w:fldChar w:fldCharType="separate"/>
                  </w:r>
                  <w:r>
                    <w:rPr>
                      <w:rFonts w:hint="default" w:ascii="Times New Roman" w:hAnsi="Times New Roman" w:eastAsia="宋体" w:cs="Times New Roman"/>
                      <w:snapToGrid w:val="0"/>
                      <w:color w:val="auto"/>
                      <w:sz w:val="21"/>
                      <w:szCs w:val="21"/>
                      <w:lang w:val="en-US" w:eastAsia="zh-CN"/>
                    </w:rPr>
                    <w:t>50.797</w:t>
                  </w:r>
                  <w:r>
                    <w:rPr>
                      <w:rFonts w:hint="default" w:ascii="Times New Roman" w:hAnsi="Times New Roman" w:eastAsia="宋体" w:cs="Times New Roman"/>
                      <w:snapToGrid w:val="0"/>
                      <w:color w:val="auto"/>
                      <w:sz w:val="21"/>
                      <w:szCs w:val="21"/>
                      <w:lang w:val="en-US" w:eastAsia="zh-CN"/>
                    </w:rPr>
                    <w:fldChar w:fldCharType="end"/>
                  </w:r>
                </w:p>
              </w:tc>
              <w:tc>
                <w:tcPr>
                  <w:tcW w:w="911" w:type="pct"/>
                  <w:tcBorders>
                    <w:tl2br w:val="nil"/>
                    <w:tr2bl w:val="nil"/>
                  </w:tcBorders>
                  <w:noWrap w:val="0"/>
                  <w:vAlign w:val="center"/>
                </w:tcPr>
                <w:p>
                  <w:pPr>
                    <w:shd w:val="clear"/>
                    <w:snapToGrid w:val="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cs="Times New Roman"/>
                      <w:snapToGrid w:val="0"/>
                      <w:color w:val="auto"/>
                      <w:sz w:val="21"/>
                      <w:szCs w:val="21"/>
                      <w:lang w:val="en-US" w:eastAsia="zh-CN"/>
                    </w:rPr>
                    <w:t>/</w:t>
                  </w:r>
                </w:p>
              </w:tc>
            </w:tr>
          </w:tbl>
          <w:p>
            <w:pPr>
              <w:pStyle w:val="21"/>
              <w:shd w:val="clear"/>
              <w:rPr>
                <w:color w:val="auto"/>
              </w:rPr>
            </w:pPr>
          </w:p>
          <w:p>
            <w:pPr>
              <w:pStyle w:val="21"/>
              <w:shd w:val="clear"/>
              <w:ind w:left="0" w:leftChars="0" w:firstLine="0" w:firstLineChars="0"/>
              <w:jc w:val="center"/>
              <w:rPr>
                <w:color w:val="auto"/>
              </w:rPr>
            </w:pPr>
            <w:r>
              <w:rPr>
                <w:color w:val="auto"/>
              </w:rPr>
              <w:drawing>
                <wp:inline distT="0" distB="0" distL="114300" distR="114300">
                  <wp:extent cx="5363845" cy="3545205"/>
                  <wp:effectExtent l="0" t="0" r="635" b="571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13"/>
                          <a:stretch>
                            <a:fillRect/>
                          </a:stretch>
                        </pic:blipFill>
                        <pic:spPr>
                          <a:xfrm>
                            <a:off x="0" y="0"/>
                            <a:ext cx="5363845" cy="3545205"/>
                          </a:xfrm>
                          <a:prstGeom prst="rect">
                            <a:avLst/>
                          </a:prstGeom>
                          <a:noFill/>
                          <a:ln>
                            <a:noFill/>
                          </a:ln>
                        </pic:spPr>
                      </pic:pic>
                    </a:graphicData>
                  </a:graphic>
                </wp:inline>
              </w:drawing>
            </w:r>
          </w:p>
          <w:p>
            <w:pPr>
              <w:pStyle w:val="41"/>
              <w:shd w:val="clear"/>
              <w:spacing w:beforeLines="0" w:afterLines="0" w:line="360" w:lineRule="auto"/>
              <w:ind w:firstLine="0" w:firstLineChars="0"/>
              <w:jc w:val="center"/>
              <w:rPr>
                <w:b/>
                <w:bCs/>
                <w:color w:val="auto"/>
                <w:sz w:val="24"/>
                <w:szCs w:val="24"/>
              </w:rPr>
            </w:pPr>
            <w:r>
              <w:rPr>
                <w:b/>
                <w:color w:val="auto"/>
                <w:sz w:val="24"/>
                <w:szCs w:val="24"/>
              </w:rPr>
              <w:t>图2-</w:t>
            </w:r>
            <w:r>
              <w:rPr>
                <w:rFonts w:hint="eastAsia"/>
                <w:b/>
                <w:color w:val="auto"/>
                <w:sz w:val="24"/>
                <w:szCs w:val="24"/>
              </w:rPr>
              <w:t>1</w:t>
            </w:r>
            <w:r>
              <w:rPr>
                <w:b/>
                <w:color w:val="auto"/>
                <w:sz w:val="24"/>
                <w:szCs w:val="24"/>
              </w:rPr>
              <w:t xml:space="preserve"> </w:t>
            </w:r>
            <w:r>
              <w:rPr>
                <w:rFonts w:hint="eastAsia"/>
                <w:b/>
                <w:color w:val="auto"/>
                <w:sz w:val="24"/>
                <w:szCs w:val="24"/>
              </w:rPr>
              <w:t xml:space="preserve"> </w:t>
            </w:r>
            <w:r>
              <w:rPr>
                <w:b/>
                <w:color w:val="auto"/>
                <w:sz w:val="24"/>
                <w:szCs w:val="24"/>
              </w:rPr>
              <w:t>项目水量平衡图  单位：t/d</w:t>
            </w:r>
          </w:p>
          <w:p>
            <w:pPr>
              <w:pStyle w:val="12"/>
              <w:shd w:val="clear"/>
              <w:adjustRightInd w:val="0"/>
              <w:snapToGrid w:val="0"/>
              <w:spacing w:after="0" w:line="360" w:lineRule="auto"/>
              <w:ind w:left="0" w:leftChars="0" w:firstLine="480" w:firstLineChars="200"/>
              <w:rPr>
                <w:color w:val="auto"/>
              </w:rPr>
            </w:pPr>
            <w:r>
              <w:rPr>
                <w:rFonts w:hint="eastAsia"/>
                <w:color w:val="auto"/>
              </w:rPr>
              <w:t>（3）</w:t>
            </w:r>
            <w:r>
              <w:rPr>
                <w:color w:val="auto"/>
              </w:rPr>
              <w:t>供</w:t>
            </w:r>
            <w:r>
              <w:rPr>
                <w:rFonts w:hint="eastAsia"/>
                <w:color w:val="auto"/>
              </w:rPr>
              <w:t>热</w:t>
            </w:r>
          </w:p>
          <w:p>
            <w:pPr>
              <w:pStyle w:val="12"/>
              <w:keepNext w:val="0"/>
              <w:keepLines w:val="0"/>
              <w:pageBreakBefore w:val="0"/>
              <w:widowControl w:val="0"/>
              <w:shd w:val="clear"/>
              <w:kinsoku/>
              <w:wordWrap/>
              <w:overflowPunct/>
              <w:topLinePunct w:val="0"/>
              <w:autoSpaceDE/>
              <w:autoSpaceDN/>
              <w:bidi w:val="0"/>
              <w:adjustRightInd w:val="0"/>
              <w:snapToGrid w:val="0"/>
              <w:spacing w:after="0" w:line="360" w:lineRule="auto"/>
              <w:ind w:left="0" w:leftChars="0" w:firstLine="480" w:firstLineChars="200"/>
              <w:textAlignment w:val="auto"/>
              <w:rPr>
                <w:rFonts w:hint="eastAsia"/>
                <w:color w:val="auto"/>
                <w:szCs w:val="21"/>
              </w:rPr>
            </w:pPr>
            <w:r>
              <w:rPr>
                <w:rFonts w:hint="eastAsia"/>
                <w:color w:val="auto"/>
              </w:rPr>
              <w:t>本项目</w:t>
            </w:r>
            <w:r>
              <w:rPr>
                <w:rFonts w:hint="eastAsia"/>
                <w:color w:val="auto"/>
                <w:lang w:val="en-US" w:eastAsia="zh-CN"/>
              </w:rPr>
              <w:t>冬季不生产，</w:t>
            </w:r>
            <w:r>
              <w:rPr>
                <w:rFonts w:hint="eastAsia"/>
                <w:color w:val="auto"/>
              </w:rPr>
              <w:t>生产供气由</w:t>
            </w:r>
            <w:r>
              <w:rPr>
                <w:rFonts w:hint="eastAsia"/>
                <w:color w:val="auto"/>
                <w:lang w:val="en-US" w:eastAsia="zh-CN"/>
              </w:rPr>
              <w:t>1</w:t>
            </w:r>
            <w:r>
              <w:rPr>
                <w:rFonts w:hint="eastAsia"/>
                <w:color w:val="auto"/>
                <w:szCs w:val="21"/>
              </w:rPr>
              <w:t>台</w:t>
            </w:r>
            <w:r>
              <w:rPr>
                <w:rFonts w:hint="eastAsia"/>
                <w:color w:val="auto"/>
                <w:szCs w:val="21"/>
                <w:lang w:val="en-US" w:eastAsia="zh-CN"/>
              </w:rPr>
              <w:t>4</w:t>
            </w:r>
            <w:r>
              <w:rPr>
                <w:rFonts w:hint="eastAsia"/>
                <w:color w:val="auto"/>
                <w:szCs w:val="21"/>
              </w:rPr>
              <w:t>t/h</w:t>
            </w:r>
            <w:r>
              <w:rPr>
                <w:color w:val="auto"/>
                <w:szCs w:val="21"/>
              </w:rPr>
              <w:t>燃生物质</w:t>
            </w:r>
            <w:r>
              <w:rPr>
                <w:rFonts w:hint="eastAsia"/>
                <w:color w:val="auto"/>
                <w:szCs w:val="21"/>
              </w:rPr>
              <w:t>蒸汽</w:t>
            </w:r>
            <w:r>
              <w:rPr>
                <w:color w:val="auto"/>
                <w:szCs w:val="21"/>
              </w:rPr>
              <w:t>锅炉</w:t>
            </w:r>
            <w:r>
              <w:rPr>
                <w:rFonts w:hint="eastAsia"/>
                <w:color w:val="auto"/>
                <w:szCs w:val="21"/>
              </w:rPr>
              <w:t>提供，年燃烧生物质</w:t>
            </w:r>
            <w:r>
              <w:rPr>
                <w:rFonts w:hint="eastAsia"/>
                <w:color w:val="auto"/>
                <w:szCs w:val="21"/>
                <w:lang w:val="en-US" w:eastAsia="zh-CN"/>
              </w:rPr>
              <w:t>颗粒</w:t>
            </w:r>
            <w:r>
              <w:rPr>
                <w:rFonts w:hint="eastAsia"/>
                <w:color w:val="auto"/>
                <w:szCs w:val="21"/>
              </w:rPr>
              <w:t>量为</w:t>
            </w:r>
            <w:r>
              <w:rPr>
                <w:rFonts w:hint="eastAsia"/>
                <w:color w:val="auto"/>
                <w:szCs w:val="21"/>
                <w:lang w:val="en-US" w:eastAsia="zh-CN"/>
              </w:rPr>
              <w:t>722.4</w:t>
            </w:r>
            <w:r>
              <w:rPr>
                <w:rFonts w:hint="eastAsia"/>
                <w:color w:val="auto"/>
                <w:szCs w:val="21"/>
              </w:rPr>
              <w:t>吨。</w:t>
            </w:r>
          </w:p>
          <w:p>
            <w:pPr>
              <w:pStyle w:val="12"/>
              <w:keepNext w:val="0"/>
              <w:keepLines w:val="0"/>
              <w:pageBreakBefore w:val="0"/>
              <w:widowControl w:val="0"/>
              <w:shd w:val="clear"/>
              <w:kinsoku/>
              <w:wordWrap/>
              <w:overflowPunct/>
              <w:topLinePunct w:val="0"/>
              <w:autoSpaceDE/>
              <w:autoSpaceDN/>
              <w:bidi w:val="0"/>
              <w:adjustRightInd w:val="0"/>
              <w:snapToGrid w:val="0"/>
              <w:spacing w:after="0" w:line="360" w:lineRule="auto"/>
              <w:ind w:left="0" w:leftChars="0" w:firstLine="480" w:firstLineChars="200"/>
              <w:textAlignment w:val="auto"/>
              <w:rPr>
                <w:rFonts w:hint="eastAsia" w:eastAsia="宋体"/>
                <w:color w:val="auto"/>
                <w:szCs w:val="21"/>
                <w:lang w:eastAsia="zh-CN"/>
              </w:rPr>
            </w:pPr>
            <w:r>
              <w:rPr>
                <w:rFonts w:hint="eastAsia"/>
                <w:color w:val="auto"/>
                <w:szCs w:val="21"/>
                <w:lang w:val="en-US" w:eastAsia="zh-CN"/>
              </w:rPr>
              <w:t>生物质</w:t>
            </w:r>
            <w:r>
              <w:rPr>
                <w:rFonts w:hint="eastAsia"/>
                <w:color w:val="auto"/>
                <w:szCs w:val="21"/>
              </w:rPr>
              <w:t>锅炉用量计算</w:t>
            </w:r>
            <w:r>
              <w:rPr>
                <w:rFonts w:hint="eastAsia"/>
                <w:color w:val="auto"/>
                <w:szCs w:val="21"/>
                <w:lang w:eastAsia="zh-CN"/>
              </w:rPr>
              <w:t>：</w:t>
            </w:r>
          </w:p>
          <w:p>
            <w:pPr>
              <w:pStyle w:val="12"/>
              <w:keepNext w:val="0"/>
              <w:keepLines w:val="0"/>
              <w:pageBreakBefore w:val="0"/>
              <w:widowControl w:val="0"/>
              <w:shd w:val="clear"/>
              <w:kinsoku/>
              <w:wordWrap/>
              <w:overflowPunct/>
              <w:topLinePunct w:val="0"/>
              <w:autoSpaceDE/>
              <w:autoSpaceDN/>
              <w:bidi w:val="0"/>
              <w:adjustRightInd w:val="0"/>
              <w:snapToGrid w:val="0"/>
              <w:spacing w:after="0" w:line="360" w:lineRule="auto"/>
              <w:ind w:left="0" w:leftChars="0" w:firstLine="480" w:firstLineChars="200"/>
              <w:textAlignment w:val="auto"/>
              <w:rPr>
                <w:rFonts w:hint="eastAsia"/>
                <w:color w:val="auto"/>
                <w:szCs w:val="21"/>
              </w:rPr>
            </w:pPr>
            <w:r>
              <w:rPr>
                <w:rFonts w:hint="eastAsia"/>
                <w:color w:val="auto"/>
                <w:szCs w:val="21"/>
              </w:rPr>
              <w:t>玉米蒸制采用</w:t>
            </w:r>
            <w:r>
              <w:rPr>
                <w:rFonts w:hint="eastAsia"/>
                <w:color w:val="auto"/>
                <w:szCs w:val="21"/>
                <w:lang w:val="en-US" w:eastAsia="zh-CN"/>
              </w:rPr>
              <w:t>1</w:t>
            </w:r>
            <w:r>
              <w:rPr>
                <w:rFonts w:hint="eastAsia"/>
                <w:color w:val="auto"/>
                <w:szCs w:val="21"/>
              </w:rPr>
              <w:t>台</w:t>
            </w:r>
            <w:r>
              <w:rPr>
                <w:rFonts w:hint="eastAsia"/>
                <w:color w:val="auto"/>
                <w:szCs w:val="21"/>
                <w:lang w:val="en-US" w:eastAsia="zh-CN"/>
              </w:rPr>
              <w:t>4t/h生物质蒸汽</w:t>
            </w:r>
            <w:r>
              <w:rPr>
                <w:rFonts w:hint="eastAsia"/>
                <w:color w:val="auto"/>
                <w:szCs w:val="21"/>
              </w:rPr>
              <w:t>锅炉提供蒸汽，根据企业提供资料。蒸制工序所需蒸汽量为</w:t>
            </w:r>
            <w:r>
              <w:rPr>
                <w:rFonts w:hint="eastAsia"/>
                <w:color w:val="auto"/>
                <w:szCs w:val="21"/>
                <w:lang w:val="en-US" w:eastAsia="zh-CN"/>
              </w:rPr>
              <w:t>4</w:t>
            </w:r>
            <w:r>
              <w:rPr>
                <w:rFonts w:hint="eastAsia"/>
                <w:color w:val="auto"/>
                <w:szCs w:val="21"/>
              </w:rPr>
              <w:t>t/h，本项目年运行</w:t>
            </w:r>
            <w:r>
              <w:rPr>
                <w:rFonts w:hint="eastAsia"/>
                <w:color w:val="auto"/>
                <w:szCs w:val="21"/>
                <w:lang w:val="en-US" w:eastAsia="zh-CN"/>
              </w:rPr>
              <w:t>90</w:t>
            </w:r>
            <w:r>
              <w:rPr>
                <w:rFonts w:hint="eastAsia"/>
                <w:color w:val="auto"/>
                <w:szCs w:val="21"/>
              </w:rPr>
              <w:t>d，蒸制工序每天运行</w:t>
            </w:r>
            <w:r>
              <w:rPr>
                <w:rFonts w:hint="eastAsia"/>
                <w:color w:val="auto"/>
                <w:szCs w:val="21"/>
                <w:lang w:val="en-US" w:eastAsia="zh-CN"/>
              </w:rPr>
              <w:t>10</w:t>
            </w:r>
            <w:r>
              <w:rPr>
                <w:rFonts w:hint="eastAsia"/>
                <w:color w:val="auto"/>
                <w:szCs w:val="21"/>
              </w:rPr>
              <w:t>h，则本项目年用蒸汽</w:t>
            </w:r>
            <w:r>
              <w:rPr>
                <w:rFonts w:hint="eastAsia"/>
                <w:color w:val="auto"/>
                <w:szCs w:val="21"/>
                <w:lang w:val="en-US" w:eastAsia="zh-CN"/>
              </w:rPr>
              <w:t>3600</w:t>
            </w:r>
            <w:r>
              <w:rPr>
                <w:rFonts w:hint="eastAsia"/>
                <w:color w:val="auto"/>
                <w:szCs w:val="21"/>
              </w:rPr>
              <w:t>t，根据水的物理性质，1kg水汽化需要热量2260千焦，需要热量为</w:t>
            </w:r>
            <w:r>
              <w:rPr>
                <w:rFonts w:hint="eastAsia"/>
                <w:color w:val="auto"/>
                <w:szCs w:val="21"/>
                <w:lang w:val="en-US" w:eastAsia="zh-CN"/>
              </w:rPr>
              <w:t>8.136</w:t>
            </w:r>
            <w:r>
              <w:rPr>
                <w:rFonts w:hint="eastAsia"/>
                <w:color w:val="auto"/>
                <w:szCs w:val="21"/>
              </w:rPr>
              <w:t>×10</w:t>
            </w:r>
            <w:r>
              <w:rPr>
                <w:rFonts w:hint="eastAsia"/>
                <w:color w:val="auto"/>
                <w:szCs w:val="21"/>
                <w:vertAlign w:val="superscript"/>
              </w:rPr>
              <w:t>9</w:t>
            </w:r>
            <w:r>
              <w:rPr>
                <w:rFonts w:hint="eastAsia"/>
                <w:color w:val="auto"/>
                <w:szCs w:val="21"/>
              </w:rPr>
              <w:t>千焦，本项目选用</w:t>
            </w:r>
            <w:r>
              <w:rPr>
                <w:rFonts w:hint="eastAsia"/>
                <w:color w:val="auto"/>
                <w:szCs w:val="21"/>
                <w:lang w:val="en-US" w:eastAsia="zh-CN"/>
              </w:rPr>
              <w:t>生物质</w:t>
            </w:r>
            <w:r>
              <w:rPr>
                <w:rFonts w:hint="eastAsia"/>
                <w:color w:val="auto"/>
                <w:szCs w:val="21"/>
              </w:rPr>
              <w:t>低位热值为</w:t>
            </w:r>
            <w:r>
              <w:rPr>
                <w:rFonts w:hint="eastAsia"/>
                <w:color w:val="auto"/>
                <w:sz w:val="24"/>
              </w:rPr>
              <w:t>13.249MJ/kg</w:t>
            </w:r>
            <w:r>
              <w:rPr>
                <w:rFonts w:hint="eastAsia"/>
                <w:color w:val="auto"/>
                <w:szCs w:val="21"/>
              </w:rPr>
              <w:t>，锅炉热效率</w:t>
            </w:r>
            <w:r>
              <w:rPr>
                <w:rFonts w:hint="eastAsia"/>
                <w:color w:val="auto"/>
                <w:szCs w:val="21"/>
                <w:lang w:val="en-US" w:eastAsia="zh-CN"/>
              </w:rPr>
              <w:t>85</w:t>
            </w:r>
            <w:r>
              <w:rPr>
                <w:rFonts w:hint="eastAsia"/>
                <w:color w:val="auto"/>
                <w:szCs w:val="21"/>
              </w:rPr>
              <w:t>%，通过热值平衡折算，</w:t>
            </w:r>
            <w:r>
              <w:rPr>
                <w:rFonts w:hint="eastAsia" w:ascii="Times New Roman" w:eastAsia="宋体"/>
                <w:color w:val="auto"/>
                <w:szCs w:val="21"/>
                <w:lang w:val="en-US" w:eastAsia="zh-CN"/>
              </w:rPr>
              <w:t>生物质</w:t>
            </w:r>
            <w:r>
              <w:rPr>
                <w:rFonts w:hint="eastAsia"/>
                <w:color w:val="auto"/>
                <w:szCs w:val="21"/>
              </w:rPr>
              <w:t>燃料使用量为</w:t>
            </w:r>
            <w:r>
              <w:rPr>
                <w:rFonts w:hint="eastAsia"/>
                <w:color w:val="auto"/>
                <w:szCs w:val="21"/>
                <w:lang w:val="en-US" w:eastAsia="zh-CN"/>
              </w:rPr>
              <w:t>722.4</w:t>
            </w:r>
            <w:r>
              <w:rPr>
                <w:rFonts w:hint="eastAsia"/>
                <w:color w:val="auto"/>
                <w:szCs w:val="21"/>
              </w:rPr>
              <w:t>t/a</w:t>
            </w:r>
            <w:r>
              <w:rPr>
                <w:rFonts w:hint="eastAsia"/>
                <w:color w:val="auto"/>
                <w:szCs w:val="21"/>
                <w:lang w:eastAsia="zh-CN"/>
              </w:rPr>
              <w:t>，</w:t>
            </w:r>
            <w:r>
              <w:rPr>
                <w:rFonts w:hint="eastAsia"/>
                <w:color w:val="auto"/>
                <w:szCs w:val="21"/>
                <w:lang w:val="en-US" w:eastAsia="zh-CN"/>
              </w:rPr>
              <w:t>小时最大燃料量0.8t/h</w:t>
            </w:r>
            <w:r>
              <w:rPr>
                <w:rFonts w:hint="eastAsia"/>
                <w:color w:val="auto"/>
                <w:szCs w:val="21"/>
              </w:rPr>
              <w:t>。</w:t>
            </w:r>
          </w:p>
          <w:p>
            <w:pPr>
              <w:pStyle w:val="12"/>
              <w:keepNext w:val="0"/>
              <w:keepLines w:val="0"/>
              <w:pageBreakBefore w:val="0"/>
              <w:widowControl w:val="0"/>
              <w:shd w:val="clear"/>
              <w:kinsoku/>
              <w:wordWrap/>
              <w:overflowPunct/>
              <w:topLinePunct w:val="0"/>
              <w:autoSpaceDE/>
              <w:autoSpaceDN/>
              <w:bidi w:val="0"/>
              <w:adjustRightInd w:val="0"/>
              <w:snapToGrid w:val="0"/>
              <w:spacing w:after="0" w:line="360" w:lineRule="auto"/>
              <w:ind w:left="0" w:leftChars="0" w:firstLine="480" w:firstLineChars="200"/>
              <w:textAlignment w:val="auto"/>
              <w:rPr>
                <w:rFonts w:hint="eastAsia" w:ascii="Times New Roman" w:hAnsi="Times New Roman" w:eastAsia="宋体" w:cs="Times New Roman"/>
                <w:color w:val="auto"/>
                <w:szCs w:val="21"/>
              </w:rPr>
            </w:pPr>
            <w:r>
              <w:rPr>
                <w:rFonts w:hint="eastAsia"/>
                <w:color w:val="auto"/>
              </w:rPr>
              <w:t>（4）</w:t>
            </w:r>
            <w:r>
              <w:rPr>
                <w:color w:val="auto"/>
              </w:rPr>
              <w:t>供</w:t>
            </w:r>
            <w:r>
              <w:rPr>
                <w:rFonts w:hint="eastAsia" w:ascii="Times New Roman" w:hAnsi="Times New Roman" w:eastAsia="宋体" w:cs="Times New Roman"/>
                <w:color w:val="auto"/>
                <w:szCs w:val="21"/>
              </w:rPr>
              <w:t>电</w:t>
            </w:r>
          </w:p>
          <w:p>
            <w:pPr>
              <w:pStyle w:val="12"/>
              <w:keepNext w:val="0"/>
              <w:keepLines w:val="0"/>
              <w:pageBreakBefore w:val="0"/>
              <w:widowControl w:val="0"/>
              <w:shd w:val="clear"/>
              <w:kinsoku/>
              <w:wordWrap/>
              <w:overflowPunct/>
              <w:topLinePunct w:val="0"/>
              <w:autoSpaceDE/>
              <w:autoSpaceDN/>
              <w:bidi w:val="0"/>
              <w:adjustRightInd w:val="0"/>
              <w:snapToGrid w:val="0"/>
              <w:spacing w:after="0" w:line="360" w:lineRule="auto"/>
              <w:ind w:left="0" w:leftChars="0" w:firstLine="480" w:firstLineChars="200"/>
              <w:textAlignment w:val="auto"/>
              <w:rPr>
                <w:color w:val="auto"/>
                <w:szCs w:val="21"/>
              </w:rPr>
            </w:pPr>
            <w:r>
              <w:rPr>
                <w:rFonts w:hint="eastAsia" w:ascii="Times New Roman" w:hAnsi="Times New Roman" w:eastAsia="宋体" w:cs="Times New Roman"/>
                <w:color w:val="auto"/>
                <w:szCs w:val="21"/>
              </w:rPr>
              <w:t>本项目用电</w:t>
            </w:r>
            <w:r>
              <w:rPr>
                <w:rFonts w:hint="eastAsia"/>
                <w:color w:val="auto"/>
              </w:rPr>
              <w:t>由海伦市电业局统一供给，年用电量</w:t>
            </w:r>
            <w:r>
              <w:rPr>
                <w:rFonts w:hint="eastAsia"/>
                <w:color w:val="auto"/>
                <w:szCs w:val="24"/>
              </w:rPr>
              <w:t>约</w:t>
            </w:r>
            <w:r>
              <w:rPr>
                <w:rFonts w:hint="eastAsia"/>
                <w:color w:val="auto"/>
                <w:szCs w:val="24"/>
                <w:lang w:val="en-US" w:eastAsia="zh-CN"/>
              </w:rPr>
              <w:t>60</w:t>
            </w:r>
            <w:r>
              <w:rPr>
                <w:rFonts w:hint="eastAsia"/>
                <w:color w:val="auto"/>
                <w:szCs w:val="24"/>
              </w:rPr>
              <w:t>万kW</w:t>
            </w:r>
            <w:r>
              <w:rPr>
                <w:color w:val="auto"/>
                <w:szCs w:val="24"/>
              </w:rPr>
              <w:t>·</w:t>
            </w:r>
            <w:r>
              <w:rPr>
                <w:rFonts w:hint="eastAsia"/>
                <w:color w:val="auto"/>
                <w:szCs w:val="24"/>
              </w:rPr>
              <w:t>h</w:t>
            </w:r>
            <w:r>
              <w:rPr>
                <w:rFonts w:hint="eastAsia"/>
                <w:color w:val="auto"/>
                <w:szCs w:val="21"/>
              </w:rPr>
              <w:t>。</w:t>
            </w:r>
          </w:p>
          <w:p>
            <w:pPr>
              <w:pStyle w:val="12"/>
              <w:shd w:val="clear"/>
              <w:adjustRightInd w:val="0"/>
              <w:snapToGrid w:val="0"/>
              <w:spacing w:after="0" w:line="360" w:lineRule="auto"/>
              <w:ind w:left="0" w:leftChars="0" w:firstLine="482" w:firstLineChars="200"/>
              <w:rPr>
                <w:b/>
                <w:bCs/>
                <w:color w:val="auto"/>
              </w:rPr>
            </w:pPr>
            <w:r>
              <w:rPr>
                <w:rFonts w:hint="eastAsia"/>
                <w:b/>
                <w:bCs/>
                <w:color w:val="auto"/>
              </w:rPr>
              <w:t>6.厂区平面布置</w:t>
            </w:r>
          </w:p>
          <w:p>
            <w:pPr>
              <w:shd w:val="clear"/>
              <w:adjustRightInd w:val="0"/>
              <w:snapToGrid w:val="0"/>
              <w:spacing w:line="360" w:lineRule="auto"/>
              <w:ind w:firstLine="480" w:firstLineChars="200"/>
              <w:rPr>
                <w:rFonts w:hint="default" w:ascii="Times New Roman" w:hAnsi="Times New Roman" w:eastAsia="宋体" w:cs="Times New Roman"/>
                <w:b w:val="0"/>
                <w:bCs/>
                <w:color w:val="auto"/>
                <w:sz w:val="24"/>
                <w:highlight w:val="yellow"/>
                <w:lang w:val="en-US" w:eastAsia="zh-CN"/>
              </w:rPr>
            </w:pPr>
            <w:r>
              <w:rPr>
                <w:rFonts w:hint="default" w:ascii="Times New Roman" w:hAnsi="Times New Roman" w:eastAsia="宋体" w:cs="Times New Roman"/>
                <w:b w:val="0"/>
                <w:bCs/>
                <w:color w:val="auto"/>
                <w:sz w:val="24"/>
                <w:highlight w:val="none"/>
                <w:lang w:val="en-US" w:eastAsia="zh-CN"/>
              </w:rPr>
              <w:t>本项目</w:t>
            </w:r>
            <w:r>
              <w:rPr>
                <w:rFonts w:hint="eastAsia" w:cs="Times New Roman"/>
                <w:b w:val="0"/>
                <w:bCs/>
                <w:color w:val="auto"/>
                <w:sz w:val="24"/>
                <w:highlight w:val="none"/>
                <w:lang w:val="en-US" w:eastAsia="zh-CN"/>
              </w:rPr>
              <w:t>消防泵房位于厂区西北角</w:t>
            </w:r>
            <w:r>
              <w:rPr>
                <w:rFonts w:hint="default" w:ascii="Times New Roman" w:hAnsi="Times New Roman" w:cs="Times New Roman"/>
                <w:b w:val="0"/>
                <w:bCs/>
                <w:color w:val="auto"/>
                <w:sz w:val="24"/>
                <w:highlight w:val="none"/>
                <w:lang w:val="en-US" w:eastAsia="zh-CN"/>
              </w:rPr>
              <w:t>、</w:t>
            </w:r>
            <w:r>
              <w:rPr>
                <w:rFonts w:hint="eastAsia" w:cs="Times New Roman"/>
                <w:b w:val="0"/>
                <w:bCs/>
                <w:color w:val="auto"/>
                <w:sz w:val="24"/>
                <w:highlight w:val="none"/>
                <w:lang w:val="en-US" w:eastAsia="zh-CN"/>
              </w:rPr>
              <w:t>东北侧为生产车间，员工食堂、化验室、锅炉房、等位于成产车间南侧，消防水池与生产车间之间为成品仓库，办公区位于生产厂房南侧夹层，</w:t>
            </w:r>
            <w:r>
              <w:rPr>
                <w:rFonts w:hint="default" w:ascii="Times New Roman" w:hAnsi="Times New Roman" w:eastAsia="宋体" w:cs="Times New Roman"/>
                <w:b w:val="0"/>
                <w:bCs/>
                <w:color w:val="auto"/>
                <w:sz w:val="24"/>
                <w:highlight w:val="none"/>
                <w:lang w:val="en-US" w:eastAsia="zh-CN"/>
              </w:rPr>
              <w:t>厂区平面布置图</w:t>
            </w:r>
            <w:r>
              <w:rPr>
                <w:rFonts w:hint="default" w:ascii="Times New Roman" w:hAnsi="Times New Roman" w:eastAsia="宋体" w:cs="Times New Roman"/>
                <w:b w:val="0"/>
                <w:bCs/>
                <w:color w:val="auto"/>
                <w:sz w:val="24"/>
                <w:highlight w:val="none"/>
                <w:shd w:val="clear"/>
                <w:lang w:val="en-US" w:eastAsia="zh-CN"/>
              </w:rPr>
              <w:t>见附图</w:t>
            </w:r>
            <w:r>
              <w:rPr>
                <w:rFonts w:hint="default" w:ascii="Times New Roman" w:hAnsi="Times New Roman" w:cs="Times New Roman"/>
                <w:b w:val="0"/>
                <w:bCs/>
                <w:color w:val="auto"/>
                <w:sz w:val="24"/>
                <w:highlight w:val="none"/>
                <w:shd w:val="clear"/>
                <w:lang w:val="en-US" w:eastAsia="zh-CN"/>
              </w:rPr>
              <w:t>2</w:t>
            </w:r>
            <w:r>
              <w:rPr>
                <w:rFonts w:hint="default" w:ascii="Times New Roman" w:hAnsi="Times New Roman" w:eastAsia="宋体" w:cs="Times New Roman"/>
                <w:b w:val="0"/>
                <w:bCs/>
                <w:color w:val="auto"/>
                <w:sz w:val="24"/>
                <w:highlight w:val="none"/>
                <w:lang w:val="en-US" w:eastAsia="zh-CN"/>
              </w:rPr>
              <w:t>。综上所述，本项目总图布置按照不同功能，合理分区布置，布置紧凑，节约用地，便于管理，同时满足工艺要求，平面布置基本合理。</w:t>
            </w:r>
          </w:p>
          <w:p>
            <w:pPr>
              <w:pStyle w:val="12"/>
              <w:shd w:val="clear"/>
              <w:adjustRightInd w:val="0"/>
              <w:snapToGrid w:val="0"/>
              <w:spacing w:after="0" w:line="360" w:lineRule="auto"/>
              <w:ind w:left="0" w:leftChars="0" w:firstLine="482" w:firstLineChars="200"/>
              <w:rPr>
                <w:b/>
                <w:bCs/>
                <w:color w:val="auto"/>
              </w:rPr>
            </w:pPr>
            <w:r>
              <w:rPr>
                <w:rFonts w:hint="eastAsia"/>
                <w:b/>
                <w:bCs/>
                <w:color w:val="auto"/>
              </w:rPr>
              <w:t>7.环保投资</w:t>
            </w:r>
          </w:p>
          <w:p>
            <w:pPr>
              <w:shd w:val="clear"/>
              <w:spacing w:line="360" w:lineRule="auto"/>
              <w:ind w:firstLine="470" w:firstLineChars="196"/>
              <w:rPr>
                <w:rFonts w:cstheme="minorBidi"/>
                <w:color w:val="auto"/>
                <w:sz w:val="24"/>
              </w:rPr>
            </w:pPr>
            <w:r>
              <w:rPr>
                <w:rFonts w:cstheme="minorBidi"/>
                <w:color w:val="auto"/>
                <w:sz w:val="24"/>
              </w:rPr>
              <w:t>本项目环保投资具体情况参见下表2-6。</w:t>
            </w:r>
          </w:p>
          <w:p>
            <w:pPr>
              <w:shd w:val="clear"/>
              <w:jc w:val="center"/>
              <w:rPr>
                <w:b/>
                <w:color w:val="auto"/>
                <w:sz w:val="24"/>
                <w:szCs w:val="24"/>
              </w:rPr>
            </w:pPr>
            <w:r>
              <w:rPr>
                <w:b/>
                <w:color w:val="auto"/>
                <w:sz w:val="24"/>
                <w:szCs w:val="24"/>
              </w:rPr>
              <w:t>表2-6</w:t>
            </w:r>
            <w:r>
              <w:rPr>
                <w:rFonts w:hint="eastAsia"/>
                <w:b/>
                <w:color w:val="auto"/>
                <w:sz w:val="24"/>
                <w:szCs w:val="24"/>
              </w:rPr>
              <w:t xml:space="preserve"> </w:t>
            </w:r>
            <w:r>
              <w:rPr>
                <w:b/>
                <w:color w:val="auto"/>
                <w:sz w:val="24"/>
                <w:szCs w:val="24"/>
              </w:rPr>
              <w:t xml:space="preserve"> 环保投资一览表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1"/>
              <w:gridCol w:w="1804"/>
              <w:gridCol w:w="4124"/>
              <w:gridCol w:w="10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23" w:hRule="atLeast"/>
                <w:jc w:val="center"/>
              </w:trPr>
              <w:tc>
                <w:tcPr>
                  <w:tcW w:w="875"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b w:val="0"/>
                      <w:bCs/>
                      <w:color w:val="auto"/>
                      <w:szCs w:val="21"/>
                    </w:rPr>
                    <w:t>类别</w:t>
                  </w:r>
                </w:p>
              </w:tc>
              <w:tc>
                <w:tcPr>
                  <w:tcW w:w="1072"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治理对象</w:t>
                  </w:r>
                </w:p>
              </w:tc>
              <w:tc>
                <w:tcPr>
                  <w:tcW w:w="245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b w:val="0"/>
                      <w:bCs/>
                      <w:color w:val="auto"/>
                      <w:szCs w:val="21"/>
                    </w:rPr>
                    <w:t>防治措施</w:t>
                  </w:r>
                </w:p>
              </w:tc>
              <w:tc>
                <w:tcPr>
                  <w:tcW w:w="60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zCs w:val="21"/>
                    </w:rPr>
                  </w:pPr>
                  <w:r>
                    <w:rPr>
                      <w:rFonts w:ascii="Times New Roman" w:hAnsi="Times New Roman" w:eastAsia="宋体" w:cs="Times New Roman"/>
                      <w:b w:val="0"/>
                      <w:bCs/>
                      <w:color w:val="auto"/>
                      <w:szCs w:val="21"/>
                    </w:rPr>
                    <w:t>投资</w:t>
                  </w:r>
                </w:p>
                <w:p>
                  <w:pPr>
                    <w:keepNext w:val="0"/>
                    <w:keepLines w:val="0"/>
                    <w:pageBreakBefore w:val="0"/>
                    <w:widowControl w:val="0"/>
                    <w:shd w:val="clear"/>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zCs w:val="21"/>
                    </w:rPr>
                  </w:pPr>
                  <w:r>
                    <w:rPr>
                      <w:rFonts w:ascii="Times New Roman" w:hAnsi="Times New Roman" w:eastAsia="宋体" w:cs="Times New Roman"/>
                      <w:b w:val="0"/>
                      <w:bCs/>
                      <w:color w:val="auto"/>
                      <w:szCs w:val="21"/>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5"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left="-84" w:leftChars="-40" w:right="-84" w:rightChars="-40"/>
                    <w:jc w:val="center"/>
                    <w:textAlignment w:val="auto"/>
                    <w:rPr>
                      <w:b w:val="0"/>
                      <w:bCs/>
                      <w:color w:val="auto"/>
                      <w:szCs w:val="21"/>
                    </w:rPr>
                  </w:pPr>
                  <w:r>
                    <w:rPr>
                      <w:b w:val="0"/>
                      <w:bCs/>
                      <w:color w:val="auto"/>
                      <w:szCs w:val="21"/>
                    </w:rPr>
                    <w:t>水污染治理</w:t>
                  </w:r>
                </w:p>
              </w:tc>
              <w:tc>
                <w:tcPr>
                  <w:tcW w:w="1072"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废水</w:t>
                  </w:r>
                </w:p>
              </w:tc>
              <w:tc>
                <w:tcPr>
                  <w:tcW w:w="245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left"/>
                    <w:textAlignment w:val="auto"/>
                    <w:rPr>
                      <w:rFonts w:hint="default" w:eastAsia="宋体"/>
                      <w:b w:val="0"/>
                      <w:bCs/>
                      <w:color w:val="auto"/>
                      <w:szCs w:val="21"/>
                      <w:lang w:val="en-US" w:eastAsia="zh-CN"/>
                    </w:rPr>
                  </w:pPr>
                  <w:r>
                    <w:rPr>
                      <w:rFonts w:hint="eastAsia"/>
                      <w:b w:val="0"/>
                      <w:bCs/>
                      <w:color w:val="auto"/>
                      <w:szCs w:val="21"/>
                      <w:lang w:val="en-US" w:eastAsia="zh-CN"/>
                    </w:rPr>
                    <w:t>6</w:t>
                  </w:r>
                  <w:r>
                    <w:rPr>
                      <w:b w:val="0"/>
                      <w:bCs/>
                      <w:color w:val="auto"/>
                      <w:szCs w:val="21"/>
                    </w:rPr>
                    <w:t>0</w:t>
                  </w:r>
                  <w:r>
                    <w:rPr>
                      <w:rFonts w:hint="eastAsia"/>
                      <w:b w:val="0"/>
                      <w:bCs/>
                      <w:color w:val="auto"/>
                      <w:szCs w:val="21"/>
                    </w:rPr>
                    <w:t>m</w:t>
                  </w:r>
                  <w:r>
                    <w:rPr>
                      <w:rFonts w:hint="eastAsia"/>
                      <w:b w:val="0"/>
                      <w:bCs/>
                      <w:color w:val="auto"/>
                      <w:szCs w:val="21"/>
                      <w:vertAlign w:val="superscript"/>
                    </w:rPr>
                    <w:t>3</w:t>
                  </w:r>
                  <w:r>
                    <w:rPr>
                      <w:rFonts w:hint="eastAsia"/>
                      <w:b w:val="0"/>
                      <w:bCs/>
                      <w:color w:val="auto"/>
                      <w:szCs w:val="21"/>
                    </w:rPr>
                    <w:t>的密闭储罐</w:t>
                  </w:r>
                  <w:r>
                    <w:rPr>
                      <w:rFonts w:hint="eastAsia"/>
                      <w:b w:val="0"/>
                      <w:bCs/>
                      <w:color w:val="auto"/>
                      <w:szCs w:val="21"/>
                      <w:lang w:val="en-US" w:eastAsia="zh-CN"/>
                    </w:rPr>
                    <w:t>+送至污水处理厂处理</w:t>
                  </w:r>
                </w:p>
              </w:tc>
              <w:tc>
                <w:tcPr>
                  <w:tcW w:w="60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5"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left="-84" w:leftChars="-40" w:right="-84" w:rightChars="-40"/>
                    <w:jc w:val="center"/>
                    <w:textAlignment w:val="auto"/>
                    <w:rPr>
                      <w:b w:val="0"/>
                      <w:bCs/>
                      <w:color w:val="auto"/>
                      <w:szCs w:val="21"/>
                    </w:rPr>
                  </w:pPr>
                  <w:r>
                    <w:rPr>
                      <w:rFonts w:hint="eastAsia"/>
                      <w:b w:val="0"/>
                      <w:bCs/>
                      <w:color w:val="auto"/>
                      <w:szCs w:val="21"/>
                    </w:rPr>
                    <w:t>大气污染治理</w:t>
                  </w:r>
                </w:p>
              </w:tc>
              <w:tc>
                <w:tcPr>
                  <w:tcW w:w="1072"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废气</w:t>
                  </w:r>
                </w:p>
              </w:tc>
              <w:tc>
                <w:tcPr>
                  <w:tcW w:w="245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both"/>
                    <w:textAlignment w:val="auto"/>
                    <w:rPr>
                      <w:b w:val="0"/>
                      <w:bCs/>
                      <w:color w:val="auto"/>
                      <w:szCs w:val="21"/>
                    </w:rPr>
                  </w:pPr>
                  <w:r>
                    <w:rPr>
                      <w:rFonts w:hint="eastAsia"/>
                      <w:b w:val="0"/>
                      <w:bCs/>
                      <w:color w:val="auto"/>
                      <w:szCs w:val="21"/>
                    </w:rPr>
                    <w:t>锅炉烟气</w:t>
                  </w:r>
                  <w:r>
                    <w:rPr>
                      <w:b w:val="0"/>
                      <w:bCs/>
                      <w:color w:val="auto"/>
                      <w:szCs w:val="21"/>
                    </w:rPr>
                    <w:t>经布袋除尘器</w:t>
                  </w:r>
                  <w:r>
                    <w:rPr>
                      <w:rFonts w:hint="eastAsia"/>
                      <w:b w:val="0"/>
                      <w:bCs/>
                      <w:color w:val="auto"/>
                      <w:szCs w:val="21"/>
                    </w:rPr>
                    <w:t>（效率9</w:t>
                  </w:r>
                  <w:r>
                    <w:rPr>
                      <w:b w:val="0"/>
                      <w:bCs/>
                      <w:color w:val="auto"/>
                      <w:szCs w:val="21"/>
                    </w:rPr>
                    <w:t>9.9%</w:t>
                  </w:r>
                  <w:r>
                    <w:rPr>
                      <w:rFonts w:hint="eastAsia"/>
                      <w:b w:val="0"/>
                      <w:bCs/>
                      <w:color w:val="auto"/>
                      <w:szCs w:val="21"/>
                    </w:rPr>
                    <w:t>）</w:t>
                  </w:r>
                  <w:r>
                    <w:rPr>
                      <w:b w:val="0"/>
                      <w:bCs/>
                      <w:color w:val="auto"/>
                      <w:szCs w:val="21"/>
                    </w:rPr>
                    <w:t>处理后通过3</w:t>
                  </w:r>
                  <w:r>
                    <w:rPr>
                      <w:rFonts w:hint="eastAsia"/>
                      <w:b w:val="0"/>
                      <w:bCs/>
                      <w:color w:val="auto"/>
                      <w:szCs w:val="21"/>
                      <w:lang w:val="en-US" w:eastAsia="zh-CN"/>
                    </w:rPr>
                    <w:t>5</w:t>
                  </w:r>
                  <w:r>
                    <w:rPr>
                      <w:b w:val="0"/>
                      <w:bCs/>
                      <w:color w:val="auto"/>
                      <w:szCs w:val="21"/>
                    </w:rPr>
                    <w:t>米高烟囱（</w:t>
                  </w:r>
                  <w:r>
                    <w:rPr>
                      <w:rFonts w:hint="eastAsia"/>
                      <w:b w:val="0"/>
                      <w:bCs/>
                      <w:color w:val="auto"/>
                      <w:szCs w:val="21"/>
                    </w:rPr>
                    <w:t>DA001</w:t>
                  </w:r>
                  <w:r>
                    <w:rPr>
                      <w:b w:val="0"/>
                      <w:bCs/>
                      <w:color w:val="auto"/>
                      <w:szCs w:val="21"/>
                    </w:rPr>
                    <w:t>）排放</w:t>
                  </w:r>
                  <w:r>
                    <w:rPr>
                      <w:rFonts w:hint="eastAsia"/>
                      <w:b w:val="0"/>
                      <w:bCs/>
                      <w:color w:val="auto"/>
                      <w:szCs w:val="21"/>
                    </w:rPr>
                    <w:t>；食堂</w:t>
                  </w:r>
                  <w:r>
                    <w:rPr>
                      <w:rFonts w:hint="eastAsia" w:ascii="宋体" w:hAnsi="宋体" w:cs="宋体"/>
                      <w:b w:val="0"/>
                      <w:bCs/>
                      <w:color w:val="auto"/>
                      <w:szCs w:val="21"/>
                    </w:rPr>
                    <w:t>安装油烟净化器进行净</w:t>
                  </w:r>
                  <w:r>
                    <w:rPr>
                      <w:rFonts w:hint="eastAsia" w:ascii="Times New Roman" w:hAnsi="Times New Roman" w:eastAsia="宋体" w:cs="Times New Roman"/>
                      <w:b w:val="0"/>
                      <w:bCs/>
                      <w:color w:val="auto"/>
                      <w:szCs w:val="21"/>
                    </w:rPr>
                    <w:t>化，净化效率60%，油</w:t>
                  </w:r>
                  <w:r>
                    <w:rPr>
                      <w:rFonts w:hint="eastAsia" w:ascii="宋体" w:hAnsi="宋体" w:cs="宋体"/>
                      <w:b w:val="0"/>
                      <w:bCs/>
                      <w:color w:val="auto"/>
                      <w:szCs w:val="21"/>
                    </w:rPr>
                    <w:t>烟废气经油烟净化器处理后达标排放。</w:t>
                  </w:r>
                </w:p>
              </w:tc>
              <w:tc>
                <w:tcPr>
                  <w:tcW w:w="60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eastAsia" w:eastAsia="宋体"/>
                      <w:b w:val="0"/>
                      <w:bCs/>
                      <w:color w:val="auto"/>
                      <w:szCs w:val="21"/>
                      <w:lang w:eastAsia="zh-CN"/>
                    </w:rPr>
                  </w:pPr>
                  <w:r>
                    <w:rPr>
                      <w:b w:val="0"/>
                      <w:bCs/>
                      <w:color w:val="auto"/>
                      <w:szCs w:val="21"/>
                    </w:rPr>
                    <w:t>1</w:t>
                  </w:r>
                  <w:r>
                    <w:rPr>
                      <w:rFonts w:hint="eastAsia"/>
                      <w:b w:val="0"/>
                      <w:bCs/>
                      <w:color w:val="auto"/>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5"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left="-42" w:leftChars="-20" w:right="-42" w:rightChars="-20"/>
                    <w:jc w:val="center"/>
                    <w:textAlignment w:val="auto"/>
                    <w:rPr>
                      <w:b w:val="0"/>
                      <w:bCs/>
                      <w:color w:val="auto"/>
                      <w:szCs w:val="21"/>
                    </w:rPr>
                  </w:pPr>
                  <w:r>
                    <w:rPr>
                      <w:b w:val="0"/>
                      <w:bCs/>
                      <w:color w:val="auto"/>
                      <w:szCs w:val="21"/>
                    </w:rPr>
                    <w:t>噪声污染防治</w:t>
                  </w:r>
                </w:p>
              </w:tc>
              <w:tc>
                <w:tcPr>
                  <w:tcW w:w="1072"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设备噪声</w:t>
                  </w:r>
                </w:p>
              </w:tc>
              <w:tc>
                <w:tcPr>
                  <w:tcW w:w="245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选用低噪声设备、基础减震</w:t>
                  </w:r>
                </w:p>
              </w:tc>
              <w:tc>
                <w:tcPr>
                  <w:tcW w:w="60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5" w:type="pct"/>
                  <w:vMerge w:val="restar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b w:val="0"/>
                      <w:bCs/>
                      <w:color w:val="auto"/>
                      <w:szCs w:val="21"/>
                    </w:rPr>
                    <w:t>固体废物</w:t>
                  </w:r>
                </w:p>
              </w:tc>
              <w:tc>
                <w:tcPr>
                  <w:tcW w:w="1072"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生活垃圾</w:t>
                  </w:r>
                </w:p>
              </w:tc>
              <w:tc>
                <w:tcPr>
                  <w:tcW w:w="245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b w:val="0"/>
                      <w:bCs/>
                      <w:color w:val="auto"/>
                      <w:szCs w:val="21"/>
                    </w:rPr>
                    <w:t>垃圾桶</w:t>
                  </w:r>
                  <w:r>
                    <w:rPr>
                      <w:rFonts w:hint="eastAsia"/>
                      <w:b w:val="0"/>
                      <w:bCs/>
                      <w:color w:val="auto"/>
                      <w:szCs w:val="21"/>
                    </w:rPr>
                    <w:t>，</w:t>
                  </w:r>
                  <w:r>
                    <w:rPr>
                      <w:b w:val="0"/>
                      <w:bCs/>
                      <w:color w:val="auto"/>
                      <w:szCs w:val="21"/>
                    </w:rPr>
                    <w:t>集中收集</w:t>
                  </w:r>
                  <w:r>
                    <w:rPr>
                      <w:rFonts w:hint="eastAsia"/>
                      <w:b w:val="0"/>
                      <w:bCs/>
                      <w:color w:val="auto"/>
                      <w:szCs w:val="21"/>
                    </w:rPr>
                    <w:t>，</w:t>
                  </w:r>
                  <w:r>
                    <w:rPr>
                      <w:b w:val="0"/>
                      <w:bCs/>
                      <w:color w:val="auto"/>
                      <w:szCs w:val="21"/>
                    </w:rPr>
                    <w:t>交由市政部门处理</w:t>
                  </w:r>
                </w:p>
              </w:tc>
              <w:tc>
                <w:tcPr>
                  <w:tcW w:w="60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b w:val="0"/>
                      <w:bCs/>
                      <w:color w:val="auto"/>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5" w:type="pct"/>
                  <w:vMerge w:val="continue"/>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p>
              </w:tc>
              <w:tc>
                <w:tcPr>
                  <w:tcW w:w="1072"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废纸箱及废包装袋</w:t>
                  </w:r>
                </w:p>
              </w:tc>
              <w:tc>
                <w:tcPr>
                  <w:tcW w:w="245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bCs/>
                      <w:color w:val="auto"/>
                      <w:sz w:val="21"/>
                      <w:szCs w:val="21"/>
                      <w:highlight w:val="none"/>
                    </w:rPr>
                    <w:t>暂存于生产车间固废暂存区</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color w:val="auto"/>
                      <w:sz w:val="21"/>
                      <w:szCs w:val="21"/>
                    </w:rPr>
                    <w:t>集中收集，外售综合利用</w:t>
                  </w:r>
                </w:p>
              </w:tc>
              <w:tc>
                <w:tcPr>
                  <w:tcW w:w="60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eastAsia="宋体"/>
                      <w:b w:val="0"/>
                      <w:bCs/>
                      <w:color w:val="auto"/>
                      <w:szCs w:val="21"/>
                      <w:lang w:val="en-US" w:eastAsia="zh-CN"/>
                    </w:rPr>
                  </w:pPr>
                  <w:r>
                    <w:rPr>
                      <w:rFonts w:hint="eastAsia"/>
                      <w:b w:val="0"/>
                      <w:bCs/>
                      <w:color w:val="auto"/>
                      <w:szCs w:val="21"/>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5" w:type="pct"/>
                  <w:vMerge w:val="continue"/>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p>
              </w:tc>
              <w:tc>
                <w:tcPr>
                  <w:tcW w:w="1072"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玉米叶、玉米须、不合格的果穗、青穗以及废弃玉米段</w:t>
                  </w:r>
                </w:p>
              </w:tc>
              <w:tc>
                <w:tcPr>
                  <w:tcW w:w="245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bCs/>
                      <w:color w:val="auto"/>
                      <w:sz w:val="21"/>
                      <w:szCs w:val="21"/>
                      <w:highlight w:val="none"/>
                    </w:rPr>
                    <w:t>暂存于生产车间固废暂存区</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color w:val="auto"/>
                      <w:sz w:val="21"/>
                      <w:szCs w:val="21"/>
                    </w:rPr>
                    <w:t>集中收集，外售用作饲料</w:t>
                  </w:r>
                </w:p>
              </w:tc>
              <w:tc>
                <w:tcPr>
                  <w:tcW w:w="60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eastAsia="宋体"/>
                      <w:b w:val="0"/>
                      <w:bCs/>
                      <w:color w:val="auto"/>
                      <w:szCs w:val="21"/>
                      <w:lang w:val="en-US" w:eastAsia="zh-CN"/>
                    </w:rPr>
                  </w:pPr>
                  <w:r>
                    <w:rPr>
                      <w:rFonts w:hint="eastAsia"/>
                      <w:b w:val="0"/>
                      <w:bCs/>
                      <w:color w:val="auto"/>
                      <w:szCs w:val="21"/>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5" w:type="pct"/>
                  <w:vMerge w:val="continue"/>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p>
              </w:tc>
              <w:tc>
                <w:tcPr>
                  <w:tcW w:w="1072"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锅炉灰</w:t>
                  </w:r>
                  <w:r>
                    <w:rPr>
                      <w:b w:val="0"/>
                      <w:bCs/>
                      <w:color w:val="auto"/>
                      <w:szCs w:val="21"/>
                    </w:rPr>
                    <w:t>渣与布袋除尘器收尘</w:t>
                  </w:r>
                </w:p>
              </w:tc>
              <w:tc>
                <w:tcPr>
                  <w:tcW w:w="245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灰渣暂存间</w:t>
                  </w:r>
                </w:p>
              </w:tc>
              <w:tc>
                <w:tcPr>
                  <w:tcW w:w="60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eastAsia" w:eastAsia="宋体"/>
                      <w:b w:val="0"/>
                      <w:bCs/>
                      <w:color w:val="auto"/>
                      <w:szCs w:val="21"/>
                      <w:lang w:eastAsia="zh-CN"/>
                    </w:rPr>
                  </w:pPr>
                  <w:r>
                    <w:rPr>
                      <w:rFonts w:hint="eastAsia"/>
                      <w:b w:val="0"/>
                      <w:bCs/>
                      <w:color w:val="auto"/>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5" w:type="pct"/>
                  <w:vMerge w:val="continue"/>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p>
              </w:tc>
              <w:tc>
                <w:tcPr>
                  <w:tcW w:w="1072"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废离子交换树脂</w:t>
                  </w:r>
                </w:p>
              </w:tc>
              <w:tc>
                <w:tcPr>
                  <w:tcW w:w="245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由厂家回收再利用</w:t>
                  </w:r>
                </w:p>
              </w:tc>
              <w:tc>
                <w:tcPr>
                  <w:tcW w:w="601"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rFonts w:hint="eastAsia"/>
                      <w:b w:val="0"/>
                      <w:bCs/>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5"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b w:val="0"/>
                      <w:bCs/>
                      <w:color w:val="auto"/>
                      <w:szCs w:val="21"/>
                    </w:rPr>
                    <w:t>环保投资合计（万元）</w:t>
                  </w:r>
                </w:p>
              </w:tc>
              <w:tc>
                <w:tcPr>
                  <w:tcW w:w="4124" w:type="pct"/>
                  <w:gridSpan w:val="3"/>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eastAsia="宋体"/>
                      <w:b w:val="0"/>
                      <w:bCs/>
                      <w:color w:val="auto"/>
                      <w:szCs w:val="21"/>
                      <w:lang w:val="en-US" w:eastAsia="zh-CN"/>
                    </w:rPr>
                  </w:pPr>
                  <w:r>
                    <w:rPr>
                      <w:rFonts w:hint="eastAsia"/>
                      <w:b w:val="0"/>
                      <w:bCs/>
                      <w:color w:val="auto"/>
                      <w:szCs w:val="21"/>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5"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b w:val="0"/>
                      <w:bCs/>
                      <w:color w:val="auto"/>
                      <w:szCs w:val="21"/>
                    </w:rPr>
                    <w:t>总投资（</w:t>
                  </w:r>
                  <w:r>
                    <w:rPr>
                      <w:b w:val="0"/>
                      <w:bCs/>
                      <w:color w:val="auto"/>
                      <w:spacing w:val="-20"/>
                      <w:szCs w:val="21"/>
                    </w:rPr>
                    <w:t>万元）</w:t>
                  </w:r>
                </w:p>
              </w:tc>
              <w:tc>
                <w:tcPr>
                  <w:tcW w:w="4124" w:type="pct"/>
                  <w:gridSpan w:val="3"/>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eastAsia="宋体"/>
                      <w:b w:val="0"/>
                      <w:bCs/>
                      <w:color w:val="auto"/>
                      <w:szCs w:val="21"/>
                      <w:lang w:val="en-US" w:eastAsia="zh-CN"/>
                    </w:rPr>
                  </w:pPr>
                  <w:r>
                    <w:rPr>
                      <w:rFonts w:hint="eastAsia"/>
                      <w:b w:val="0"/>
                      <w:bCs/>
                      <w:color w:val="auto"/>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5"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b w:val="0"/>
                      <w:bCs/>
                      <w:color w:val="auto"/>
                      <w:szCs w:val="21"/>
                    </w:rPr>
                  </w:pPr>
                  <w:r>
                    <w:rPr>
                      <w:b w:val="0"/>
                      <w:bCs/>
                      <w:color w:val="auto"/>
                      <w:szCs w:val="21"/>
                    </w:rPr>
                    <w:t>占总投资比例（%）</w:t>
                  </w:r>
                </w:p>
              </w:tc>
              <w:tc>
                <w:tcPr>
                  <w:tcW w:w="4124" w:type="pct"/>
                  <w:gridSpan w:val="3"/>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eastAsia="宋体"/>
                      <w:b w:val="0"/>
                      <w:bCs/>
                      <w:color w:val="auto"/>
                      <w:szCs w:val="21"/>
                      <w:lang w:val="en-US" w:eastAsia="zh-CN"/>
                    </w:rPr>
                  </w:pPr>
                  <w:r>
                    <w:rPr>
                      <w:rFonts w:hint="eastAsia"/>
                      <w:b w:val="0"/>
                      <w:bCs/>
                      <w:color w:val="auto"/>
                      <w:szCs w:val="21"/>
                      <w:lang w:val="en-US" w:eastAsia="zh-CN"/>
                    </w:rPr>
                    <w:t>6.67</w:t>
                  </w:r>
                </w:p>
              </w:tc>
            </w:tr>
          </w:tbl>
          <w:p>
            <w:pPr>
              <w:pStyle w:val="61"/>
              <w:shd w:val="clear"/>
              <w:ind w:firstLine="0" w:firstLineChars="0"/>
              <w:rPr>
                <w:rFonts w:ascii="Times New Roman" w:hAnsi="Times New Roman"/>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20" w:hRule="atLeast"/>
          <w:jc w:val="center"/>
        </w:trPr>
        <w:tc>
          <w:tcPr>
            <w:tcW w:w="266" w:type="pct"/>
            <w:vAlign w:val="center"/>
          </w:tcPr>
          <w:p>
            <w:pPr>
              <w:pStyle w:val="23"/>
              <w:shd w:val="clear"/>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工艺流程和产排污环节</w:t>
            </w:r>
          </w:p>
        </w:tc>
        <w:tc>
          <w:tcPr>
            <w:tcW w:w="4733" w:type="pct"/>
          </w:tcPr>
          <w:p>
            <w:pPr>
              <w:pStyle w:val="65"/>
              <w:shd w:val="clear"/>
              <w:spacing w:after="120" w:afterLines="50"/>
              <w:ind w:left="480" w:firstLine="0" w:firstLineChars="0"/>
              <w:jc w:val="left"/>
              <w:rPr>
                <w:bCs/>
                <w:color w:val="auto"/>
                <w:sz w:val="24"/>
              </w:rPr>
            </w:pPr>
            <w:r>
              <w:rPr>
                <w:bCs/>
                <w:color w:val="auto"/>
                <w:sz w:val="24"/>
              </w:rPr>
              <w:t>运营期工艺流程</w:t>
            </w:r>
            <w:r>
              <w:rPr>
                <w:rFonts w:hint="eastAsia"/>
                <w:bCs/>
                <w:color w:val="auto"/>
                <w:sz w:val="24"/>
              </w:rPr>
              <w:t>及产污节点</w:t>
            </w:r>
            <w:r>
              <w:rPr>
                <w:bCs/>
                <w:color w:val="auto"/>
                <w:sz w:val="24"/>
              </w:rPr>
              <w:t>图如下：</w:t>
            </w:r>
          </w:p>
          <w:p>
            <w:pPr>
              <w:pStyle w:val="25"/>
              <w:shd w:val="clear"/>
              <w:spacing w:line="360" w:lineRule="auto"/>
              <w:ind w:firstLine="0" w:firstLineChars="0"/>
              <w:jc w:val="center"/>
              <w:rPr>
                <w:color w:val="auto"/>
              </w:rPr>
            </w:pPr>
            <w:r>
              <w:rPr>
                <w:color w:val="auto"/>
              </w:rPr>
              <mc:AlternateContent>
                <mc:Choice Requires="wpc">
                  <w:drawing>
                    <wp:inline distT="0" distB="0" distL="114300" distR="114300">
                      <wp:extent cx="5867400" cy="6508750"/>
                      <wp:effectExtent l="0" t="0" r="0" b="13970"/>
                      <wp:docPr id="54" name="画布 19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2" name="矩形 336"/>
                              <wps:cNvSpPr/>
                              <wps:spPr>
                                <a:xfrm>
                                  <a:off x="2249809" y="38100"/>
                                  <a:ext cx="808903" cy="257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玉米</w:t>
                                    </w:r>
                                  </w:p>
                                </w:txbxContent>
                              </wps:txbx>
                              <wps:bodyPr upright="1"/>
                            </wps:wsp>
                            <wps:wsp>
                              <wps:cNvPr id="113" name="矩形 337"/>
                              <wps:cNvSpPr/>
                              <wps:spPr>
                                <a:xfrm>
                                  <a:off x="2093595" y="1028700"/>
                                  <a:ext cx="1212850" cy="2571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挑选、切头、去尾</w:t>
                                    </w:r>
                                  </w:p>
                                </w:txbxContent>
                              </wps:txbx>
                              <wps:bodyPr upright="1"/>
                            </wps:wsp>
                            <wps:wsp>
                              <wps:cNvPr id="114" name="矩形 338"/>
                              <wps:cNvSpPr/>
                              <wps:spPr>
                                <a:xfrm>
                                  <a:off x="2249809" y="514301"/>
                                  <a:ext cx="809603" cy="2572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剥皮</w:t>
                                    </w:r>
                                  </w:p>
                                </w:txbxContent>
                              </wps:txbx>
                              <wps:bodyPr upright="1"/>
                            </wps:wsp>
                            <wps:wsp>
                              <wps:cNvPr id="115" name="矩形 340"/>
                              <wps:cNvSpPr/>
                              <wps:spPr>
                                <a:xfrm>
                                  <a:off x="2240308" y="2253004"/>
                                  <a:ext cx="828603" cy="2572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蒸煮</w:t>
                                    </w:r>
                                  </w:p>
                                </w:txbxContent>
                              </wps:txbx>
                              <wps:bodyPr upright="1"/>
                            </wps:wsp>
                            <wps:wsp>
                              <wps:cNvPr id="116" name="矩形 341"/>
                              <wps:cNvSpPr/>
                              <wps:spPr>
                                <a:xfrm>
                                  <a:off x="2249809" y="1572903"/>
                                  <a:ext cx="809603" cy="2572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清洗</w:t>
                                    </w:r>
                                  </w:p>
                                </w:txbxContent>
                              </wps:txbx>
                              <wps:bodyPr upright="1"/>
                            </wps:wsp>
                            <wps:wsp>
                              <wps:cNvPr id="117" name="矩形 342"/>
                              <wps:cNvSpPr/>
                              <wps:spPr>
                                <a:xfrm>
                                  <a:off x="2256155" y="2863850"/>
                                  <a:ext cx="824230" cy="2571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冷却</w:t>
                                    </w:r>
                                  </w:p>
                                </w:txbxContent>
                              </wps:txbx>
                              <wps:bodyPr upright="1"/>
                            </wps:wsp>
                            <wps:wsp>
                              <wps:cNvPr id="118" name="自选图形 344"/>
                              <wps:cNvCnPr/>
                              <wps:spPr>
                                <a:xfrm rot="-5400000" flipH="1">
                                  <a:off x="2544410" y="403801"/>
                                  <a:ext cx="219101" cy="700"/>
                                </a:xfrm>
                                <a:prstGeom prst="bentConnector3">
                                  <a:avLst>
                                    <a:gd name="adj1" fmla="val 49856"/>
                                  </a:avLst>
                                </a:prstGeom>
                                <a:ln w="9525" cap="flat" cmpd="sng">
                                  <a:solidFill>
                                    <a:srgbClr val="000000"/>
                                  </a:solidFill>
                                  <a:prstDash val="solid"/>
                                  <a:miter/>
                                  <a:headEnd type="none" w="med" len="med"/>
                                  <a:tailEnd type="triangle" w="med" len="med"/>
                                </a:ln>
                              </wps:spPr>
                              <wps:bodyPr/>
                            </wps:wsp>
                            <wps:wsp>
                              <wps:cNvPr id="119" name="自选图形 345"/>
                              <wps:cNvCnPr/>
                              <wps:spPr>
                                <a:xfrm rot="5400000">
                                  <a:off x="2526010" y="899102"/>
                                  <a:ext cx="257201" cy="600"/>
                                </a:xfrm>
                                <a:prstGeom prst="straightConnector1">
                                  <a:avLst/>
                                </a:prstGeom>
                                <a:ln w="9525" cap="flat" cmpd="sng">
                                  <a:solidFill>
                                    <a:srgbClr val="000000"/>
                                  </a:solidFill>
                                  <a:prstDash val="solid"/>
                                  <a:headEnd type="none" w="med" len="med"/>
                                  <a:tailEnd type="triangle" w="med" len="med"/>
                                </a:ln>
                              </wps:spPr>
                              <wps:bodyPr/>
                            </wps:wsp>
                            <wps:wsp>
                              <wps:cNvPr id="120" name="自选图形 346"/>
                              <wps:cNvCnPr/>
                              <wps:spPr>
                                <a:xfrm rot="5400000">
                                  <a:off x="2516510" y="1423003"/>
                                  <a:ext cx="276201" cy="600"/>
                                </a:xfrm>
                                <a:prstGeom prst="straightConnector1">
                                  <a:avLst/>
                                </a:prstGeom>
                                <a:ln w="9525" cap="flat" cmpd="sng">
                                  <a:solidFill>
                                    <a:srgbClr val="000000"/>
                                  </a:solidFill>
                                  <a:prstDash val="solid"/>
                                  <a:headEnd type="none" w="med" len="med"/>
                                  <a:tailEnd type="triangle" w="med" len="med"/>
                                </a:ln>
                              </wps:spPr>
                              <wps:bodyPr/>
                            </wps:wsp>
                            <wps:wsp>
                              <wps:cNvPr id="121" name="自选图形 348"/>
                              <wps:cNvCnPr/>
                              <wps:spPr>
                                <a:xfrm flipH="1">
                                  <a:off x="2654310" y="1840203"/>
                                  <a:ext cx="600" cy="417201"/>
                                </a:xfrm>
                                <a:prstGeom prst="straightConnector1">
                                  <a:avLst/>
                                </a:prstGeom>
                                <a:ln w="9525" cap="flat" cmpd="sng">
                                  <a:solidFill>
                                    <a:srgbClr val="000000"/>
                                  </a:solidFill>
                                  <a:prstDash val="solid"/>
                                  <a:headEnd type="none" w="med" len="med"/>
                                  <a:tailEnd type="triangle" w="med" len="med"/>
                                </a:ln>
                              </wps:spPr>
                              <wps:bodyPr/>
                            </wps:wsp>
                            <wps:wsp>
                              <wps:cNvPr id="122" name="矩形 351"/>
                              <wps:cNvSpPr/>
                              <wps:spPr>
                                <a:xfrm>
                                  <a:off x="2295525" y="3983355"/>
                                  <a:ext cx="809625" cy="2571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高温灭菌</w:t>
                                    </w:r>
                                  </w:p>
                                </w:txbxContent>
                              </wps:txbx>
                              <wps:bodyPr upright="1"/>
                            </wps:wsp>
                            <wps:wsp>
                              <wps:cNvPr id="123" name="矩形 352"/>
                              <wps:cNvSpPr/>
                              <wps:spPr>
                                <a:xfrm>
                                  <a:off x="2272665" y="3437890"/>
                                  <a:ext cx="809625" cy="2571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包装</w:t>
                                    </w:r>
                                  </w:p>
                                </w:txbxContent>
                              </wps:txbx>
                              <wps:bodyPr upright="1"/>
                            </wps:wsp>
                            <wps:wsp>
                              <wps:cNvPr id="124" name="矩形 353"/>
                              <wps:cNvSpPr/>
                              <wps:spPr>
                                <a:xfrm>
                                  <a:off x="2324100" y="5680075"/>
                                  <a:ext cx="809625" cy="2571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检验、打码</w:t>
                                    </w:r>
                                  </w:p>
                                </w:txbxContent>
                              </wps:txbx>
                              <wps:bodyPr upright="1"/>
                            </wps:wsp>
                            <wps:wsp>
                              <wps:cNvPr id="125" name="直接箭头连接符 191"/>
                              <wps:cNvCnPr/>
                              <wps:spPr>
                                <a:xfrm>
                                  <a:off x="3078412" y="652001"/>
                                  <a:ext cx="316801" cy="0"/>
                                </a:xfrm>
                                <a:prstGeom prst="straightConnector1">
                                  <a:avLst/>
                                </a:prstGeom>
                                <a:ln w="6350" cap="flat" cmpd="sng">
                                  <a:solidFill>
                                    <a:srgbClr val="000000"/>
                                  </a:solidFill>
                                  <a:prstDash val="sysDash"/>
                                  <a:miter/>
                                  <a:headEnd type="none" w="med" len="med"/>
                                  <a:tailEnd type="triangle" w="med" len="med"/>
                                </a:ln>
                              </wps:spPr>
                              <wps:bodyPr/>
                            </wps:wsp>
                            <wps:wsp>
                              <wps:cNvPr id="126" name="矩形 192"/>
                              <wps:cNvSpPr/>
                              <wps:spPr>
                                <a:xfrm>
                                  <a:off x="3416113" y="513701"/>
                                  <a:ext cx="893503" cy="257100"/>
                                </a:xfrm>
                                <a:prstGeom prst="rect">
                                  <a:avLst/>
                                </a:prstGeom>
                                <a:solidFill>
                                  <a:srgbClr val="FFFFFF"/>
                                </a:solidFill>
                                <a:ln>
                                  <a:noFill/>
                                </a:ln>
                              </wps:spPr>
                              <wps:txbx>
                                <w:txbxContent>
                                  <w:p>
                                    <w:pPr>
                                      <w:jc w:val="center"/>
                                      <w:rPr>
                                        <w:szCs w:val="21"/>
                                      </w:rPr>
                                    </w:pPr>
                                    <w:r>
                                      <w:rPr>
                                        <w:rFonts w:hint="eastAsia"/>
                                        <w:szCs w:val="21"/>
                                      </w:rPr>
                                      <w:t>S1、N1</w:t>
                                    </w:r>
                                  </w:p>
                                </w:txbxContent>
                              </wps:txbx>
                              <wps:bodyPr upright="1"/>
                            </wps:wsp>
                            <wps:wsp>
                              <wps:cNvPr id="127" name="矩形 193"/>
                              <wps:cNvSpPr/>
                              <wps:spPr>
                                <a:xfrm>
                                  <a:off x="3644265" y="1037590"/>
                                  <a:ext cx="892810" cy="257175"/>
                                </a:xfrm>
                                <a:prstGeom prst="rect">
                                  <a:avLst/>
                                </a:prstGeom>
                                <a:solidFill>
                                  <a:srgbClr val="FFFFFF"/>
                                </a:solidFill>
                                <a:ln>
                                  <a:noFill/>
                                </a:ln>
                              </wps:spPr>
                              <wps:txbx>
                                <w:txbxContent>
                                  <w:p>
                                    <w:pPr>
                                      <w:jc w:val="center"/>
                                      <w:rPr>
                                        <w:rFonts w:hint="default" w:eastAsia="宋体"/>
                                        <w:szCs w:val="21"/>
                                        <w:lang w:val="en-US" w:eastAsia="zh-CN"/>
                                      </w:rPr>
                                    </w:pPr>
                                    <w:r>
                                      <w:rPr>
                                        <w:rFonts w:hint="eastAsia"/>
                                        <w:szCs w:val="21"/>
                                      </w:rPr>
                                      <w:t>S2</w:t>
                                    </w:r>
                                    <w:r>
                                      <w:rPr>
                                        <w:rFonts w:hint="eastAsia"/>
                                        <w:szCs w:val="21"/>
                                        <w:lang w:eastAsia="zh-CN"/>
                                      </w:rPr>
                                      <w:t>、</w:t>
                                    </w:r>
                                    <w:r>
                                      <w:rPr>
                                        <w:rFonts w:hint="eastAsia"/>
                                        <w:szCs w:val="21"/>
                                        <w:lang w:val="en-US" w:eastAsia="zh-CN"/>
                                      </w:rPr>
                                      <w:t>N2</w:t>
                                    </w:r>
                                  </w:p>
                                </w:txbxContent>
                              </wps:txbx>
                              <wps:bodyPr upright="1"/>
                            </wps:wsp>
                            <wps:wsp>
                              <wps:cNvPr id="128" name="直接箭头连接符 194"/>
                              <wps:cNvCnPr/>
                              <wps:spPr>
                                <a:xfrm>
                                  <a:off x="3315335" y="1172210"/>
                                  <a:ext cx="316230" cy="0"/>
                                </a:xfrm>
                                <a:prstGeom prst="straightConnector1">
                                  <a:avLst/>
                                </a:prstGeom>
                                <a:ln w="6350" cap="flat" cmpd="sng">
                                  <a:solidFill>
                                    <a:srgbClr val="000000"/>
                                  </a:solidFill>
                                  <a:prstDash val="sysDash"/>
                                  <a:miter/>
                                  <a:headEnd type="none" w="med" len="med"/>
                                  <a:tailEnd type="triangle" w="med" len="med"/>
                                </a:ln>
                              </wps:spPr>
                              <wps:bodyPr/>
                            </wps:wsp>
                            <wps:wsp>
                              <wps:cNvPr id="129" name="直接箭头连接符 196"/>
                              <wps:cNvCnPr/>
                              <wps:spPr>
                                <a:xfrm>
                                  <a:off x="3060712" y="1701203"/>
                                  <a:ext cx="316201" cy="0"/>
                                </a:xfrm>
                                <a:prstGeom prst="straightConnector1">
                                  <a:avLst/>
                                </a:prstGeom>
                                <a:ln w="6350" cap="flat" cmpd="sng">
                                  <a:solidFill>
                                    <a:srgbClr val="000000"/>
                                  </a:solidFill>
                                  <a:prstDash val="sysDash"/>
                                  <a:miter/>
                                  <a:headEnd type="none" w="med" len="med"/>
                                  <a:tailEnd type="triangle" w="med" len="med"/>
                                </a:ln>
                              </wps:spPr>
                              <wps:bodyPr/>
                            </wps:wsp>
                            <wps:wsp>
                              <wps:cNvPr id="130" name="直接箭头连接符 197"/>
                              <wps:cNvCnPr/>
                              <wps:spPr>
                                <a:xfrm>
                                  <a:off x="3078512" y="2390805"/>
                                  <a:ext cx="316201" cy="0"/>
                                </a:xfrm>
                                <a:prstGeom prst="straightConnector1">
                                  <a:avLst/>
                                </a:prstGeom>
                                <a:ln w="6350" cap="flat" cmpd="sng">
                                  <a:solidFill>
                                    <a:srgbClr val="000000"/>
                                  </a:solidFill>
                                  <a:prstDash val="sysDash"/>
                                  <a:miter/>
                                  <a:headEnd type="none" w="med" len="med"/>
                                  <a:tailEnd type="triangle" w="med" len="med"/>
                                </a:ln>
                              </wps:spPr>
                              <wps:bodyPr/>
                            </wps:wsp>
                            <wps:wsp>
                              <wps:cNvPr id="131" name="矩形 199"/>
                              <wps:cNvSpPr/>
                              <wps:spPr>
                                <a:xfrm>
                                  <a:off x="3379513" y="1554503"/>
                                  <a:ext cx="892803" cy="256500"/>
                                </a:xfrm>
                                <a:prstGeom prst="rect">
                                  <a:avLst/>
                                </a:prstGeom>
                                <a:solidFill>
                                  <a:srgbClr val="FFFFFF"/>
                                </a:solidFill>
                                <a:ln>
                                  <a:noFill/>
                                </a:ln>
                              </wps:spPr>
                              <wps:txbx>
                                <w:txbxContent>
                                  <w:p>
                                    <w:pPr>
                                      <w:jc w:val="center"/>
                                      <w:rPr>
                                        <w:rFonts w:hint="eastAsia" w:eastAsia="宋体"/>
                                        <w:szCs w:val="21"/>
                                        <w:lang w:eastAsia="zh-CN"/>
                                      </w:rPr>
                                    </w:pPr>
                                    <w:r>
                                      <w:rPr>
                                        <w:rFonts w:hint="eastAsia"/>
                                        <w:szCs w:val="21"/>
                                      </w:rPr>
                                      <w:t>W1、N</w:t>
                                    </w:r>
                                    <w:r>
                                      <w:rPr>
                                        <w:rFonts w:hint="eastAsia"/>
                                        <w:szCs w:val="21"/>
                                        <w:lang w:val="en-US" w:eastAsia="zh-CN"/>
                                      </w:rPr>
                                      <w:t>3</w:t>
                                    </w:r>
                                  </w:p>
                                </w:txbxContent>
                              </wps:txbx>
                              <wps:bodyPr upright="1"/>
                            </wps:wsp>
                            <wps:wsp>
                              <wps:cNvPr id="132" name="矩形 200"/>
                              <wps:cNvSpPr/>
                              <wps:spPr>
                                <a:xfrm>
                                  <a:off x="3413113" y="2248504"/>
                                  <a:ext cx="1048404" cy="257200"/>
                                </a:xfrm>
                                <a:prstGeom prst="rect">
                                  <a:avLst/>
                                </a:prstGeom>
                                <a:solidFill>
                                  <a:srgbClr val="FFFFFF"/>
                                </a:solidFill>
                                <a:ln>
                                  <a:noFill/>
                                </a:ln>
                              </wps:spPr>
                              <wps:txbx>
                                <w:txbxContent>
                                  <w:p>
                                    <w:pPr>
                                      <w:jc w:val="center"/>
                                      <w:rPr>
                                        <w:szCs w:val="21"/>
                                      </w:rPr>
                                    </w:pPr>
                                    <w:r>
                                      <w:rPr>
                                        <w:rFonts w:hint="eastAsia"/>
                                        <w:szCs w:val="21"/>
                                      </w:rPr>
                                      <w:t>G</w:t>
                                    </w:r>
                                    <w:r>
                                      <w:rPr>
                                        <w:rFonts w:hint="eastAsia"/>
                                        <w:szCs w:val="21"/>
                                        <w:lang w:val="en-US" w:eastAsia="zh-CN"/>
                                      </w:rPr>
                                      <w:t>1</w:t>
                                    </w:r>
                                    <w:r>
                                      <w:rPr>
                                        <w:rFonts w:hint="eastAsia"/>
                                        <w:szCs w:val="21"/>
                                      </w:rPr>
                                      <w:t>、W2、N3</w:t>
                                    </w:r>
                                  </w:p>
                                </w:txbxContent>
                              </wps:txbx>
                              <wps:bodyPr upright="1"/>
                            </wps:wsp>
                            <wps:wsp>
                              <wps:cNvPr id="133" name="直接箭头连接符 205"/>
                              <wps:cNvCnPr/>
                              <wps:spPr>
                                <a:xfrm>
                                  <a:off x="3076575" y="3563620"/>
                                  <a:ext cx="316230" cy="0"/>
                                </a:xfrm>
                                <a:prstGeom prst="straightConnector1">
                                  <a:avLst/>
                                </a:prstGeom>
                                <a:ln w="6350" cap="flat" cmpd="sng">
                                  <a:solidFill>
                                    <a:srgbClr val="000000"/>
                                  </a:solidFill>
                                  <a:prstDash val="sysDash"/>
                                  <a:miter/>
                                  <a:headEnd type="none" w="med" len="med"/>
                                  <a:tailEnd type="triangle" w="med" len="med"/>
                                </a:ln>
                              </wps:spPr>
                              <wps:bodyPr/>
                            </wps:wsp>
                            <wps:wsp>
                              <wps:cNvPr id="134" name="矩形 206"/>
                              <wps:cNvSpPr/>
                              <wps:spPr>
                                <a:xfrm>
                                  <a:off x="3386455" y="3422650"/>
                                  <a:ext cx="892810" cy="257175"/>
                                </a:xfrm>
                                <a:prstGeom prst="rect">
                                  <a:avLst/>
                                </a:prstGeom>
                                <a:solidFill>
                                  <a:srgbClr val="FFFFFF"/>
                                </a:solidFill>
                                <a:ln>
                                  <a:noFill/>
                                </a:ln>
                              </wps:spPr>
                              <wps:txbx>
                                <w:txbxContent>
                                  <w:p>
                                    <w:pPr>
                                      <w:jc w:val="center"/>
                                      <w:rPr>
                                        <w:rFonts w:hint="eastAsia" w:eastAsia="宋体"/>
                                        <w:szCs w:val="21"/>
                                        <w:lang w:eastAsia="zh-CN"/>
                                      </w:rPr>
                                    </w:pPr>
                                    <w:r>
                                      <w:rPr>
                                        <w:rFonts w:hint="eastAsia"/>
                                        <w:szCs w:val="21"/>
                                      </w:rPr>
                                      <w:t>S</w:t>
                                    </w:r>
                                    <w:r>
                                      <w:rPr>
                                        <w:rFonts w:hint="eastAsia"/>
                                        <w:szCs w:val="21"/>
                                        <w:lang w:val="en-US" w:eastAsia="zh-CN"/>
                                      </w:rPr>
                                      <w:t>3</w:t>
                                    </w:r>
                                    <w:r>
                                      <w:rPr>
                                        <w:rFonts w:hint="eastAsia"/>
                                        <w:szCs w:val="21"/>
                                      </w:rPr>
                                      <w:t>、N</w:t>
                                    </w:r>
                                    <w:r>
                                      <w:rPr>
                                        <w:rFonts w:hint="eastAsia"/>
                                        <w:szCs w:val="21"/>
                                        <w:lang w:val="en-US" w:eastAsia="zh-CN"/>
                                      </w:rPr>
                                      <w:t>4</w:t>
                                    </w:r>
                                  </w:p>
                                </w:txbxContent>
                              </wps:txbx>
                              <wps:bodyPr upright="1"/>
                            </wps:wsp>
                            <wps:wsp>
                              <wps:cNvPr id="135" name="矩形 340"/>
                              <wps:cNvSpPr/>
                              <wps:spPr>
                                <a:xfrm>
                                  <a:off x="728303" y="2275804"/>
                                  <a:ext cx="1138004" cy="2572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生物质蒸汽锅炉</w:t>
                                    </w:r>
                                  </w:p>
                                </w:txbxContent>
                              </wps:txbx>
                              <wps:bodyPr upright="1"/>
                            </wps:wsp>
                            <wps:wsp>
                              <wps:cNvPr id="136" name="自选图形 164"/>
                              <wps:cNvCnPr/>
                              <wps:spPr>
                                <a:xfrm>
                                  <a:off x="1874507" y="2400905"/>
                                  <a:ext cx="363901" cy="0"/>
                                </a:xfrm>
                                <a:prstGeom prst="straightConnector1">
                                  <a:avLst/>
                                </a:prstGeom>
                                <a:ln w="9525" cap="flat" cmpd="sng">
                                  <a:solidFill>
                                    <a:srgbClr val="000000"/>
                                  </a:solidFill>
                                  <a:prstDash val="solid"/>
                                  <a:headEnd type="none" w="med" len="med"/>
                                  <a:tailEnd type="triangle" w="med" len="med"/>
                                </a:ln>
                              </wps:spPr>
                              <wps:bodyPr/>
                            </wps:wsp>
                            <wps:wsp>
                              <wps:cNvPr id="137" name="自选图形 348"/>
                              <wps:cNvCnPr/>
                              <wps:spPr>
                                <a:xfrm>
                                  <a:off x="2663810" y="2505705"/>
                                  <a:ext cx="0" cy="346710"/>
                                </a:xfrm>
                                <a:prstGeom prst="straightConnector1">
                                  <a:avLst/>
                                </a:prstGeom>
                                <a:ln w="9525" cap="flat" cmpd="sng">
                                  <a:solidFill>
                                    <a:srgbClr val="000000"/>
                                  </a:solidFill>
                                  <a:prstDash val="solid"/>
                                  <a:headEnd type="none" w="med" len="med"/>
                                  <a:tailEnd type="triangle" w="med" len="med"/>
                                </a:ln>
                              </wps:spPr>
                              <wps:bodyPr/>
                            </wps:wsp>
                            <wps:wsp>
                              <wps:cNvPr id="138" name="自选图形 348"/>
                              <wps:cNvCnPr/>
                              <wps:spPr>
                                <a:xfrm>
                                  <a:off x="2679065" y="3127375"/>
                                  <a:ext cx="0" cy="301625"/>
                                </a:xfrm>
                                <a:prstGeom prst="straightConnector1">
                                  <a:avLst/>
                                </a:prstGeom>
                                <a:ln w="9525" cap="flat" cmpd="sng">
                                  <a:solidFill>
                                    <a:srgbClr val="000000"/>
                                  </a:solidFill>
                                  <a:prstDash val="solid"/>
                                  <a:headEnd type="none" w="med" len="med"/>
                                  <a:tailEnd type="triangle" w="med" len="med"/>
                                </a:ln>
                              </wps:spPr>
                              <wps:bodyPr/>
                            </wps:wsp>
                            <wps:wsp>
                              <wps:cNvPr id="139" name="直接箭头连接符 197"/>
                              <wps:cNvCnPr/>
                              <wps:spPr>
                                <a:xfrm flipH="1" flipV="1">
                                  <a:off x="1306205" y="1795103"/>
                                  <a:ext cx="3200" cy="490901"/>
                                </a:xfrm>
                                <a:prstGeom prst="straightConnector1">
                                  <a:avLst/>
                                </a:prstGeom>
                                <a:ln w="6350" cap="flat" cmpd="sng">
                                  <a:solidFill>
                                    <a:srgbClr val="000000"/>
                                  </a:solidFill>
                                  <a:prstDash val="sysDash"/>
                                  <a:miter/>
                                  <a:headEnd type="none" w="med" len="med"/>
                                  <a:tailEnd type="triangle" w="med" len="med"/>
                                </a:ln>
                              </wps:spPr>
                              <wps:bodyPr/>
                            </wps:wsp>
                            <wps:wsp>
                              <wps:cNvPr id="140" name="矩形 200"/>
                              <wps:cNvSpPr/>
                              <wps:spPr>
                                <a:xfrm>
                                  <a:off x="98425" y="1497965"/>
                                  <a:ext cx="1907540" cy="254000"/>
                                </a:xfrm>
                                <a:prstGeom prst="rect">
                                  <a:avLst/>
                                </a:prstGeom>
                                <a:solidFill>
                                  <a:srgbClr val="FFFFFF"/>
                                </a:solidFill>
                                <a:ln>
                                  <a:noFill/>
                                </a:ln>
                              </wps:spPr>
                              <wps:txbx>
                                <w:txbxContent>
                                  <w:p>
                                    <w:pPr>
                                      <w:jc w:val="center"/>
                                      <w:rPr>
                                        <w:rFonts w:hint="default" w:eastAsia="宋体"/>
                                        <w:szCs w:val="21"/>
                                        <w:lang w:val="en-US" w:eastAsia="zh-CN"/>
                                      </w:rPr>
                                    </w:pPr>
                                    <w:r>
                                      <w:rPr>
                                        <w:rFonts w:hint="eastAsia"/>
                                        <w:szCs w:val="21"/>
                                      </w:rPr>
                                      <w:t>G</w:t>
                                    </w:r>
                                    <w:r>
                                      <w:rPr>
                                        <w:rFonts w:hint="eastAsia"/>
                                        <w:szCs w:val="21"/>
                                        <w:lang w:val="en-US" w:eastAsia="zh-CN"/>
                                      </w:rPr>
                                      <w:t>2</w:t>
                                    </w:r>
                                    <w:r>
                                      <w:rPr>
                                        <w:rFonts w:hint="eastAsia"/>
                                        <w:szCs w:val="21"/>
                                      </w:rPr>
                                      <w:t>、W</w:t>
                                    </w:r>
                                    <w:r>
                                      <w:rPr>
                                        <w:rFonts w:hint="eastAsia"/>
                                        <w:szCs w:val="21"/>
                                        <w:lang w:val="en-US" w:eastAsia="zh-CN"/>
                                      </w:rPr>
                                      <w:t>2</w:t>
                                    </w:r>
                                    <w:r>
                                      <w:rPr>
                                        <w:rFonts w:hint="eastAsia"/>
                                        <w:szCs w:val="21"/>
                                      </w:rPr>
                                      <w:t>、N</w:t>
                                    </w:r>
                                    <w:r>
                                      <w:rPr>
                                        <w:rFonts w:hint="eastAsia"/>
                                        <w:szCs w:val="21"/>
                                        <w:lang w:val="en-US" w:eastAsia="zh-CN"/>
                                      </w:rPr>
                                      <w:t>7</w:t>
                                    </w:r>
                                    <w:r>
                                      <w:rPr>
                                        <w:rFonts w:hint="eastAsia"/>
                                        <w:szCs w:val="21"/>
                                      </w:rPr>
                                      <w:t>、S</w:t>
                                    </w:r>
                                    <w:r>
                                      <w:rPr>
                                        <w:rFonts w:hint="eastAsia"/>
                                        <w:szCs w:val="21"/>
                                        <w:lang w:val="en-US" w:eastAsia="zh-CN"/>
                                      </w:rPr>
                                      <w:t>5、S6、S7</w:t>
                                    </w:r>
                                  </w:p>
                                </w:txbxContent>
                              </wps:txbx>
                              <wps:bodyPr upright="1"/>
                            </wps:wsp>
                            <wps:wsp>
                              <wps:cNvPr id="141" name="直接箭头连接符 205"/>
                              <wps:cNvCnPr/>
                              <wps:spPr>
                                <a:xfrm>
                                  <a:off x="3113405" y="4104005"/>
                                  <a:ext cx="316230" cy="0"/>
                                </a:xfrm>
                                <a:prstGeom prst="straightConnector1">
                                  <a:avLst/>
                                </a:prstGeom>
                                <a:ln w="6350" cap="flat" cmpd="sng">
                                  <a:solidFill>
                                    <a:srgbClr val="000000"/>
                                  </a:solidFill>
                                  <a:prstDash val="sysDash"/>
                                  <a:miter/>
                                  <a:headEnd type="none" w="med" len="med"/>
                                  <a:tailEnd type="triangle" w="med" len="med"/>
                                </a:ln>
                              </wps:spPr>
                              <wps:bodyPr/>
                            </wps:wsp>
                            <wps:wsp>
                              <wps:cNvPr id="142" name="自选图形 348"/>
                              <wps:cNvCnPr/>
                              <wps:spPr>
                                <a:xfrm>
                                  <a:off x="2679065" y="3692525"/>
                                  <a:ext cx="0" cy="301625"/>
                                </a:xfrm>
                                <a:prstGeom prst="straightConnector1">
                                  <a:avLst/>
                                </a:prstGeom>
                                <a:ln w="9525" cap="flat" cmpd="sng">
                                  <a:solidFill>
                                    <a:srgbClr val="000000"/>
                                  </a:solidFill>
                                  <a:prstDash val="solid"/>
                                  <a:headEnd type="none" w="med" len="med"/>
                                  <a:tailEnd type="triangle" w="med" len="med"/>
                                </a:ln>
                              </wps:spPr>
                              <wps:bodyPr/>
                            </wps:wsp>
                            <wps:wsp>
                              <wps:cNvPr id="143" name="矩形 200"/>
                              <wps:cNvSpPr/>
                              <wps:spPr>
                                <a:xfrm>
                                  <a:off x="3433445" y="3959225"/>
                                  <a:ext cx="1048385" cy="257175"/>
                                </a:xfrm>
                                <a:prstGeom prst="rect">
                                  <a:avLst/>
                                </a:prstGeom>
                                <a:solidFill>
                                  <a:srgbClr val="FFFFFF"/>
                                </a:solidFill>
                                <a:ln>
                                  <a:noFill/>
                                </a:ln>
                              </wps:spPr>
                              <wps:txbx>
                                <w:txbxContent>
                                  <w:p>
                                    <w:pPr>
                                      <w:jc w:val="center"/>
                                      <w:rPr>
                                        <w:rFonts w:hint="default" w:eastAsia="宋体"/>
                                        <w:szCs w:val="21"/>
                                        <w:lang w:val="en-US" w:eastAsia="zh-CN"/>
                                      </w:rPr>
                                    </w:pPr>
                                    <w:r>
                                      <w:rPr>
                                        <w:rFonts w:hint="eastAsia"/>
                                        <w:szCs w:val="21"/>
                                      </w:rPr>
                                      <w:t>W2、N</w:t>
                                    </w:r>
                                    <w:r>
                                      <w:rPr>
                                        <w:rFonts w:hint="eastAsia"/>
                                        <w:szCs w:val="21"/>
                                        <w:lang w:val="en-US" w:eastAsia="zh-CN"/>
                                      </w:rPr>
                                      <w:t>5</w:t>
                                    </w:r>
                                  </w:p>
                                </w:txbxContent>
                              </wps:txbx>
                              <wps:bodyPr upright="1"/>
                            </wps:wsp>
                            <wps:wsp>
                              <wps:cNvPr id="144" name="自选图形 348"/>
                              <wps:cNvCnPr/>
                              <wps:spPr>
                                <a:xfrm>
                                  <a:off x="2694305" y="4264025"/>
                                  <a:ext cx="0" cy="301625"/>
                                </a:xfrm>
                                <a:prstGeom prst="straightConnector1">
                                  <a:avLst/>
                                </a:prstGeom>
                                <a:ln w="9525" cap="flat" cmpd="sng">
                                  <a:solidFill>
                                    <a:srgbClr val="000000"/>
                                  </a:solidFill>
                                  <a:prstDash val="solid"/>
                                  <a:headEnd type="none" w="med" len="med"/>
                                  <a:tailEnd type="triangle" w="med" len="med"/>
                                </a:ln>
                              </wps:spPr>
                              <wps:bodyPr/>
                            </wps:wsp>
                            <wps:wsp>
                              <wps:cNvPr id="145" name="矩形 342"/>
                              <wps:cNvSpPr/>
                              <wps:spPr>
                                <a:xfrm>
                                  <a:off x="2282825" y="4561205"/>
                                  <a:ext cx="824230" cy="2571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冷却</w:t>
                                    </w:r>
                                  </w:p>
                                </w:txbxContent>
                              </wps:txbx>
                              <wps:bodyPr upright="1"/>
                            </wps:wsp>
                            <wps:wsp>
                              <wps:cNvPr id="146" name="自选图形 348"/>
                              <wps:cNvCnPr/>
                              <wps:spPr>
                                <a:xfrm>
                                  <a:off x="2694305" y="4827905"/>
                                  <a:ext cx="0" cy="301625"/>
                                </a:xfrm>
                                <a:prstGeom prst="straightConnector1">
                                  <a:avLst/>
                                </a:prstGeom>
                                <a:ln w="9525" cap="flat" cmpd="sng">
                                  <a:solidFill>
                                    <a:srgbClr val="000000"/>
                                  </a:solidFill>
                                  <a:prstDash val="solid"/>
                                  <a:headEnd type="none" w="med" len="med"/>
                                  <a:tailEnd type="triangle" w="med" len="med"/>
                                </a:ln>
                              </wps:spPr>
                              <wps:bodyPr/>
                            </wps:wsp>
                            <wps:wsp>
                              <wps:cNvPr id="147" name="自选图形 348"/>
                              <wps:cNvCnPr/>
                              <wps:spPr>
                                <a:xfrm>
                                  <a:off x="2709545" y="5368925"/>
                                  <a:ext cx="0" cy="301625"/>
                                </a:xfrm>
                                <a:prstGeom prst="straightConnector1">
                                  <a:avLst/>
                                </a:prstGeom>
                                <a:ln w="9525" cap="flat" cmpd="sng">
                                  <a:solidFill>
                                    <a:srgbClr val="000000"/>
                                  </a:solidFill>
                                  <a:prstDash val="solid"/>
                                  <a:headEnd type="none" w="med" len="med"/>
                                  <a:tailEnd type="triangle" w="med" len="med"/>
                                </a:ln>
                              </wps:spPr>
                              <wps:bodyPr/>
                            </wps:wsp>
                            <wps:wsp>
                              <wps:cNvPr id="148" name="矩形 353"/>
                              <wps:cNvSpPr/>
                              <wps:spPr>
                                <a:xfrm>
                                  <a:off x="2336165" y="6228080"/>
                                  <a:ext cx="809625" cy="2571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入库、装箱</w:t>
                                    </w:r>
                                  </w:p>
                                </w:txbxContent>
                              </wps:txbx>
                              <wps:bodyPr upright="1"/>
                            </wps:wsp>
                            <wps:wsp>
                              <wps:cNvPr id="149" name="肘形连接符 9"/>
                              <wps:cNvCnPr>
                                <a:endCxn id="28" idx="1"/>
                              </wps:cNvCnPr>
                              <wps:spPr>
                                <a:xfrm rot="5400000" flipV="1">
                                  <a:off x="1007110" y="2823210"/>
                                  <a:ext cx="1579245" cy="998220"/>
                                </a:xfrm>
                                <a:prstGeom prst="bentConnector2">
                                  <a:avLst/>
                                </a:prstGeom>
                                <a:ln w="6350" cmpd="sng">
                                  <a:solidFill>
                                    <a:schemeClr val="tx1"/>
                                  </a:solidFill>
                                  <a:prstDash val="solid"/>
                                  <a:tailEnd type="triangle" w="sm" len="med"/>
                                </a:ln>
                              </wps:spPr>
                              <wps:style>
                                <a:lnRef idx="2">
                                  <a:schemeClr val="accent1"/>
                                </a:lnRef>
                                <a:fillRef idx="0">
                                  <a:srgbClr val="FFFFFF"/>
                                </a:fillRef>
                                <a:effectRef idx="0">
                                  <a:srgbClr val="FFFFFF"/>
                                </a:effectRef>
                                <a:fontRef idx="minor">
                                  <a:schemeClr val="tx1"/>
                                </a:fontRef>
                              </wps:style>
                              <wps:bodyPr/>
                            </wps:wsp>
                            <wps:wsp>
                              <wps:cNvPr id="150" name="矩形 200"/>
                              <wps:cNvSpPr/>
                              <wps:spPr>
                                <a:xfrm>
                                  <a:off x="1315085" y="3806825"/>
                                  <a:ext cx="838200" cy="254000"/>
                                </a:xfrm>
                                <a:prstGeom prst="rect">
                                  <a:avLst/>
                                </a:prstGeom>
                                <a:solidFill>
                                  <a:srgbClr val="FFFFFF"/>
                                </a:solidFill>
                                <a:ln>
                                  <a:noFill/>
                                </a:ln>
                              </wps:spPr>
                              <wps:txbx>
                                <w:txbxContent>
                                  <w:p>
                                    <w:pPr>
                                      <w:jc w:val="center"/>
                                      <w:rPr>
                                        <w:rFonts w:hint="eastAsia" w:eastAsia="宋体"/>
                                        <w:szCs w:val="21"/>
                                        <w:lang w:val="en-US" w:eastAsia="zh-CN"/>
                                      </w:rPr>
                                    </w:pPr>
                                    <w:r>
                                      <w:rPr>
                                        <w:rFonts w:hint="eastAsia"/>
                                        <w:szCs w:val="21"/>
                                        <w:lang w:val="en-US" w:eastAsia="zh-CN"/>
                                      </w:rPr>
                                      <w:t>蒸汽</w:t>
                                    </w:r>
                                  </w:p>
                                </w:txbxContent>
                              </wps:txbx>
                              <wps:bodyPr upright="1"/>
                            </wps:wsp>
                            <wps:wsp>
                              <wps:cNvPr id="151" name="直接箭头连接符 205"/>
                              <wps:cNvCnPr/>
                              <wps:spPr>
                                <a:xfrm>
                                  <a:off x="3166745" y="6382385"/>
                                  <a:ext cx="316230" cy="0"/>
                                </a:xfrm>
                                <a:prstGeom prst="straightConnector1">
                                  <a:avLst/>
                                </a:prstGeom>
                                <a:ln w="6350" cap="flat" cmpd="sng">
                                  <a:solidFill>
                                    <a:srgbClr val="000000"/>
                                  </a:solidFill>
                                  <a:prstDash val="sysDash"/>
                                  <a:miter/>
                                  <a:headEnd type="none" w="med" len="med"/>
                                  <a:tailEnd type="triangle" w="med" len="med"/>
                                </a:ln>
                              </wps:spPr>
                              <wps:bodyPr/>
                            </wps:wsp>
                            <wps:wsp>
                              <wps:cNvPr id="152" name="矩形 200"/>
                              <wps:cNvSpPr/>
                              <wps:spPr>
                                <a:xfrm>
                                  <a:off x="3524885" y="6260465"/>
                                  <a:ext cx="568325" cy="257175"/>
                                </a:xfrm>
                                <a:prstGeom prst="rect">
                                  <a:avLst/>
                                </a:prstGeom>
                                <a:solidFill>
                                  <a:srgbClr val="FFFFFF"/>
                                </a:solidFill>
                                <a:ln>
                                  <a:noFill/>
                                </a:ln>
                              </wps:spPr>
                              <wps:txbx>
                                <w:txbxContent>
                                  <w:p>
                                    <w:pPr>
                                      <w:jc w:val="center"/>
                                      <w:rPr>
                                        <w:rFonts w:hint="default" w:eastAsia="宋体"/>
                                        <w:szCs w:val="21"/>
                                        <w:lang w:val="en-US" w:eastAsia="zh-CN"/>
                                      </w:rPr>
                                    </w:pPr>
                                    <w:r>
                                      <w:rPr>
                                        <w:rFonts w:hint="eastAsia"/>
                                        <w:szCs w:val="21"/>
                                        <w:lang w:val="en-US" w:eastAsia="zh-CN"/>
                                      </w:rPr>
                                      <w:t>S4</w:t>
                                    </w:r>
                                  </w:p>
                                </w:txbxContent>
                              </wps:txbx>
                              <wps:bodyPr upright="1"/>
                            </wps:wsp>
                            <wps:wsp>
                              <wps:cNvPr id="153" name="矩形 342"/>
                              <wps:cNvSpPr/>
                              <wps:spPr>
                                <a:xfrm>
                                  <a:off x="2308860" y="5102225"/>
                                  <a:ext cx="824230" cy="2571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风干</w:t>
                                    </w:r>
                                  </w:p>
                                </w:txbxContent>
                              </wps:txbx>
                              <wps:bodyPr upright="1"/>
                            </wps:wsp>
                            <wps:wsp>
                              <wps:cNvPr id="154" name="自选图形 348"/>
                              <wps:cNvCnPr/>
                              <wps:spPr>
                                <a:xfrm>
                                  <a:off x="2732405" y="5932805"/>
                                  <a:ext cx="0" cy="301625"/>
                                </a:xfrm>
                                <a:prstGeom prst="straightConnector1">
                                  <a:avLst/>
                                </a:prstGeom>
                                <a:ln w="9525" cap="flat" cmpd="sng">
                                  <a:solidFill>
                                    <a:srgbClr val="000000"/>
                                  </a:solidFill>
                                  <a:prstDash val="solid"/>
                                  <a:headEnd type="none" w="med" len="med"/>
                                  <a:tailEnd type="triangle" w="med" len="med"/>
                                </a:ln>
                              </wps:spPr>
                              <wps:bodyPr/>
                            </wps:wsp>
                            <wps:wsp>
                              <wps:cNvPr id="155" name="矩形 206"/>
                              <wps:cNvSpPr/>
                              <wps:spPr>
                                <a:xfrm>
                                  <a:off x="3441065" y="5117465"/>
                                  <a:ext cx="650240" cy="257175"/>
                                </a:xfrm>
                                <a:prstGeom prst="rect">
                                  <a:avLst/>
                                </a:prstGeom>
                                <a:solidFill>
                                  <a:srgbClr val="FFFFFF"/>
                                </a:solidFill>
                                <a:ln>
                                  <a:noFill/>
                                </a:ln>
                              </wps:spPr>
                              <wps:txbx>
                                <w:txbxContent>
                                  <w:p>
                                    <w:pPr>
                                      <w:ind w:firstLine="210" w:firstLineChars="100"/>
                                      <w:jc w:val="both"/>
                                      <w:rPr>
                                        <w:rFonts w:hint="eastAsia" w:eastAsia="宋体"/>
                                        <w:szCs w:val="21"/>
                                        <w:lang w:eastAsia="zh-CN"/>
                                      </w:rPr>
                                    </w:pPr>
                                    <w:r>
                                      <w:rPr>
                                        <w:rFonts w:hint="eastAsia"/>
                                        <w:szCs w:val="21"/>
                                      </w:rPr>
                                      <w:t>N</w:t>
                                    </w:r>
                                    <w:r>
                                      <w:rPr>
                                        <w:rFonts w:hint="eastAsia"/>
                                        <w:szCs w:val="21"/>
                                        <w:lang w:val="en-US" w:eastAsia="zh-CN"/>
                                      </w:rPr>
                                      <w:t>6</w:t>
                                    </w:r>
                                  </w:p>
                                </w:txbxContent>
                              </wps:txbx>
                              <wps:bodyPr upright="1"/>
                            </wps:wsp>
                            <wps:wsp>
                              <wps:cNvPr id="156" name="直接箭头连接符 205"/>
                              <wps:cNvCnPr/>
                              <wps:spPr>
                                <a:xfrm>
                                  <a:off x="3143885" y="5254625"/>
                                  <a:ext cx="316230" cy="0"/>
                                </a:xfrm>
                                <a:prstGeom prst="straightConnector1">
                                  <a:avLst/>
                                </a:prstGeom>
                                <a:ln w="6350" cap="flat" cmpd="sng">
                                  <a:solidFill>
                                    <a:srgbClr val="000000"/>
                                  </a:solidFill>
                                  <a:prstDash val="sysDash"/>
                                  <a:miter/>
                                  <a:headEnd type="none" w="med" len="med"/>
                                  <a:tailEnd type="triangle" w="med" len="med"/>
                                </a:ln>
                              </wps:spPr>
                              <wps:bodyPr/>
                            </wps:wsp>
                          </wpc:wpc>
                        </a:graphicData>
                      </a:graphic>
                    </wp:inline>
                  </w:drawing>
                </mc:Choice>
                <mc:Fallback>
                  <w:pict>
                    <v:group id="画布 190" o:spid="_x0000_s1026" o:spt="203" style="height:512.5pt;width:462pt;" coordsize="5867400,6508750" editas="canvas" o:gfxdata="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">
                      <o:lock v:ext="edit" aspectratio="f"/>
                      <v:shape id="画布 190" o:spid="_x0000_s1026" style="position:absolute;left:0;top:0;height:6508750;width:5867400;" filled="f" stroked="f" coordsize="21600,21600" o:gfxdata="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">
                        <v:fill on="f" focussize="0,0"/>
                        <v:stroke on="f"/>
                        <v:imagedata o:title=""/>
                        <o:lock v:ext="edit" aspectratio="t"/>
                      </v:shape>
                      <v:rect id="矩形 336" o:spid="_x0000_s1026" o:spt="1" style="position:absolute;left:2249809;top:38100;height:257100;width:808903;"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0tZzX1AAAAAYBAAAPAAAAAAAAAAEAIAAA&#10;ACIAAABkcnMvZG93bnJldi54bWxQSwECFAAUAAAACACHTuJAgMn0sxACAAA2BAAADgAAAAAAAAAB&#10;ACAAAAAjAQAAZHJzL2Uyb0RvYy54bWxQSwUGAAAAAAYABgBZAQAApQUAAAAA&#10;">
                        <v:fill on="t" focussize="0,0"/>
                        <v:stroke color="#000000" joinstyle="miter"/>
                        <v:imagedata o:title=""/>
                        <o:lock v:ext="edit" aspectratio="f"/>
                        <v:textbox>
                          <w:txbxContent>
                            <w:p>
                              <w:pPr>
                                <w:jc w:val="center"/>
                              </w:pPr>
                              <w:r>
                                <w:rPr>
                                  <w:rFonts w:hint="eastAsia"/>
                                </w:rPr>
                                <w:t>玉米</w:t>
                              </w:r>
                            </w:p>
                          </w:txbxContent>
                        </v:textbox>
                      </v:rect>
                      <v:rect id="矩形 337" o:spid="_x0000_s1026" o:spt="1" style="position:absolute;left:2093595;top:1028700;height:257175;width:1212850;"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LWc19QAAAAGAQAADwAAAAAAAAABACAAAAAi&#10;AAAAZHJzL2Rvd25yZXYueG1sUEsBAhQAFAAAAAgAh07iQGljvvcOAgAAOQQAAA4AAAAAAAAAAQAg&#10;AAAAIwEAAGRycy9lMm9Eb2MueG1sUEsFBgAAAAAGAAYAWQEAAKMFA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挑选、切头、去尾</w:t>
                              </w:r>
                            </w:p>
                          </w:txbxContent>
                        </v:textbox>
                      </v:rect>
                      <v:rect id="矩形 338" o:spid="_x0000_s1026" o:spt="1" style="position:absolute;left:2249809;top:514301;height:257200;width:809603;"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S1nNfUAAAABgEAAA8AAAAAAAAAAQAgAAAA&#10;IgAAAGRycy9kb3ducmV2LnhtbFBLAQIUABQAAAAIAIdO4kCHzKNdDwIAADcEAAAOAAAAAAAAAAEA&#10;IAAAACMBAABkcnMvZTJvRG9jLnhtbFBLBQYAAAAABgAGAFkBAACkBQAAAAA=&#10;">
                        <v:fill on="t" focussize="0,0"/>
                        <v:stroke color="#000000" joinstyle="miter"/>
                        <v:imagedata o:title=""/>
                        <o:lock v:ext="edit" aspectratio="f"/>
                        <v:textbox>
                          <w:txbxContent>
                            <w:p>
                              <w:pPr>
                                <w:jc w:val="center"/>
                              </w:pPr>
                              <w:r>
                                <w:rPr>
                                  <w:rFonts w:hint="eastAsia"/>
                                </w:rPr>
                                <w:t>剥皮</w:t>
                              </w:r>
                            </w:p>
                          </w:txbxContent>
                        </v:textbox>
                      </v:rect>
                      <v:rect id="矩形 340" o:spid="_x0000_s1026" o:spt="1" style="position:absolute;left:2240308;top:2253004;height:257200;width:828603;"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S1nNfUAAAABgEAAA8AAAAAAAAAAQAgAAAAIgAA&#10;AGRycy9kb3ducmV2LnhtbFBLAQIUABQAAAAIAIdO4kBE25ozDAIAADgEAAAOAAAAAAAAAAEAIAAA&#10;ACMBAABkcnMvZTJvRG9jLnhtbFBLBQYAAAAABgAGAFkBAAChBQ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蒸煮</w:t>
                              </w:r>
                            </w:p>
                          </w:txbxContent>
                        </v:textbox>
                      </v:rect>
                      <v:rect id="矩形 341" o:spid="_x0000_s1026" o:spt="1" style="position:absolute;left:2249809;top:1572903;height:257200;width:809603;"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0tZzX1AAAAAYBAAAPAAAAAAAAAAEAIAAA&#10;ACIAAABkcnMvZG93bnJldi54bWxQSwECFAAUAAAACACHTuJAnHkQXRACAAA4BAAADgAAAAAAAAAB&#10;ACAAAAAjAQAAZHJzL2Uyb0RvYy54bWxQSwUGAAAAAAYABgBZAQAApQUAAAAA&#10;">
                        <v:fill on="t" focussize="0,0"/>
                        <v:stroke color="#000000" joinstyle="miter"/>
                        <v:imagedata o:title=""/>
                        <o:lock v:ext="edit" aspectratio="f"/>
                        <v:textbox>
                          <w:txbxContent>
                            <w:p>
                              <w:pPr>
                                <w:jc w:val="center"/>
                              </w:pPr>
                              <w:r>
                                <w:rPr>
                                  <w:rFonts w:hint="eastAsia"/>
                                </w:rPr>
                                <w:t>清洗</w:t>
                              </w:r>
                            </w:p>
                          </w:txbxContent>
                        </v:textbox>
                      </v:rect>
                      <v:rect id="矩形 342" o:spid="_x0000_s1026" o:spt="1" style="position:absolute;left:2256155;top:2863850;height:257175;width:824230;"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LWc19QAAAAGAQAADwAAAAAAAAABACAAAAAi&#10;AAAAZHJzL2Rvd25yZXYueG1sUEsBAhQAFAAAAAgAh07iQGmH1s8OAgAAOAQAAA4AAAAAAAAAAQAg&#10;AAAAIwEAAGRycy9lMm9Eb2MueG1sUEsFBgAAAAAGAAYAWQEAAKMFAAAAAA==&#10;">
                        <v:fill on="t" focussize="0,0"/>
                        <v:stroke color="#000000" joinstyle="miter"/>
                        <v:imagedata o:title=""/>
                        <o:lock v:ext="edit" aspectratio="f"/>
                        <v:textbox>
                          <w:txbxContent>
                            <w:p>
                              <w:pPr>
                                <w:jc w:val="center"/>
                              </w:pPr>
                              <w:r>
                                <w:rPr>
                                  <w:rFonts w:hint="eastAsia"/>
                                </w:rPr>
                                <w:t>冷却</w:t>
                              </w:r>
                            </w:p>
                          </w:txbxContent>
                        </v:textbox>
                      </v:rect>
                      <v:shape id="自选图形 344" o:spid="_x0000_s1026" o:spt="34" type="#_x0000_t34" style="position:absolute;left:2544410;top:403801;flip:x;height:700;width:219101;rotation:5898240f;" filled="f" stroked="t" coordsize="21600,21600" o:gfxdata="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X6zcDUAAAABgEAAA8AAAAAAAAAAQAgAAAAIgAAAGRycy9kb3ducmV2Lnht&#10;bFBLAQIUABQAAAAIAIdO4kBlYCHFNgIAAEMEAAAOAAAAAAAAAAEAIAAAACMBAABkcnMvZTJvRG9j&#10;LnhtbFBLBQYAAAAABgAGAFkBAADLBQAAAAA=&#10;" adj="10769">
                        <v:fill on="f" focussize="0,0"/>
                        <v:stroke color="#000000" joinstyle="miter" endarrow="block"/>
                        <v:imagedata o:title=""/>
                        <o:lock v:ext="edit" aspectratio="f"/>
                      </v:shape>
                      <v:shape id="自选图形 345" o:spid="_x0000_s1026" o:spt="32" type="#_x0000_t32" style="position:absolute;left:2526010;top:899102;height:600;width:257201;rotation:5898240f;" filled="f" stroked="t" coordsize="21600,21600" o:gfxdata="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PcqpXWAAAABgEAAA8AAAAAAAAA&#10;AQAgAAAAIgAAAGRycy9kb3ducmV2LnhtbFBLAQIUABQAAAAIAIdO4kBNGqQSEwIAAAUEAAAOAAAA&#10;AAAAAAEAIAAAACUBAABkcnMvZTJvRG9jLnhtbFBLBQYAAAAABgAGAFkBAACqBQAAAAA=&#10;">
                        <v:fill on="f" focussize="0,0"/>
                        <v:stroke color="#000000" joinstyle="round" endarrow="block"/>
                        <v:imagedata o:title=""/>
                        <o:lock v:ext="edit" aspectratio="f"/>
                      </v:shape>
                      <v:shape id="自选图形 346" o:spid="_x0000_s1026" o:spt="32" type="#_x0000_t32" style="position:absolute;left:2516510;top:1423003;height:600;width:276201;rotation:5898240f;" filled="f" stroked="t" coordsize="21600,21600" o:gfxdata="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z3KqV1gAAAAYBAAAPAAAAAAAA&#10;AAEAIAAAACIAAABkcnMvZG93bnJldi54bWxQSwECFAAUAAAACACHTuJApdjsXBQCAAAGBAAADgAA&#10;AAAAAAABACAAAAAlAQAAZHJzL2Uyb0RvYy54bWxQSwUGAAAAAAYABgBZAQAAqwUAAAAA&#10;">
                        <v:fill on="f" focussize="0,0"/>
                        <v:stroke color="#000000" joinstyle="round" endarrow="block"/>
                        <v:imagedata o:title=""/>
                        <o:lock v:ext="edit" aspectratio="f"/>
                      </v:shape>
                      <v:shape id="自选图形 348" o:spid="_x0000_s1026" o:spt="32" type="#_x0000_t32" style="position:absolute;left:2654310;top:1840203;flip:x;height:417201;width:600;" filled="f" stroked="t" coordsize="21600,21600" o:gfxdata="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iC5NTWAAAABgEAAA8AAAAAAAAA&#10;AQAgAAAAIgAAAGRycy9kb3ducmV2LnhtbFBLAQIUABQAAAAIAIdO4kCCtLEGEwIAAAIEAAAOAAAA&#10;AAAAAAEAIAAAACUBAABkcnMvZTJvRG9jLnhtbFBLBQYAAAAABgAGAFkBAACqBQAAAAA=&#10;">
                        <v:fill on="f" focussize="0,0"/>
                        <v:stroke color="#000000" joinstyle="round" endarrow="block"/>
                        <v:imagedata o:title=""/>
                        <o:lock v:ext="edit" aspectratio="f"/>
                      </v:shape>
                      <v:rect id="矩形 351" o:spid="_x0000_s1026" o:spt="1" style="position:absolute;left:2295525;top:3983355;height:257175;width:809625;"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0tZzX1AAAAAYBAAAPAAAAAAAAAAEAIAAA&#10;ACIAAABkcnMvZG93bnJldi54bWxQSwECFAAUAAAACACHTuJAPfQXdBACAAA4BAAADgAAAAAAAAAB&#10;ACAAAAAjAQAAZHJzL2Uyb0RvYy54bWxQSwUGAAAAAAYABgBZAQAApQU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高温灭菌</w:t>
                              </w:r>
                            </w:p>
                          </w:txbxContent>
                        </v:textbox>
                      </v:rect>
                      <v:rect id="矩形 352" o:spid="_x0000_s1026" o:spt="1" style="position:absolute;left:2272665;top:3437890;height:257175;width:809625;"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LWc19QAAAAGAQAADwAAAAAAAAABACAAAAAi&#10;AAAAZHJzL2Rvd25yZXYueG1sUEsBAhQAFAAAAAgAh07iQEjMoUcOAgAAOAQAAA4AAAAAAAAAAQAg&#10;AAAAIwEAAGRycy9lMm9Eb2MueG1sUEsFBgAAAAAGAAYAWQEAAKMFAAAAAA==&#10;">
                        <v:fill on="t" focussize="0,0"/>
                        <v:stroke color="#000000" joinstyle="miter"/>
                        <v:imagedata o:title=""/>
                        <o:lock v:ext="edit" aspectratio="f"/>
                        <v:textbox>
                          <w:txbxContent>
                            <w:p>
                              <w:pPr>
                                <w:jc w:val="center"/>
                              </w:pPr>
                              <w:r>
                                <w:rPr>
                                  <w:rFonts w:hint="eastAsia"/>
                                </w:rPr>
                                <w:t>包装</w:t>
                              </w:r>
                            </w:p>
                          </w:txbxContent>
                        </v:textbox>
                      </v:rect>
                      <v:rect id="矩形 353" o:spid="_x0000_s1026" o:spt="1" style="position:absolute;left:2324100;top:5680075;height:257175;width:809625;"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LWc19QAAAAGAQAADwAAAAAAAAABACAA&#10;AAAiAAAAZHJzL2Rvd25yZXYueG1sUEsBAhQAFAAAAAgAh07iQGSUdU8RAgAAOAQAAA4AAAAAAAAA&#10;AQAgAAAAIwEAAGRycy9lMm9Eb2MueG1sUEsFBgAAAAAGAAYAWQEAAKYFA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检验、打码</w:t>
                              </w:r>
                            </w:p>
                          </w:txbxContent>
                        </v:textbox>
                      </v:rect>
                      <v:shape id="直接箭头连接符 191" o:spid="_x0000_s1026" o:spt="32" type="#_x0000_t32" style="position:absolute;left:3078412;top:652001;height:0;width:316801;" filled="f" stroked="t" coordsize="21600,21600" o:gfxdata="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vGGJ7SAAAABgEAAA8AAAAA&#10;AAAAAQAgAAAAIgAAAGRycy9kb3ducmV2LnhtbFBLAQIUABQAAAAIAIdO4kB5uftoGgIAAAoEAAAO&#10;AAAAAAAAAAEAIAAAACEBAABkcnMvZTJvRG9jLnhtbFBLBQYAAAAABgAGAFkBAACtBQAAAAA=&#10;">
                        <v:fill on="f" focussize="0,0"/>
                        <v:stroke weight="0.5pt" color="#000000" joinstyle="miter" dashstyle="3 1" endarrow="block"/>
                        <v:imagedata o:title=""/>
                        <o:lock v:ext="edit" aspectratio="f"/>
                      </v:shape>
                      <v:rect id="矩形 192" o:spid="_x0000_s1026" o:spt="1" style="position:absolute;left:3416113;top:513701;height:257100;width:893503;" fillcolor="#FFFFFF" filled="t" stroked="f" coordsize="21600,21600" o:gfxdata="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NOTFzfUAAAABgEAAA8AAAAAAAAAAQAgAAAAIgAAAGRycy9kb3ducmV2&#10;LnhtbFBLAQIUABQAAAAIAIdO4kC4nzZExwEAAHgDAAAOAAAAAAAAAAEAIAAAACMBAABkcnMvZTJv&#10;RG9jLnhtbFBLBQYAAAAABgAGAFkBAABcBQAAAAA=&#10;">
                        <v:fill on="t" focussize="0,0"/>
                        <v:stroke on="f"/>
                        <v:imagedata o:title=""/>
                        <o:lock v:ext="edit" aspectratio="f"/>
                        <v:textbox>
                          <w:txbxContent>
                            <w:p>
                              <w:pPr>
                                <w:jc w:val="center"/>
                                <w:rPr>
                                  <w:szCs w:val="21"/>
                                </w:rPr>
                              </w:pPr>
                              <w:r>
                                <w:rPr>
                                  <w:rFonts w:hint="eastAsia"/>
                                  <w:szCs w:val="21"/>
                                </w:rPr>
                                <w:t>S1、N1</w:t>
                              </w:r>
                            </w:p>
                          </w:txbxContent>
                        </v:textbox>
                      </v:rect>
                      <v:rect id="矩形 193" o:spid="_x0000_s1026" o:spt="1" style="position:absolute;left:3644265;top:1037590;height:257175;width:892810;" fillcolor="#FFFFFF" filled="t" stroked="f" coordsize="21600,21600" o:gfxdata="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Tkxc31AAAAAYBAAAPAAAAAAAAAAEAIAAAACIAAABkcnMvZG93bnJldi54&#10;bWxQSwECFAAUAAAACACHTuJAd/e5PcUBAAB5AwAADgAAAAAAAAABACAAAAAjAQAAZHJzL2Uyb0Rv&#10;Yy54bWxQSwUGAAAAAAYABgBZAQAAWgUAAAAA&#10;">
                        <v:fill on="t" focussize="0,0"/>
                        <v:stroke on="f"/>
                        <v:imagedata o:title=""/>
                        <o:lock v:ext="edit" aspectratio="f"/>
                        <v:textbox>
                          <w:txbxContent>
                            <w:p>
                              <w:pPr>
                                <w:jc w:val="center"/>
                                <w:rPr>
                                  <w:rFonts w:hint="default" w:eastAsia="宋体"/>
                                  <w:szCs w:val="21"/>
                                  <w:lang w:val="en-US" w:eastAsia="zh-CN"/>
                                </w:rPr>
                              </w:pPr>
                              <w:r>
                                <w:rPr>
                                  <w:rFonts w:hint="eastAsia"/>
                                  <w:szCs w:val="21"/>
                                </w:rPr>
                                <w:t>S2</w:t>
                              </w:r>
                              <w:r>
                                <w:rPr>
                                  <w:rFonts w:hint="eastAsia"/>
                                  <w:szCs w:val="21"/>
                                  <w:lang w:eastAsia="zh-CN"/>
                                </w:rPr>
                                <w:t>、</w:t>
                              </w:r>
                              <w:r>
                                <w:rPr>
                                  <w:rFonts w:hint="eastAsia"/>
                                  <w:szCs w:val="21"/>
                                  <w:lang w:val="en-US" w:eastAsia="zh-CN"/>
                                </w:rPr>
                                <w:t>N2</w:t>
                              </w:r>
                            </w:p>
                          </w:txbxContent>
                        </v:textbox>
                      </v:rect>
                      <v:shape id="直接箭头连接符 194" o:spid="_x0000_s1026" o:spt="32" type="#_x0000_t32" style="position:absolute;left:3315335;top:1172210;height:0;width:316230;" filled="f" stroked="t" coordsize="21600,21600" o:gfxdata="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8YYntIAAAAGAQAADwAAAAAA&#10;AAABACAAAAAiAAAAZHJzL2Rvd25yZXYueG1sUEsBAhQAFAAAAAgAh07iQO46IF8ZAgAACwQAAA4A&#10;AAAAAAAAAQAgAAAAIQEAAGRycy9lMm9Eb2MueG1sUEsFBgAAAAAGAAYAWQEAAKwFAAAAAA==&#10;">
                        <v:fill on="f" focussize="0,0"/>
                        <v:stroke weight="0.5pt" color="#000000" joinstyle="miter" dashstyle="3 1" endarrow="block"/>
                        <v:imagedata o:title=""/>
                        <o:lock v:ext="edit" aspectratio="f"/>
                      </v:shape>
                      <v:shape id="直接箭头连接符 196" o:spid="_x0000_s1026" o:spt="32" type="#_x0000_t32" style="position:absolute;left:3060712;top:1701203;height:0;width:316201;" filled="f" stroked="t" coordsize="21600,21600" o:gfxdata="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bxhie0gAAAAYBAAAPAAAA&#10;AAAAAAEAIAAAACIAAABkcnMvZG93bnJldi54bWxQSwECFAAUAAAACACHTuJAycz7JhsCAAALBAAA&#10;DgAAAAAAAAABACAAAAAhAQAAZHJzL2Uyb0RvYy54bWxQSwUGAAAAAAYABgBZAQAArgUAAAAA&#10;">
                        <v:fill on="f" focussize="0,0"/>
                        <v:stroke weight="0.5pt" color="#000000" joinstyle="miter" dashstyle="3 1" endarrow="block"/>
                        <v:imagedata o:title=""/>
                        <o:lock v:ext="edit" aspectratio="f"/>
                      </v:shape>
                      <v:shape id="直接箭头连接符 197" o:spid="_x0000_s1026" o:spt="32" type="#_x0000_t32" style="position:absolute;left:3078512;top:2390805;height:0;width:316201;" filled="f" stroked="t" coordsize="21600,21600" o:gfxdata="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m8YYntIAAAAGAQAADwAA&#10;AAAAAAABACAAAAAiAAAAZHJzL2Rvd25yZXYueG1sUEsBAhQAFAAAAAgAh07iQPFUoAMcAgAACwQA&#10;AA4AAAAAAAAAAQAgAAAAIQEAAGRycy9lMm9Eb2MueG1sUEsFBgAAAAAGAAYAWQEAAK8FAAAAAA==&#10;">
                        <v:fill on="f" focussize="0,0"/>
                        <v:stroke weight="0.5pt" color="#000000" joinstyle="miter" dashstyle="3 1" endarrow="block"/>
                        <v:imagedata o:title=""/>
                        <o:lock v:ext="edit" aspectratio="f"/>
                      </v:shape>
                      <v:rect id="矩形 199" o:spid="_x0000_s1026" o:spt="1" style="position:absolute;left:3379513;top:1554503;height:256500;width:892803;" fillcolor="#FFFFFF" filled="t" stroked="f" coordsize="21600,21600" o:gfxdata="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NOTFzfUAAAABgEAAA8AAAAAAAAAAQAgAAAAIgAAAGRycy9kb3ducmV2&#10;LnhtbFBLAQIUABQAAAAIAIdO4kDIwhXOxwEAAHkDAAAOAAAAAAAAAAEAIAAAACMBAABkcnMvZTJv&#10;RG9jLnhtbFBLBQYAAAAABgAGAFkBAABcBQAAAAA=&#10;">
                        <v:fill on="t" focussize="0,0"/>
                        <v:stroke on="f"/>
                        <v:imagedata o:title=""/>
                        <o:lock v:ext="edit" aspectratio="f"/>
                        <v:textbox>
                          <w:txbxContent>
                            <w:p>
                              <w:pPr>
                                <w:jc w:val="center"/>
                                <w:rPr>
                                  <w:rFonts w:hint="eastAsia" w:eastAsia="宋体"/>
                                  <w:szCs w:val="21"/>
                                  <w:lang w:eastAsia="zh-CN"/>
                                </w:rPr>
                              </w:pPr>
                              <w:r>
                                <w:rPr>
                                  <w:rFonts w:hint="eastAsia"/>
                                  <w:szCs w:val="21"/>
                                </w:rPr>
                                <w:t>W1、N</w:t>
                              </w:r>
                              <w:r>
                                <w:rPr>
                                  <w:rFonts w:hint="eastAsia"/>
                                  <w:szCs w:val="21"/>
                                  <w:lang w:val="en-US" w:eastAsia="zh-CN"/>
                                </w:rPr>
                                <w:t>3</w:t>
                              </w:r>
                            </w:p>
                          </w:txbxContent>
                        </v:textbox>
                      </v:rect>
                      <v:rect id="矩形 200" o:spid="_x0000_s1026" o:spt="1" style="position:absolute;left:3413113;top:2248504;height:257200;width:1048404;" fillcolor="#FFFFFF" filled="t" stroked="f" coordsize="21600,21600" o:gfxdata="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05MXN9QAAAAGAQAADwAAAAAAAAABACAAAAAiAAAAZHJzL2Rvd25yZXYu&#10;eG1sUEsBAhQAFAAAAAgAh07iQKAMtDLGAQAAegMAAA4AAAAAAAAAAQAgAAAAIwEAAGRycy9lMm9E&#10;b2MueG1sUEsFBgAAAAAGAAYAWQEAAFsFAAAAAA==&#10;">
                        <v:fill on="t" focussize="0,0"/>
                        <v:stroke on="f"/>
                        <v:imagedata o:title=""/>
                        <o:lock v:ext="edit" aspectratio="f"/>
                        <v:textbox>
                          <w:txbxContent>
                            <w:p>
                              <w:pPr>
                                <w:jc w:val="center"/>
                                <w:rPr>
                                  <w:szCs w:val="21"/>
                                </w:rPr>
                              </w:pPr>
                              <w:r>
                                <w:rPr>
                                  <w:rFonts w:hint="eastAsia"/>
                                  <w:szCs w:val="21"/>
                                </w:rPr>
                                <w:t>G</w:t>
                              </w:r>
                              <w:r>
                                <w:rPr>
                                  <w:rFonts w:hint="eastAsia"/>
                                  <w:szCs w:val="21"/>
                                  <w:lang w:val="en-US" w:eastAsia="zh-CN"/>
                                </w:rPr>
                                <w:t>1</w:t>
                              </w:r>
                              <w:r>
                                <w:rPr>
                                  <w:rFonts w:hint="eastAsia"/>
                                  <w:szCs w:val="21"/>
                                </w:rPr>
                                <w:t>、W2、N3</w:t>
                              </w:r>
                            </w:p>
                          </w:txbxContent>
                        </v:textbox>
                      </v:rect>
                      <v:shape id="直接箭头连接符 205" o:spid="_x0000_s1026" o:spt="32" type="#_x0000_t32" style="position:absolute;left:3076575;top:3563620;height:0;width:316230;" filled="f" stroked="t" coordsize="21600,21600" o:gfxdata="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vGGJ7SAAAABgEAAA8AAAAA&#10;AAAAAQAgAAAAIgAAAGRycy9kb3ducmV2LnhtbFBLAQIUABQAAAAIAIdO4kCPgkF0GgIAAAsEAAAO&#10;AAAAAAAAAAEAIAAAACEBAABkcnMvZTJvRG9jLnhtbFBLBQYAAAAABgAGAFkBAACtBQAAAAA=&#10;">
                        <v:fill on="f" focussize="0,0"/>
                        <v:stroke weight="0.5pt" color="#000000" joinstyle="miter" dashstyle="3 1" endarrow="block"/>
                        <v:imagedata o:title=""/>
                        <o:lock v:ext="edit" aspectratio="f"/>
                      </v:shape>
                      <v:rect id="矩形 206" o:spid="_x0000_s1026" o:spt="1" style="position:absolute;left:3386455;top:3422650;height:257175;width:892810;" fillcolor="#FFFFFF" filled="t" stroked="f" coordsize="21600,21600" o:gfxdata="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Tkxc31AAAAAYBAAAPAAAAAAAAAAEAIAAAACIAAABkcnMvZG93bnJldi54&#10;bWxQSwECFAAUAAAACACHTuJA6XusjMUBAAB5AwAADgAAAAAAAAABACAAAAAjAQAAZHJzL2Uyb0Rv&#10;Yy54bWxQSwUGAAAAAAYABgBZAQAAWgUAAAAA&#10;">
                        <v:fill on="t" focussize="0,0"/>
                        <v:stroke on="f"/>
                        <v:imagedata o:title=""/>
                        <o:lock v:ext="edit" aspectratio="f"/>
                        <v:textbox>
                          <w:txbxContent>
                            <w:p>
                              <w:pPr>
                                <w:jc w:val="center"/>
                                <w:rPr>
                                  <w:rFonts w:hint="eastAsia" w:eastAsia="宋体"/>
                                  <w:szCs w:val="21"/>
                                  <w:lang w:eastAsia="zh-CN"/>
                                </w:rPr>
                              </w:pPr>
                              <w:r>
                                <w:rPr>
                                  <w:rFonts w:hint="eastAsia"/>
                                  <w:szCs w:val="21"/>
                                </w:rPr>
                                <w:t>S</w:t>
                              </w:r>
                              <w:r>
                                <w:rPr>
                                  <w:rFonts w:hint="eastAsia"/>
                                  <w:szCs w:val="21"/>
                                  <w:lang w:val="en-US" w:eastAsia="zh-CN"/>
                                </w:rPr>
                                <w:t>3</w:t>
                              </w:r>
                              <w:r>
                                <w:rPr>
                                  <w:rFonts w:hint="eastAsia"/>
                                  <w:szCs w:val="21"/>
                                </w:rPr>
                                <w:t>、N</w:t>
                              </w:r>
                              <w:r>
                                <w:rPr>
                                  <w:rFonts w:hint="eastAsia"/>
                                  <w:szCs w:val="21"/>
                                  <w:lang w:val="en-US" w:eastAsia="zh-CN"/>
                                </w:rPr>
                                <w:t>4</w:t>
                              </w:r>
                            </w:p>
                          </w:txbxContent>
                        </v:textbox>
                      </v:rect>
                      <v:rect id="矩形 340" o:spid="_x0000_s1026" o:spt="1" style="position:absolute;left:728303;top:2275804;height:257200;width:1138004;"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0tZzX1AAAAAYBAAAPAAAAAAAAAAEAIAAAACIA&#10;AABkcnMvZG93bnJldi54bWxQSwECFAAUAAAACACHTuJAek3jZw0CAAA4BAAADgAAAAAAAAABACAA&#10;AAAjAQAAZHJzL2Uyb0RvYy54bWxQSwUGAAAAAAYABgBZAQAAogUAAAAA&#10;">
                        <v:fill on="t" focussize="0,0"/>
                        <v:stroke color="#000000" joinstyle="miter"/>
                        <v:imagedata o:title=""/>
                        <o:lock v:ext="edit" aspectratio="f"/>
                        <v:textbox>
                          <w:txbxContent>
                            <w:p>
                              <w:pPr>
                                <w:jc w:val="center"/>
                              </w:pPr>
                              <w:r>
                                <w:rPr>
                                  <w:rFonts w:hint="eastAsia"/>
                                </w:rPr>
                                <w:t>生物质蒸汽锅炉</w:t>
                              </w:r>
                            </w:p>
                          </w:txbxContent>
                        </v:textbox>
                      </v:rect>
                      <v:shape id="自选图形 164" o:spid="_x0000_s1026" o:spt="32" type="#_x0000_t32" style="position:absolute;left:1874507;top:2400905;height:0;width:363901;" filled="f" stroked="t" coordsize="21600,21600" o:gfxdata="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omkPy1gAAAAYBAAAPAAAAAAAAAAEAIAAA&#10;ACIAAABkcnMvZG93bnJldi54bWxQSwECFAAUAAAACACHTuJA7DQoeQ4CAAD2AwAADgAAAAAAAAAB&#10;ACAAAAAlAQAAZHJzL2Uyb0RvYy54bWxQSwUGAAAAAAYABgBZAQAApQUAAAAA&#10;">
                        <v:fill on="f" focussize="0,0"/>
                        <v:stroke color="#000000" joinstyle="round" endarrow="block"/>
                        <v:imagedata o:title=""/>
                        <o:lock v:ext="edit" aspectratio="f"/>
                      </v:shape>
                      <v:shape id="自选图形 348" o:spid="_x0000_s1026" o:spt="32" type="#_x0000_t32" style="position:absolute;left:2663810;top:2505705;height:346710;width:0;" filled="f" stroked="t" coordsize="21600,21600" o:gfxdata="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omkPy1gAAAAYBAAAPAAAAAAAAAAEAIAAAACIA&#10;AABkcnMvZG93bnJldi54bWxQSwECFAAUAAAACACHTuJABSNhuQsCAAD2AwAADgAAAAAAAAABACAA&#10;AAAlAQAAZHJzL2Uyb0RvYy54bWxQSwUGAAAAAAYABgBZAQAAogUAAAAA&#10;">
                        <v:fill on="f" focussize="0,0"/>
                        <v:stroke color="#000000" joinstyle="round" endarrow="block"/>
                        <v:imagedata o:title=""/>
                        <o:lock v:ext="edit" aspectratio="f"/>
                      </v:shape>
                      <v:shape id="自选图形 348" o:spid="_x0000_s1026" o:spt="32" type="#_x0000_t32" style="position:absolute;left:2679065;top:3127375;height:301625;width:0;" filled="f" stroked="t" coordsize="21600,21600" o:gfxdata="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iaQ/LWAAAABgEAAA8AAAAAAAAAAQAgAAAA&#10;IgAAAGRycy9kb3ducmV2LnhtbFBLAQIUABQAAAAIAIdO4kCNtONPDQIAAPYDAAAOAAAAAAAAAAEA&#10;IAAAACUBAABkcnMvZTJvRG9jLnhtbFBLBQYAAAAABgAGAFkBAACkBQAAAAA=&#10;">
                        <v:fill on="f" focussize="0,0"/>
                        <v:stroke color="#000000" joinstyle="round" endarrow="block"/>
                        <v:imagedata o:title=""/>
                        <o:lock v:ext="edit" aspectratio="f"/>
                      </v:shape>
                      <v:shape id="直接箭头连接符 197" o:spid="_x0000_s1026" o:spt="32" type="#_x0000_t32" style="position:absolute;left:1306205;top:1795103;flip:x y;height:490901;width:3200;" filled="f" stroked="t" coordsize="21600,21600" o:gfxdata="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tg&#10;wEDUAAAABgEAAA8AAAAAAAAAAQAgAAAAIgAAAGRycy9kb3ducmV2LnhtbFBLAQIUABQAAAAIAIdO&#10;4kBwmlTsJwIAACIEAAAOAAAAAAAAAAEAIAAAACMBAABkcnMvZTJvRG9jLnhtbFBLBQYAAAAABgAG&#10;AFkBAAC8BQAAAAA=&#10;">
                        <v:fill on="f" focussize="0,0"/>
                        <v:stroke weight="0.5pt" color="#000000" joinstyle="miter" dashstyle="3 1" endarrow="block"/>
                        <v:imagedata o:title=""/>
                        <o:lock v:ext="edit" aspectratio="f"/>
                      </v:shape>
                      <v:rect id="矩形 200" o:spid="_x0000_s1026" o:spt="1" style="position:absolute;left:98425;top:1497965;height:254000;width:1907540;" fillcolor="#FFFFFF" filled="t" stroked="f" coordsize="21600,21600" o:gfxdata="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05MXN9QAAAAGAQAADwAAAAAAAAABACAAAAAiAAAAZHJzL2Rvd25yZXYueG1s&#10;UEsBAhQAFAAAAAgAh07iQBAbvi/DAQAAeAMAAA4AAAAAAAAAAQAgAAAAIwEAAGRycy9lMm9Eb2Mu&#10;eG1sUEsFBgAAAAAGAAYAWQEAAFgFAAAAAA==&#10;">
                        <v:fill on="t" focussize="0,0"/>
                        <v:stroke on="f"/>
                        <v:imagedata o:title=""/>
                        <o:lock v:ext="edit" aspectratio="f"/>
                        <v:textbox>
                          <w:txbxContent>
                            <w:p>
                              <w:pPr>
                                <w:jc w:val="center"/>
                                <w:rPr>
                                  <w:rFonts w:hint="default" w:eastAsia="宋体"/>
                                  <w:szCs w:val="21"/>
                                  <w:lang w:val="en-US" w:eastAsia="zh-CN"/>
                                </w:rPr>
                              </w:pPr>
                              <w:r>
                                <w:rPr>
                                  <w:rFonts w:hint="eastAsia"/>
                                  <w:szCs w:val="21"/>
                                </w:rPr>
                                <w:t>G</w:t>
                              </w:r>
                              <w:r>
                                <w:rPr>
                                  <w:rFonts w:hint="eastAsia"/>
                                  <w:szCs w:val="21"/>
                                  <w:lang w:val="en-US" w:eastAsia="zh-CN"/>
                                </w:rPr>
                                <w:t>2</w:t>
                              </w:r>
                              <w:r>
                                <w:rPr>
                                  <w:rFonts w:hint="eastAsia"/>
                                  <w:szCs w:val="21"/>
                                </w:rPr>
                                <w:t>、W</w:t>
                              </w:r>
                              <w:r>
                                <w:rPr>
                                  <w:rFonts w:hint="eastAsia"/>
                                  <w:szCs w:val="21"/>
                                  <w:lang w:val="en-US" w:eastAsia="zh-CN"/>
                                </w:rPr>
                                <w:t>2</w:t>
                              </w:r>
                              <w:r>
                                <w:rPr>
                                  <w:rFonts w:hint="eastAsia"/>
                                  <w:szCs w:val="21"/>
                                </w:rPr>
                                <w:t>、N</w:t>
                              </w:r>
                              <w:r>
                                <w:rPr>
                                  <w:rFonts w:hint="eastAsia"/>
                                  <w:szCs w:val="21"/>
                                  <w:lang w:val="en-US" w:eastAsia="zh-CN"/>
                                </w:rPr>
                                <w:t>7</w:t>
                              </w:r>
                              <w:r>
                                <w:rPr>
                                  <w:rFonts w:hint="eastAsia"/>
                                  <w:szCs w:val="21"/>
                                </w:rPr>
                                <w:t>、S</w:t>
                              </w:r>
                              <w:r>
                                <w:rPr>
                                  <w:rFonts w:hint="eastAsia"/>
                                  <w:szCs w:val="21"/>
                                  <w:lang w:val="en-US" w:eastAsia="zh-CN"/>
                                </w:rPr>
                                <w:t>5、S6、S7</w:t>
                              </w:r>
                            </w:p>
                          </w:txbxContent>
                        </v:textbox>
                      </v:rect>
                      <v:shape id="直接箭头连接符 205" o:spid="_x0000_s1026" o:spt="32" type="#_x0000_t32" style="position:absolute;left:3113405;top:4104005;height:0;width:316230;" filled="f" stroked="t" coordsize="21600,21600" o:gfxdata="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8YYntIAAAAGAQAADwAAAAAA&#10;AAABACAAAAAiAAAAZHJzL2Rvd25yZXYueG1sUEsBAhQAFAAAAAgAh07iQCzvq5IZAgAACwQAAA4A&#10;AAAAAAAAAQAgAAAAIQEAAGRycy9lMm9Eb2MueG1sUEsFBgAAAAAGAAYAWQEAAKwFAAAAAA==&#10;">
                        <v:fill on="f" focussize="0,0"/>
                        <v:stroke weight="0.5pt" color="#000000" joinstyle="miter" dashstyle="3 1" endarrow="block"/>
                        <v:imagedata o:title=""/>
                        <o:lock v:ext="edit" aspectratio="f"/>
                      </v:shape>
                      <v:shape id="自选图形 348" o:spid="_x0000_s1026" o:spt="32" type="#_x0000_t32" style="position:absolute;left:2679065;top:3692525;height:301625;width:0;" filled="f" stroked="t" coordsize="21600,21600" o:gfxdata="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6JpD8tYAAAAGAQAADwAAAAAAAAABACAAAAAi&#10;AAAAZHJzL2Rvd25yZXYueG1sUEsBAhQAFAAAAAgAh07iQJr4CfQMAgAA9gMAAA4AAAAAAAAAAQAg&#10;AAAAJQEAAGRycy9lMm9Eb2MueG1sUEsFBgAAAAAGAAYAWQEAAKMFAAAAAA==&#10;">
                        <v:fill on="f" focussize="0,0"/>
                        <v:stroke color="#000000" joinstyle="round" endarrow="block"/>
                        <v:imagedata o:title=""/>
                        <o:lock v:ext="edit" aspectratio="f"/>
                      </v:shape>
                      <v:rect id="矩形 200" o:spid="_x0000_s1026" o:spt="1" style="position:absolute;left:3433445;top:3959225;height:257175;width:1048385;" fillcolor="#FFFFFF" filled="t" stroked="f" coordsize="21600,21600" o:gfxdata="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NOTFzfUAAAABgEAAA8AAAAAAAAAAQAgAAAAIgAAAGRycy9kb3ducmV2&#10;LnhtbFBLAQIUABQAAAAIAIdO4kDJQUuIxwEAAHoDAAAOAAAAAAAAAAEAIAAAACMBAABkcnMvZTJv&#10;RG9jLnhtbFBLBQYAAAAABgAGAFkBAABcBQAAAAA=&#10;">
                        <v:fill on="t" focussize="0,0"/>
                        <v:stroke on="f"/>
                        <v:imagedata o:title=""/>
                        <o:lock v:ext="edit" aspectratio="f"/>
                        <v:textbox>
                          <w:txbxContent>
                            <w:p>
                              <w:pPr>
                                <w:jc w:val="center"/>
                                <w:rPr>
                                  <w:rFonts w:hint="default" w:eastAsia="宋体"/>
                                  <w:szCs w:val="21"/>
                                  <w:lang w:val="en-US" w:eastAsia="zh-CN"/>
                                </w:rPr>
                              </w:pPr>
                              <w:r>
                                <w:rPr>
                                  <w:rFonts w:hint="eastAsia"/>
                                  <w:szCs w:val="21"/>
                                </w:rPr>
                                <w:t>W2、N</w:t>
                              </w:r>
                              <w:r>
                                <w:rPr>
                                  <w:rFonts w:hint="eastAsia"/>
                                  <w:szCs w:val="21"/>
                                  <w:lang w:val="en-US" w:eastAsia="zh-CN"/>
                                </w:rPr>
                                <w:t>5</w:t>
                              </w:r>
                            </w:p>
                          </w:txbxContent>
                        </v:textbox>
                      </v:rect>
                      <v:shape id="自选图形 348" o:spid="_x0000_s1026" o:spt="32" type="#_x0000_t32" style="position:absolute;left:2694305;top:4264025;height:301625;width:0;" filled="f" stroked="t" coordsize="21600,21600" o:gfxdata="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iaQ/LWAAAABgEAAA8AAAAAAAAAAQAgAAAA&#10;IgAAAGRycy9kb3ducmV2LnhtbFBLAQIUABQAAAAIAIdO4kCT1u9gDQIAAPYDAAAOAAAAAAAAAAEA&#10;IAAAACUBAABkcnMvZTJvRG9jLnhtbFBLBQYAAAAABgAGAFkBAACkBQAAAAA=&#10;">
                        <v:fill on="f" focussize="0,0"/>
                        <v:stroke color="#000000" joinstyle="round" endarrow="block"/>
                        <v:imagedata o:title=""/>
                        <o:lock v:ext="edit" aspectratio="f"/>
                      </v:shape>
                      <v:rect id="矩形 342" o:spid="_x0000_s1026" o:spt="1" style="position:absolute;left:2282825;top:4561205;height:257175;width:824230;"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LWc19QAAAAGAQAADwAAAAAAAAABACAA&#10;AAAiAAAAZHJzL2Rvd25yZXYueG1sUEsBAhQAFAAAAAgAh07iQAs6SGQRAgAAOAQAAA4AAAAAAAAA&#10;AQAgAAAAIwEAAGRycy9lMm9Eb2MueG1sUEsFBgAAAAAGAAYAWQEAAKYFAAAAAA==&#10;">
                        <v:fill on="t" focussize="0,0"/>
                        <v:stroke color="#000000" joinstyle="miter"/>
                        <v:imagedata o:title=""/>
                        <o:lock v:ext="edit" aspectratio="f"/>
                        <v:textbox>
                          <w:txbxContent>
                            <w:p>
                              <w:pPr>
                                <w:jc w:val="center"/>
                              </w:pPr>
                              <w:r>
                                <w:rPr>
                                  <w:rFonts w:hint="eastAsia"/>
                                </w:rPr>
                                <w:t>冷却</w:t>
                              </w:r>
                            </w:p>
                          </w:txbxContent>
                        </v:textbox>
                      </v:rect>
                      <v:shape id="自选图形 348" o:spid="_x0000_s1026" o:spt="32" type="#_x0000_t32" style="position:absolute;left:2694305;top:4827905;height:301625;width:0;" filled="f" stroked="t" coordsize="21600,21600" o:gfxdata="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6JpD8tYAAAAGAQAADwAAAAAAAAABACAAAAAi&#10;AAAAZHJzL2Rvd25yZXYueG1sUEsBAhQAFAAAAAgAh07iQNZrbb8MAgAA9gMAAA4AAAAAAAAAAQAg&#10;AAAAJQEAAGRycy9lMm9Eb2MueG1sUEsFBgAAAAAGAAYAWQEAAKMFAAAAAA==&#10;">
                        <v:fill on="f" focussize="0,0"/>
                        <v:stroke color="#000000" joinstyle="round" endarrow="block"/>
                        <v:imagedata o:title=""/>
                        <o:lock v:ext="edit" aspectratio="f"/>
                      </v:shape>
                      <v:shape id="自选图形 348" o:spid="_x0000_s1026" o:spt="32" type="#_x0000_t32" style="position:absolute;left:2709545;top:5368925;height:301625;width:0;" filled="f" stroked="t" coordsize="21600,21600" o:gfxdata="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iaQ/LWAAAABgEAAA8AAAAAAAAAAQAgAAAA&#10;IgAAAGRycy9kb3ducmV2LnhtbFBLAQIUABQAAAAIAIdO4kCzkPdKDQIAAPYDAAAOAAAAAAAAAAEA&#10;IAAAACUBAABkcnMvZTJvRG9jLnhtbFBLBQYAAAAABgAGAFkBAACkBQAAAAA=&#10;">
                        <v:fill on="f" focussize="0,0"/>
                        <v:stroke color="#000000" joinstyle="round" endarrow="block"/>
                        <v:imagedata o:title=""/>
                        <o:lock v:ext="edit" aspectratio="f"/>
                      </v:shape>
                      <v:rect id="矩形 353" o:spid="_x0000_s1026" o:spt="1" style="position:absolute;left:2336165;top:6228080;height:257175;width:809625;"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LWc19QAAAAGAQAADwAAAAAAAAABACAAAAAi&#10;AAAAZHJzL2Rvd25yZXYueG1sUEsBAhQAFAAAAAgAh07iQFawmFUOAgAAOAQAAA4AAAAAAAAAAQAg&#10;AAAAIwEAAGRycy9lMm9Eb2MueG1sUEsFBgAAAAAGAAYAWQEAAKMFA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入库、装箱</w:t>
                              </w:r>
                            </w:p>
                          </w:txbxContent>
                        </v:textbox>
                      </v:rect>
                      <v:shape id="肘形连接符 9" o:spid="_x0000_s1026" o:spt="33" type="#_x0000_t33" style="position:absolute;left:1007110;top:2823210;flip:y;height:998220;width:1579245;rotation:-5898240f;" filled="f" stroked="t" coordsize="21600,21600" o:gfxdata="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lMjK81QAAAAYBAAAPAAAAAAAAAAEAIAAAACIAAABkcnMv&#10;ZG93bnJldi54bWxQSwECFAAUAAAACACHTuJAeLW70z8CAAA7BAAADgAAAAAAAAABACAAAAAkAQAA&#10;ZHJzL2Uyb0RvYy54bWxQSwUGAAAAAAYABgBZAQAA1QUAAAAA&#10;">
                        <v:fill on="f" focussize="0,0"/>
                        <v:stroke weight="0.5pt" color="#000000 [3213]" miterlimit="8" joinstyle="miter" endarrow="block" endarrowwidth="narrow"/>
                        <v:imagedata o:title=""/>
                        <o:lock v:ext="edit" aspectratio="f"/>
                      </v:shape>
                      <v:rect id="矩形 200" o:spid="_x0000_s1026" o:spt="1" style="position:absolute;left:1315085;top:3806825;height:254000;width:838200;" fillcolor="#FFFFFF" filled="t" stroked="f" coordsize="21600,21600" o:gfxdata="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05MXN9QAAAAGAQAADwAAAAAAAAABACAAAAAiAAAAZHJzL2Rvd25yZXYueG1s&#10;UEsBAhQAFAAAAAgAh07iQIlRok7DAQAAeQMAAA4AAAAAAAAAAQAgAAAAIwEAAGRycy9lMm9Eb2Mu&#10;eG1sUEsFBgAAAAAGAAYAWQEAAFgFAAAAAA==&#10;">
                        <v:fill on="t" focussize="0,0"/>
                        <v:stroke on="f"/>
                        <v:imagedata o:title=""/>
                        <o:lock v:ext="edit" aspectratio="f"/>
                        <v:textbox>
                          <w:txbxContent>
                            <w:p>
                              <w:pPr>
                                <w:jc w:val="center"/>
                                <w:rPr>
                                  <w:rFonts w:hint="eastAsia" w:eastAsia="宋体"/>
                                  <w:szCs w:val="21"/>
                                  <w:lang w:val="en-US" w:eastAsia="zh-CN"/>
                                </w:rPr>
                              </w:pPr>
                              <w:r>
                                <w:rPr>
                                  <w:rFonts w:hint="eastAsia"/>
                                  <w:szCs w:val="21"/>
                                  <w:lang w:val="en-US" w:eastAsia="zh-CN"/>
                                </w:rPr>
                                <w:t>蒸汽</w:t>
                              </w:r>
                            </w:p>
                          </w:txbxContent>
                        </v:textbox>
                      </v:rect>
                      <v:shape id="直接箭头连接符 205" o:spid="_x0000_s1026" o:spt="32" type="#_x0000_t32" style="position:absolute;left:3166745;top:6382385;height:0;width:316230;" filled="f" stroked="t" coordsize="21600,21600" o:gfxdata="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8YYntIAAAAGAQAADwAAAAAA&#10;AAABACAAAAAiAAAAZHJzL2Rvd25yZXYueG1sUEsBAhQAFAAAAAgAh07iQK5v0kQZAgAACwQAAA4A&#10;AAAAAAAAAQAgAAAAIQEAAGRycy9lMm9Eb2MueG1sUEsFBgAAAAAGAAYAWQEAAKwFAAAAAA==&#10;">
                        <v:fill on="f" focussize="0,0"/>
                        <v:stroke weight="0.5pt" color="#000000" joinstyle="miter" dashstyle="3 1" endarrow="block"/>
                        <v:imagedata o:title=""/>
                        <o:lock v:ext="edit" aspectratio="f"/>
                      </v:shape>
                      <v:rect id="矩形 200" o:spid="_x0000_s1026" o:spt="1" style="position:absolute;left:3524885;top:6260465;height:257175;width:568325;" fillcolor="#FFFFFF" filled="t" stroked="f" coordsize="21600,21600" o:gfxdata="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Tkxc31AAAAAYBAAAPAAAAAAAAAAEAIAAAACIAAABkcnMvZG93bnJl&#10;di54bWxQSwECFAAUAAAACACHTuJAQKBTg8gBAAB5AwAADgAAAAAAAAABACAAAAAjAQAAZHJzL2Uy&#10;b0RvYy54bWxQSwUGAAAAAAYABgBZAQAAXQUAAAAA&#10;">
                        <v:fill on="t" focussize="0,0"/>
                        <v:stroke on="f"/>
                        <v:imagedata o:title=""/>
                        <o:lock v:ext="edit" aspectratio="f"/>
                        <v:textbox>
                          <w:txbxContent>
                            <w:p>
                              <w:pPr>
                                <w:jc w:val="center"/>
                                <w:rPr>
                                  <w:rFonts w:hint="default" w:eastAsia="宋体"/>
                                  <w:szCs w:val="21"/>
                                  <w:lang w:val="en-US" w:eastAsia="zh-CN"/>
                                </w:rPr>
                              </w:pPr>
                              <w:r>
                                <w:rPr>
                                  <w:rFonts w:hint="eastAsia"/>
                                  <w:szCs w:val="21"/>
                                  <w:lang w:val="en-US" w:eastAsia="zh-CN"/>
                                </w:rPr>
                                <w:t>S4</w:t>
                              </w:r>
                            </w:p>
                          </w:txbxContent>
                        </v:textbox>
                      </v:rect>
                      <v:rect id="矩形 342" o:spid="_x0000_s1026" o:spt="1" style="position:absolute;left:2308860;top:5102225;height:257175;width:824230;" fillcolor="#FFFFFF" filled="t" stroked="t" coordsize="21600,21600" o:gfxdata="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S1nNfUAAAABgEAAA8AAAAAAAAAAQAg&#10;AAAAIgAAAGRycy9kb3ducmV2LnhtbFBLAQIUABQAAAAIAIdO4kCzHDrSEgIAADgEAAAOAAAAAAAA&#10;AAEAIAAAACMBAABkcnMvZTJvRG9jLnhtbFBLBQYAAAAABgAGAFkBAACnBQAAAAA=&#10;">
                        <v:fill on="t" focussize="0,0"/>
                        <v:stroke color="#000000" joinstyle="miter"/>
                        <v:imagedata o:title=""/>
                        <o:lock v:ext="edit" aspectratio="f"/>
                        <v:textbox>
                          <w:txbxContent>
                            <w:p>
                              <w:pPr>
                                <w:jc w:val="center"/>
                                <w:rPr>
                                  <w:rFonts w:hint="eastAsia" w:eastAsia="宋体"/>
                                  <w:lang w:val="en-US" w:eastAsia="zh-CN"/>
                                </w:rPr>
                              </w:pPr>
                              <w:r>
                                <w:rPr>
                                  <w:rFonts w:hint="eastAsia"/>
                                  <w:lang w:val="en-US" w:eastAsia="zh-CN"/>
                                </w:rPr>
                                <w:t>风干</w:t>
                              </w:r>
                            </w:p>
                          </w:txbxContent>
                        </v:textbox>
                      </v:rect>
                      <v:shape id="自选图形 348" o:spid="_x0000_s1026" o:spt="32" type="#_x0000_t32" style="position:absolute;left:2732405;top:5932805;height:301625;width:0;" filled="f" stroked="t" coordsize="21600,21600" o:gfxdata="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6JpD8tYAAAAGAQAADwAAAAAAAAABACAAAAAi&#10;AAAAZHJzL2Rvd25yZXYueG1sUEsBAhQAFAAAAAgAh07iQA3OCw8MAgAA9gMAAA4AAAAAAAAAAQAg&#10;AAAAJQEAAGRycy9lMm9Eb2MueG1sUEsFBgAAAAAGAAYAWQEAAKMFAAAAAA==&#10;">
                        <v:fill on="f" focussize="0,0"/>
                        <v:stroke color="#000000" joinstyle="round" endarrow="block"/>
                        <v:imagedata o:title=""/>
                        <o:lock v:ext="edit" aspectratio="f"/>
                      </v:shape>
                      <v:rect id="矩形 206" o:spid="_x0000_s1026" o:spt="1" style="position:absolute;left:3441065;top:5117465;height:257175;width:650240;" fillcolor="#FFFFFF" filled="t" stroked="f" coordsize="21600,21600" o:gfxdata="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Tkxc31AAAAAYBAAAPAAAAAAAAAAEAIAAAACIAAABkcnMvZG93bnJl&#10;di54bWxQSwECFAAUAAAACACHTuJAaIS17sgBAAB5AwAADgAAAAAAAAABACAAAAAjAQAAZHJzL2Uy&#10;b0RvYy54bWxQSwUGAAAAAAYABgBZAQAAXQUAAAAA&#10;">
                        <v:fill on="t" focussize="0,0"/>
                        <v:stroke on="f"/>
                        <v:imagedata o:title=""/>
                        <o:lock v:ext="edit" aspectratio="f"/>
                        <v:textbox>
                          <w:txbxContent>
                            <w:p>
                              <w:pPr>
                                <w:ind w:firstLine="210" w:firstLineChars="100"/>
                                <w:jc w:val="both"/>
                                <w:rPr>
                                  <w:rFonts w:hint="eastAsia" w:eastAsia="宋体"/>
                                  <w:szCs w:val="21"/>
                                  <w:lang w:eastAsia="zh-CN"/>
                                </w:rPr>
                              </w:pPr>
                              <w:r>
                                <w:rPr>
                                  <w:rFonts w:hint="eastAsia"/>
                                  <w:szCs w:val="21"/>
                                </w:rPr>
                                <w:t>N</w:t>
                              </w:r>
                              <w:r>
                                <w:rPr>
                                  <w:rFonts w:hint="eastAsia"/>
                                  <w:szCs w:val="21"/>
                                  <w:lang w:val="en-US" w:eastAsia="zh-CN"/>
                                </w:rPr>
                                <w:t>6</w:t>
                              </w:r>
                            </w:p>
                          </w:txbxContent>
                        </v:textbox>
                      </v:rect>
                      <v:shape id="直接箭头连接符 205" o:spid="_x0000_s1026" o:spt="32" type="#_x0000_t32" style="position:absolute;left:3143885;top:5254625;height:0;width:316230;" filled="f" stroked="t" coordsize="21600,21600" o:gfxdata="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bxhie0gAAAAYBAAAPAAAA&#10;AAAAAAEAIAAAACIAAABkcnMvZG93bnJldi54bWxQSwECFAAUAAAACACHTuJAGqshIRsCAAALBAAA&#10;DgAAAAAAAAABACAAAAAhAQAAZHJzL2Uyb0RvYy54bWxQSwUGAAAAAAYABgBZAQAArgUAAAAA&#10;">
                        <v:fill on="f" focussize="0,0"/>
                        <v:stroke weight="0.5pt" color="#000000" joinstyle="miter" dashstyle="3 1" endarrow="block"/>
                        <v:imagedata o:title=""/>
                        <o:lock v:ext="edit" aspectratio="f"/>
                      </v:shape>
                      <w10:wrap type="none"/>
                      <w10:anchorlock/>
                    </v:group>
                  </w:pict>
                </mc:Fallback>
              </mc:AlternateContent>
            </w:r>
          </w:p>
          <w:p>
            <w:pPr>
              <w:pStyle w:val="25"/>
              <w:shd w:val="clear"/>
              <w:spacing w:line="360" w:lineRule="auto"/>
              <w:ind w:firstLine="0" w:firstLineChars="0"/>
              <w:jc w:val="center"/>
              <w:rPr>
                <w:b/>
                <w:color w:val="auto"/>
                <w:sz w:val="24"/>
              </w:rPr>
            </w:pPr>
            <w:r>
              <w:rPr>
                <w:b/>
                <w:bCs/>
                <w:color w:val="auto"/>
                <w:sz w:val="24"/>
                <w:szCs w:val="24"/>
              </w:rPr>
              <w:t>图2-</w:t>
            </w:r>
            <w:r>
              <w:rPr>
                <w:rFonts w:hint="eastAsia"/>
                <w:b/>
                <w:bCs/>
                <w:color w:val="auto"/>
                <w:sz w:val="24"/>
                <w:szCs w:val="24"/>
              </w:rPr>
              <w:t>2</w:t>
            </w:r>
            <w:r>
              <w:rPr>
                <w:b/>
                <w:bCs/>
                <w:color w:val="auto"/>
                <w:sz w:val="24"/>
                <w:szCs w:val="24"/>
              </w:rPr>
              <w:t xml:space="preserve">  生产工艺流程</w:t>
            </w:r>
            <w:r>
              <w:rPr>
                <w:b/>
                <w:color w:val="auto"/>
                <w:sz w:val="24"/>
                <w:szCs w:val="24"/>
              </w:rPr>
              <w:t>及产排污节点图</w:t>
            </w:r>
          </w:p>
          <w:p>
            <w:pPr>
              <w:shd w:val="clear"/>
              <w:spacing w:line="360" w:lineRule="auto"/>
              <w:ind w:firstLine="482" w:firstLineChars="200"/>
              <w:rPr>
                <w:b/>
                <w:color w:val="auto"/>
                <w:sz w:val="28"/>
                <w:szCs w:val="28"/>
              </w:rPr>
            </w:pPr>
            <w:r>
              <w:rPr>
                <w:b/>
                <w:color w:val="auto"/>
                <w:sz w:val="24"/>
              </w:rPr>
              <w:t>生产工艺简述</w:t>
            </w:r>
            <w:r>
              <w:rPr>
                <w:b/>
                <w:color w:val="auto"/>
                <w:sz w:val="28"/>
                <w:szCs w:val="28"/>
              </w:rPr>
              <w:t>：</w:t>
            </w:r>
          </w:p>
          <w:p>
            <w:pPr>
              <w:pStyle w:val="61"/>
              <w:shd w:val="clear"/>
              <w:spacing w:line="360" w:lineRule="auto"/>
              <w:rPr>
                <w:rFonts w:hint="default" w:ascii="Times New Roman" w:hAnsi="Times New Roman" w:eastAsia="宋体" w:cs="Times New Roman"/>
                <w:b w:val="0"/>
                <w:bCs w:val="0"/>
                <w:color w:val="auto"/>
                <w:sz w:val="24"/>
                <w:szCs w:val="24"/>
                <w:lang w:eastAsia="zh-CN"/>
              </w:rPr>
            </w:pPr>
            <w:r>
              <w:rPr>
                <w:rFonts w:hint="default" w:ascii="Times New Roman" w:hAnsi="Times New Roman" w:cs="Times New Roman"/>
                <w:b w:val="0"/>
                <w:bCs w:val="0"/>
                <w:color w:val="auto"/>
                <w:sz w:val="24"/>
                <w:szCs w:val="24"/>
              </w:rPr>
              <w:t>1）原料的采收：一般鲜玉米品种的采摘期为花丝抽出后的23-25天。此时玉米处乳熟期，加工品质最佳。采摘后鲜玉米应及时运送到加工厂进行加工，防止雨淋和曝晒，并最大限度地降低</w:t>
            </w:r>
            <w:r>
              <w:rPr>
                <w:rFonts w:hint="default" w:ascii="Times New Roman" w:hAnsi="Times New Roman" w:cs="Times New Roman"/>
                <w:b w:val="0"/>
                <w:bCs w:val="0"/>
                <w:color w:val="auto"/>
                <w:sz w:val="24"/>
                <w:szCs w:val="24"/>
                <w:lang w:eastAsia="zh-CN"/>
              </w:rPr>
              <w:t>机</w:t>
            </w:r>
            <w:r>
              <w:rPr>
                <w:rFonts w:hint="default" w:ascii="Times New Roman" w:hAnsi="Times New Roman" w:cs="Times New Roman"/>
                <w:b w:val="0"/>
                <w:bCs w:val="0"/>
                <w:color w:val="auto"/>
                <w:sz w:val="24"/>
                <w:szCs w:val="24"/>
              </w:rPr>
              <w:t>械损伤。将玉米藏通风凉爽处短时存放，切不可堆积。从采摘到加工间的时间一般应控制在8小时之内，提倡边采收边加工。</w:t>
            </w:r>
            <w:r>
              <w:rPr>
                <w:rFonts w:hint="default" w:ascii="Times New Roman" w:hAnsi="Times New Roman" w:cs="Times New Roman"/>
                <w:b w:val="0"/>
                <w:bCs w:val="0"/>
                <w:color w:val="auto"/>
                <w:sz w:val="24"/>
                <w:szCs w:val="24"/>
                <w:lang w:eastAsia="zh-CN"/>
              </w:rPr>
              <w:t>本项目玉米进厂直接加工，原料玉米不在厂内暂存。</w:t>
            </w:r>
          </w:p>
          <w:p>
            <w:pPr>
              <w:pStyle w:val="61"/>
              <w:shd w:val="clear"/>
              <w:spacing w:line="360" w:lineRule="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2）剥皮：采用机械剥皮，直接剥去苞叶，在剥包过程中应除净玉米须。项目玉米均为鲜玉米，剥皮无灰尘产生，该工序产生的主要污染物为玉米叶、玉米须固废以及机械设备噪声。</w:t>
            </w:r>
          </w:p>
          <w:p>
            <w:pPr>
              <w:pStyle w:val="61"/>
              <w:shd w:val="clear"/>
              <w:spacing w:line="360" w:lineRule="auto"/>
              <w:rPr>
                <w:rFonts w:hint="default" w:ascii="Times New Roman" w:hAnsi="Times New Roman" w:eastAsia="宋体" w:cs="Times New Roman"/>
                <w:b w:val="0"/>
                <w:bCs w:val="0"/>
                <w:color w:val="auto"/>
                <w:sz w:val="24"/>
                <w:szCs w:val="24"/>
                <w:lang w:eastAsia="zh-CN"/>
              </w:rPr>
            </w:pPr>
            <w:r>
              <w:rPr>
                <w:rFonts w:hint="default" w:ascii="Times New Roman" w:hAnsi="Times New Roman" w:cs="Times New Roman"/>
                <w:b w:val="0"/>
                <w:bCs w:val="0"/>
                <w:color w:val="auto"/>
                <w:sz w:val="24"/>
                <w:szCs w:val="24"/>
              </w:rPr>
              <w:t>3）</w:t>
            </w:r>
            <w:r>
              <w:rPr>
                <w:rFonts w:hint="default" w:ascii="Times New Roman" w:hAnsi="Times New Roman" w:cs="Times New Roman"/>
                <w:b w:val="0"/>
                <w:bCs w:val="0"/>
                <w:color w:val="auto"/>
                <w:sz w:val="24"/>
                <w:szCs w:val="24"/>
                <w:lang w:eastAsia="zh-CN"/>
              </w:rPr>
              <w:t>挑选、切尖、去尾</w:t>
            </w:r>
            <w:r>
              <w:rPr>
                <w:rFonts w:hint="default" w:ascii="Times New Roman" w:hAnsi="Times New Roman" w:cs="Times New Roman"/>
                <w:b w:val="0"/>
                <w:bCs w:val="0"/>
                <w:color w:val="auto"/>
                <w:sz w:val="24"/>
                <w:szCs w:val="24"/>
              </w:rPr>
              <w:t>：根据产品标准，去除</w:t>
            </w:r>
            <w:r>
              <w:rPr>
                <w:rFonts w:hint="default" w:ascii="Times New Roman" w:hAnsi="Times New Roman" w:cs="Times New Roman"/>
                <w:b w:val="0"/>
                <w:bCs w:val="0"/>
                <w:color w:val="auto"/>
                <w:sz w:val="24"/>
                <w:szCs w:val="24"/>
                <w:lang w:eastAsia="zh-CN"/>
              </w:rPr>
              <w:t>畸形</w:t>
            </w:r>
            <w:r>
              <w:rPr>
                <w:rFonts w:hint="default" w:ascii="Times New Roman" w:hAnsi="Times New Roman" w:cs="Times New Roman"/>
                <w:b w:val="0"/>
                <w:bCs w:val="0"/>
                <w:color w:val="auto"/>
                <w:sz w:val="24"/>
                <w:szCs w:val="24"/>
              </w:rPr>
              <w:t>，短小等不能加工的果穗，同时挑出成熟度不适宜及严重脱粒、干瘪、有病虫害的青穗。</w:t>
            </w:r>
            <w:r>
              <w:rPr>
                <w:rFonts w:hint="default" w:ascii="Times New Roman" w:hAnsi="Times New Roman" w:cs="Times New Roman"/>
                <w:b w:val="0"/>
                <w:bCs w:val="0"/>
                <w:color w:val="auto"/>
                <w:sz w:val="24"/>
                <w:szCs w:val="24"/>
                <w:lang w:eastAsia="zh-CN"/>
              </w:rPr>
              <w:t>用去头尾机</w:t>
            </w:r>
            <w:r>
              <w:rPr>
                <w:rFonts w:hint="default" w:ascii="Times New Roman" w:hAnsi="Times New Roman" w:cs="Times New Roman"/>
                <w:b w:val="0"/>
                <w:bCs w:val="0"/>
                <w:color w:val="auto"/>
                <w:sz w:val="24"/>
                <w:szCs w:val="24"/>
              </w:rPr>
              <w:t>将鲜玉米穗的头尾按各产品要求的长度严格控制在17厘米、14厘米、12厘米左右。这些淘汰的果穗</w:t>
            </w:r>
            <w:r>
              <w:rPr>
                <w:rFonts w:hint="default" w:ascii="Times New Roman" w:hAnsi="Times New Roman" w:cs="Times New Roman"/>
                <w:b w:val="0"/>
                <w:bCs w:val="0"/>
                <w:color w:val="auto"/>
                <w:sz w:val="24"/>
                <w:szCs w:val="24"/>
                <w:lang w:eastAsia="zh-CN"/>
              </w:rPr>
              <w:t>和</w:t>
            </w:r>
            <w:r>
              <w:rPr>
                <w:rFonts w:hint="default" w:ascii="Times New Roman" w:hAnsi="Times New Roman" w:cs="Times New Roman"/>
                <w:b w:val="0"/>
                <w:bCs w:val="0"/>
                <w:color w:val="auto"/>
                <w:sz w:val="24"/>
                <w:szCs w:val="24"/>
              </w:rPr>
              <w:t>废弃玉米段可作加工</w:t>
            </w:r>
            <w:r>
              <w:rPr>
                <w:rFonts w:hint="default" w:ascii="Times New Roman" w:hAnsi="Times New Roman" w:cs="Times New Roman"/>
                <w:b w:val="0"/>
                <w:bCs w:val="0"/>
                <w:color w:val="auto"/>
                <w:sz w:val="24"/>
                <w:szCs w:val="24"/>
                <w:lang w:eastAsia="zh-CN"/>
              </w:rPr>
              <w:t>其他产品的</w:t>
            </w:r>
            <w:r>
              <w:rPr>
                <w:rFonts w:hint="default" w:ascii="Times New Roman" w:hAnsi="Times New Roman" w:cs="Times New Roman"/>
                <w:b w:val="0"/>
                <w:bCs w:val="0"/>
                <w:color w:val="auto"/>
                <w:sz w:val="24"/>
                <w:szCs w:val="24"/>
              </w:rPr>
              <w:t>原料开发利用。该工序产生的污染物为不合格的果穗、青穗</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废弃玉米段以及机械设备噪声</w:t>
            </w:r>
            <w:r>
              <w:rPr>
                <w:rFonts w:hint="default" w:ascii="Times New Roman" w:hAnsi="Times New Roman" w:cs="Times New Roman"/>
                <w:b w:val="0"/>
                <w:bCs w:val="0"/>
                <w:color w:val="auto"/>
                <w:sz w:val="24"/>
                <w:szCs w:val="24"/>
                <w:lang w:eastAsia="zh-CN"/>
              </w:rPr>
              <w:t>。</w:t>
            </w:r>
          </w:p>
          <w:p>
            <w:pPr>
              <w:pStyle w:val="61"/>
              <w:shd w:val="clear"/>
              <w:spacing w:line="360" w:lineRule="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4）清洗：将鲜玉米穗放入清水中冲洗5分钟。该工序产生的污染物为清洗废水及设备噪声。</w:t>
            </w:r>
          </w:p>
          <w:p>
            <w:pPr>
              <w:pStyle w:val="61"/>
              <w:shd w:val="clear"/>
              <w:rPr>
                <w:rFonts w:hint="eastAsia" w:ascii="Times New Roman" w:hAnsi="Times New Roman"/>
                <w:color w:val="auto"/>
              </w:rPr>
            </w:pPr>
            <w:r>
              <w:rPr>
                <w:rFonts w:hint="eastAsia" w:ascii="Times New Roman" w:hAnsi="Times New Roman"/>
                <w:color w:val="auto"/>
                <w:lang w:val="en-US" w:eastAsia="zh-CN"/>
              </w:rPr>
              <w:t>5）蒸煮</w:t>
            </w:r>
            <w:r>
              <w:rPr>
                <w:rFonts w:hint="eastAsia" w:ascii="Times New Roman" w:hAnsi="Times New Roman"/>
                <w:color w:val="auto"/>
              </w:rPr>
              <w:t>：熟制是鲜玉米加工过程中最关键的工序。熟制的作用：使酶失活，由于嫩穗存在多种酶，即使在冷冻的低温下也不失活。酶的存在可使体内营养遭到破坏，为此，必须在冷冻前进行熟制。可以杀死田间附着在果穗表面的微生物以及虫卵。以确人加工食品的卫生与食用安全。使鲜玉米组织内的空气被排挤出去，可减少冻结时冰晶形成的膨胀压力，增加对膨胀压的抵抗力。排除鲜玉米体内的空气，相应减轻原料的氧化程度，以利于保存产品的色泽及营养。熟制后防止了鲜玉米加工产品的老化。有部分熟食的作用。增加口感。使用热蒸气熟制工艺控温为95-105度，时间10-15分钟。该工序产生的污染物为</w:t>
            </w:r>
            <w:r>
              <w:rPr>
                <w:rFonts w:hint="eastAsia" w:ascii="Times New Roman" w:hAnsi="Times New Roman"/>
                <w:color w:val="auto"/>
                <w:lang w:eastAsia="zh-CN"/>
              </w:rPr>
              <w:t>蒸煮冷凝水</w:t>
            </w:r>
            <w:r>
              <w:rPr>
                <w:rFonts w:hint="eastAsia" w:ascii="Times New Roman" w:hAnsi="Times New Roman"/>
                <w:color w:val="auto"/>
              </w:rPr>
              <w:t>、</w:t>
            </w:r>
            <w:r>
              <w:rPr>
                <w:rFonts w:hint="eastAsia" w:ascii="Times New Roman" w:hAnsi="Times New Roman"/>
                <w:color w:val="auto"/>
                <w:lang w:eastAsia="zh-CN"/>
              </w:rPr>
              <w:t>蒸煮</w:t>
            </w:r>
            <w:r>
              <w:rPr>
                <w:rFonts w:hint="eastAsia" w:ascii="Times New Roman" w:hAnsi="Times New Roman"/>
                <w:color w:val="auto"/>
              </w:rPr>
              <w:t>工序异味以及设备噪声。</w:t>
            </w:r>
          </w:p>
          <w:p>
            <w:pPr>
              <w:pStyle w:val="61"/>
              <w:shd w:val="clear"/>
              <w:rPr>
                <w:rFonts w:hint="eastAsia" w:ascii="Times New Roman" w:hAnsi="Times New Roman"/>
                <w:color w:val="auto"/>
              </w:rPr>
            </w:pPr>
            <w:r>
              <w:rPr>
                <w:rFonts w:hint="eastAsia" w:ascii="Times New Roman" w:hAnsi="Times New Roman"/>
                <w:color w:val="auto"/>
                <w:highlight w:val="none"/>
                <w:lang w:val="en-US" w:eastAsia="zh-CN"/>
              </w:rPr>
              <w:t>6</w:t>
            </w:r>
            <w:r>
              <w:rPr>
                <w:rFonts w:hint="eastAsia" w:ascii="Times New Roman" w:hAnsi="Times New Roman"/>
                <w:color w:val="auto"/>
                <w:highlight w:val="none"/>
              </w:rPr>
              <w:t>）冷却：经过熟制后的鲜玉米应立即冷却，以确保产品色泽和质量，为了节约用水，可以采用分段冷却的办法但最末端冷却池中嫩玉米穗的中心温度控制在10度。</w:t>
            </w:r>
          </w:p>
          <w:p>
            <w:pPr>
              <w:pStyle w:val="61"/>
              <w:shd w:val="clear"/>
              <w:spacing w:line="360" w:lineRule="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7</w:t>
            </w:r>
            <w:r>
              <w:rPr>
                <w:rFonts w:hint="default" w:ascii="Times New Roman" w:hAnsi="Times New Roman" w:cs="Times New Roman"/>
                <w:b w:val="0"/>
                <w:bCs w:val="0"/>
                <w:color w:val="auto"/>
                <w:sz w:val="24"/>
                <w:szCs w:val="24"/>
              </w:rPr>
              <w:t>）</w:t>
            </w:r>
            <w:r>
              <w:rPr>
                <w:rFonts w:hint="default" w:ascii="Times New Roman" w:hAnsi="Times New Roman" w:cs="Times New Roman"/>
                <w:b w:val="0"/>
                <w:bCs w:val="0"/>
                <w:color w:val="auto"/>
                <w:sz w:val="24"/>
                <w:szCs w:val="24"/>
                <w:lang w:eastAsia="zh-CN"/>
              </w:rPr>
              <w:t>包装：将清洗后的</w:t>
            </w:r>
            <w:r>
              <w:rPr>
                <w:rFonts w:hint="default" w:ascii="Times New Roman" w:hAnsi="Times New Roman" w:cs="Times New Roman"/>
                <w:b w:val="0"/>
                <w:bCs w:val="0"/>
                <w:color w:val="auto"/>
                <w:sz w:val="24"/>
                <w:szCs w:val="24"/>
              </w:rPr>
              <w:t>鲜玉米穗</w:t>
            </w:r>
            <w:r>
              <w:rPr>
                <w:rFonts w:hint="default" w:ascii="Times New Roman" w:hAnsi="Times New Roman" w:cs="Times New Roman"/>
                <w:b w:val="0"/>
                <w:bCs w:val="0"/>
                <w:color w:val="auto"/>
                <w:sz w:val="24"/>
                <w:szCs w:val="24"/>
                <w:lang w:eastAsia="zh-CN"/>
              </w:rPr>
              <w:t>真空包装，</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穗</w:t>
            </w:r>
            <w:r>
              <w:rPr>
                <w:rFonts w:hint="default" w:ascii="Times New Roman" w:hAnsi="Times New Roman" w:cs="Times New Roman"/>
                <w:b w:val="0"/>
                <w:bCs w:val="0"/>
                <w:color w:val="auto"/>
                <w:sz w:val="24"/>
                <w:szCs w:val="24"/>
                <w:lang w:val="en-US" w:eastAsia="zh-CN"/>
              </w:rPr>
              <w:t>1袋。</w:t>
            </w:r>
            <w:r>
              <w:rPr>
                <w:rFonts w:hint="default" w:ascii="Times New Roman" w:hAnsi="Times New Roman" w:cs="Times New Roman"/>
                <w:b w:val="0"/>
                <w:bCs w:val="0"/>
                <w:color w:val="auto"/>
                <w:sz w:val="24"/>
                <w:szCs w:val="24"/>
              </w:rPr>
              <w:t>该工序产生的污染物为废弃包装袋及设备噪声。</w:t>
            </w:r>
          </w:p>
          <w:p>
            <w:pPr>
              <w:pStyle w:val="61"/>
              <w:shd w:val="clear"/>
              <w:spacing w:line="360" w:lineRule="auto"/>
              <w:rPr>
                <w:rFonts w:hint="default" w:ascii="Times New Roman" w:hAnsi="Times New Roman" w:eastAsia="宋体" w:cs="Times New Roman"/>
                <w:b w:val="0"/>
                <w:bCs w:val="0"/>
                <w:color w:val="auto"/>
                <w:sz w:val="24"/>
                <w:szCs w:val="24"/>
              </w:rPr>
            </w:pPr>
            <w:r>
              <w:rPr>
                <w:rFonts w:hint="eastAsia" w:ascii="Times New Roman" w:hAnsi="Times New Roman" w:cs="Times New Roman"/>
                <w:b w:val="0"/>
                <w:bCs w:val="0"/>
                <w:color w:val="auto"/>
                <w:sz w:val="24"/>
                <w:szCs w:val="24"/>
                <w:lang w:val="en-US" w:eastAsia="zh-CN"/>
              </w:rPr>
              <w:t>8</w:t>
            </w:r>
            <w:r>
              <w:rPr>
                <w:rFonts w:hint="default" w:ascii="Times New Roman" w:hAnsi="Times New Roman" w:cs="Times New Roman"/>
                <w:b w:val="0"/>
                <w:bCs w:val="0"/>
                <w:color w:val="auto"/>
                <w:sz w:val="24"/>
                <w:szCs w:val="24"/>
              </w:rPr>
              <w:t>）</w:t>
            </w:r>
            <w:r>
              <w:rPr>
                <w:rFonts w:hint="default" w:ascii="Times New Roman" w:hAnsi="Times New Roman" w:cs="Times New Roman"/>
                <w:b w:val="0"/>
                <w:bCs w:val="0"/>
                <w:color w:val="auto"/>
                <w:sz w:val="24"/>
                <w:szCs w:val="24"/>
                <w:lang w:val="en-US" w:eastAsia="zh-CN"/>
              </w:rPr>
              <w:t>高温灭菌</w:t>
            </w:r>
            <w:r>
              <w:rPr>
                <w:rFonts w:hint="default" w:ascii="Times New Roman" w:hAnsi="Times New Roman" w:cs="Times New Roman"/>
                <w:b w:val="0"/>
                <w:bCs w:val="0"/>
                <w:color w:val="auto"/>
                <w:sz w:val="24"/>
                <w:szCs w:val="24"/>
              </w:rPr>
              <w:t>：</w:t>
            </w:r>
            <w:r>
              <w:rPr>
                <w:rFonts w:hint="default" w:ascii="Times New Roman" w:hAnsi="Times New Roman" w:cs="Times New Roman"/>
                <w:b w:val="0"/>
                <w:bCs w:val="0"/>
                <w:color w:val="auto"/>
                <w:sz w:val="24"/>
                <w:szCs w:val="24"/>
                <w:lang w:val="en-US" w:eastAsia="zh-CN"/>
              </w:rPr>
              <w:t>高温灭菌</w:t>
            </w:r>
            <w:r>
              <w:rPr>
                <w:rFonts w:hint="default" w:ascii="Times New Roman" w:hAnsi="Times New Roman" w:cs="Times New Roman"/>
                <w:b w:val="0"/>
                <w:bCs w:val="0"/>
                <w:color w:val="auto"/>
                <w:sz w:val="24"/>
                <w:szCs w:val="24"/>
              </w:rPr>
              <w:t>工艺控温为</w:t>
            </w:r>
            <w:r>
              <w:rPr>
                <w:rFonts w:hint="default" w:ascii="Times New Roman" w:hAnsi="Times New Roman" w:cs="Times New Roman"/>
                <w:b w:val="0"/>
                <w:bCs w:val="0"/>
                <w:color w:val="auto"/>
                <w:sz w:val="24"/>
                <w:szCs w:val="24"/>
                <w:lang w:val="en-US" w:eastAsia="zh-CN"/>
              </w:rPr>
              <w:t>120</w:t>
            </w:r>
            <w:r>
              <w:rPr>
                <w:rFonts w:hint="default" w:ascii="Times New Roman" w:hAnsi="Times New Roman" w:cs="Times New Roman"/>
                <w:b w:val="0"/>
                <w:bCs w:val="0"/>
                <w:color w:val="auto"/>
                <w:sz w:val="24"/>
                <w:szCs w:val="24"/>
              </w:rPr>
              <w:t>度，时间</w:t>
            </w:r>
            <w:r>
              <w:rPr>
                <w:rFonts w:hint="default" w:ascii="Times New Roman" w:hAnsi="Times New Roman" w:cs="Times New Roman"/>
                <w:b w:val="0"/>
                <w:bCs w:val="0"/>
                <w:color w:val="auto"/>
                <w:sz w:val="24"/>
                <w:szCs w:val="24"/>
                <w:lang w:val="en-US" w:eastAsia="zh-CN"/>
              </w:rPr>
              <w:t>25</w:t>
            </w:r>
            <w:r>
              <w:rPr>
                <w:rFonts w:hint="default" w:ascii="Times New Roman" w:hAnsi="Times New Roman" w:cs="Times New Roman"/>
                <w:b w:val="0"/>
                <w:bCs w:val="0"/>
                <w:color w:val="auto"/>
                <w:sz w:val="24"/>
                <w:szCs w:val="24"/>
              </w:rPr>
              <w:t>分钟。</w:t>
            </w:r>
            <w:r>
              <w:rPr>
                <w:rFonts w:hint="default" w:ascii="Times New Roman" w:hAnsi="Times New Roman" w:cs="Times New Roman"/>
                <w:b w:val="0"/>
                <w:bCs w:val="0"/>
                <w:color w:val="auto"/>
                <w:sz w:val="24"/>
                <w:szCs w:val="24"/>
                <w:lang w:eastAsia="zh-CN"/>
              </w:rPr>
              <w:t>高温灭菌过程</w:t>
            </w:r>
            <w:r>
              <w:rPr>
                <w:rFonts w:hint="default" w:ascii="Times New Roman" w:hAnsi="Times New Roman" w:cs="Times New Roman"/>
                <w:b w:val="0"/>
                <w:bCs w:val="0"/>
                <w:color w:val="auto"/>
                <w:sz w:val="24"/>
                <w:szCs w:val="24"/>
              </w:rPr>
              <w:t>使酶失活，由于嫩穗存在多种酶，即使在冷冻的低温下也不失活。酶的存在可使体内营养遭到破坏，为此，必须进行熟制。可以杀死田间附着在果穗表面的微生物以及虫卵。以</w:t>
            </w:r>
            <w:r>
              <w:rPr>
                <w:rFonts w:hint="default" w:ascii="Times New Roman" w:hAnsi="Times New Roman" w:cs="Times New Roman"/>
                <w:b w:val="0"/>
                <w:bCs w:val="0"/>
                <w:color w:val="auto"/>
                <w:sz w:val="24"/>
                <w:szCs w:val="24"/>
                <w:lang w:eastAsia="zh-CN"/>
              </w:rPr>
              <w:t>确认</w:t>
            </w:r>
            <w:r>
              <w:rPr>
                <w:rFonts w:hint="default" w:ascii="Times New Roman" w:hAnsi="Times New Roman" w:cs="Times New Roman"/>
                <w:b w:val="0"/>
                <w:bCs w:val="0"/>
                <w:color w:val="auto"/>
                <w:sz w:val="24"/>
                <w:szCs w:val="24"/>
              </w:rPr>
              <w:t>加工食品的卫生与食用安全。使鲜玉米组织内的空气被排挤出去，可减少冻结时冰晶形成的膨胀压力，增加对膨胀压的抵抗力。排除鲜玉米体内的空气，相应减轻原料的氧化程度，以利于保存产品的色泽及营养。熟制后防止了鲜玉米加工产品的老化。有部分熟食的作用。增加口感。该工序产生的污染物为</w:t>
            </w:r>
            <w:r>
              <w:rPr>
                <w:rFonts w:hint="default" w:ascii="Times New Roman" w:hAnsi="Times New Roman" w:cs="Times New Roman"/>
                <w:b w:val="0"/>
                <w:bCs w:val="0"/>
                <w:color w:val="auto"/>
                <w:sz w:val="24"/>
                <w:szCs w:val="24"/>
                <w:lang w:eastAsia="zh-CN"/>
              </w:rPr>
              <w:t>高</w:t>
            </w:r>
            <w:r>
              <w:rPr>
                <w:rFonts w:hint="default" w:ascii="Times New Roman" w:hAnsi="Times New Roman" w:eastAsia="宋体" w:cs="Times New Roman"/>
                <w:b w:val="0"/>
                <w:bCs w:val="0"/>
                <w:color w:val="auto"/>
                <w:sz w:val="24"/>
                <w:szCs w:val="24"/>
                <w:lang w:eastAsia="zh-CN"/>
              </w:rPr>
              <w:t>温杀菌异味及</w:t>
            </w:r>
            <w:r>
              <w:rPr>
                <w:rFonts w:hint="default" w:ascii="Times New Roman" w:hAnsi="Times New Roman" w:eastAsia="宋体" w:cs="Times New Roman"/>
                <w:b w:val="0"/>
                <w:bCs w:val="0"/>
                <w:color w:val="auto"/>
                <w:sz w:val="24"/>
                <w:szCs w:val="24"/>
              </w:rPr>
              <w:t>设备噪声。</w:t>
            </w:r>
          </w:p>
          <w:p>
            <w:pPr>
              <w:pStyle w:val="61"/>
              <w:shd w:val="clear"/>
              <w:spacing w:line="360" w:lineRule="auto"/>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val="en-US" w:eastAsia="zh-CN"/>
              </w:rPr>
              <w:t>9</w:t>
            </w:r>
            <w:r>
              <w:rPr>
                <w:rFonts w:hint="eastAsia"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val="en-US" w:eastAsia="zh-CN"/>
              </w:rPr>
              <w:t>冷却：经过高温灭菌后的鲜玉米立即冷却。</w:t>
            </w:r>
          </w:p>
          <w:p>
            <w:pPr>
              <w:pStyle w:val="61"/>
              <w:shd w:val="clear"/>
              <w:spacing w:line="360" w:lineRule="auto"/>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cs="Times New Roman"/>
                <w:b w:val="0"/>
                <w:bCs w:val="0"/>
                <w:color w:val="auto"/>
                <w:sz w:val="24"/>
                <w:szCs w:val="24"/>
                <w:highlight w:val="none"/>
                <w:lang w:val="en-US" w:eastAsia="zh-CN"/>
              </w:rPr>
              <w:t>10</w:t>
            </w:r>
            <w:r>
              <w:rPr>
                <w:rFonts w:hint="default" w:ascii="Times New Roman" w:hAnsi="Times New Roman" w:cs="Times New Roman"/>
                <w:b w:val="0"/>
                <w:bCs w:val="0"/>
                <w:color w:val="auto"/>
                <w:sz w:val="24"/>
                <w:szCs w:val="24"/>
                <w:highlight w:val="none"/>
              </w:rPr>
              <w:t>）</w:t>
            </w:r>
            <w:r>
              <w:rPr>
                <w:rFonts w:hint="default" w:ascii="Times New Roman" w:hAnsi="Times New Roman" w:cs="Times New Roman"/>
                <w:b w:val="0"/>
                <w:bCs w:val="0"/>
                <w:color w:val="auto"/>
                <w:sz w:val="24"/>
                <w:szCs w:val="24"/>
                <w:highlight w:val="none"/>
                <w:lang w:eastAsia="zh-CN"/>
              </w:rPr>
              <w:t>风</w:t>
            </w:r>
            <w:r>
              <w:rPr>
                <w:rFonts w:hint="default" w:ascii="Times New Roman" w:hAnsi="Times New Roman" w:cs="Times New Roman"/>
                <w:b w:val="0"/>
                <w:bCs w:val="0"/>
                <w:color w:val="auto"/>
                <w:sz w:val="24"/>
                <w:szCs w:val="24"/>
                <w:highlight w:val="none"/>
              </w:rPr>
              <w:t>干：</w:t>
            </w:r>
            <w:r>
              <w:rPr>
                <w:rFonts w:hint="default" w:ascii="Times New Roman" w:hAnsi="Times New Roman" w:cs="Times New Roman"/>
                <w:b w:val="0"/>
                <w:bCs w:val="0"/>
                <w:color w:val="auto"/>
                <w:sz w:val="24"/>
                <w:szCs w:val="24"/>
                <w:highlight w:val="none"/>
                <w:lang w:eastAsia="zh-CN"/>
              </w:rPr>
              <w:t>将</w:t>
            </w:r>
            <w:r>
              <w:rPr>
                <w:rFonts w:hint="default" w:ascii="Times New Roman" w:hAnsi="Times New Roman" w:cs="Times New Roman"/>
                <w:b w:val="0"/>
                <w:bCs w:val="0"/>
                <w:color w:val="auto"/>
                <w:sz w:val="24"/>
                <w:szCs w:val="24"/>
                <w:lang w:val="en-US" w:eastAsia="zh-CN"/>
              </w:rPr>
              <w:t>高温灭菌的</w:t>
            </w:r>
            <w:r>
              <w:rPr>
                <w:rFonts w:hint="default" w:ascii="Times New Roman" w:hAnsi="Times New Roman" w:cs="Times New Roman"/>
                <w:b w:val="0"/>
                <w:bCs w:val="0"/>
                <w:color w:val="auto"/>
                <w:sz w:val="24"/>
                <w:szCs w:val="24"/>
                <w:highlight w:val="none"/>
              </w:rPr>
              <w:t>鲜玉米进行</w:t>
            </w:r>
            <w:r>
              <w:rPr>
                <w:rFonts w:hint="default" w:ascii="Times New Roman" w:hAnsi="Times New Roman" w:cs="Times New Roman"/>
                <w:b w:val="0"/>
                <w:bCs w:val="0"/>
                <w:color w:val="auto"/>
                <w:sz w:val="24"/>
                <w:szCs w:val="24"/>
                <w:highlight w:val="none"/>
                <w:lang w:eastAsia="zh-CN"/>
              </w:rPr>
              <w:t>风</w:t>
            </w:r>
            <w:r>
              <w:rPr>
                <w:rFonts w:hint="default" w:ascii="Times New Roman" w:hAnsi="Times New Roman" w:cs="Times New Roman"/>
                <w:b w:val="0"/>
                <w:bCs w:val="0"/>
                <w:color w:val="auto"/>
                <w:sz w:val="24"/>
                <w:szCs w:val="24"/>
                <w:highlight w:val="none"/>
              </w:rPr>
              <w:t>干。</w:t>
            </w:r>
            <w:r>
              <w:rPr>
                <w:rFonts w:hint="default" w:ascii="Times New Roman" w:hAnsi="Times New Roman" w:cs="Times New Roman"/>
                <w:b w:val="0"/>
                <w:bCs w:val="0"/>
                <w:color w:val="auto"/>
                <w:sz w:val="24"/>
                <w:szCs w:val="24"/>
              </w:rPr>
              <w:t>该工序产生的污染物为设备噪声。</w:t>
            </w:r>
          </w:p>
          <w:p>
            <w:pPr>
              <w:pStyle w:val="61"/>
              <w:shd w:val="clear"/>
              <w:spacing w:line="360" w:lineRule="auto"/>
              <w:rPr>
                <w:rFonts w:hint="default" w:ascii="Times New Roman" w:hAnsi="Times New Roman" w:cs="Times New Roman"/>
                <w:b w:val="0"/>
                <w:bCs w:val="0"/>
                <w:color w:val="auto"/>
                <w:sz w:val="24"/>
                <w:szCs w:val="24"/>
              </w:rPr>
            </w:pPr>
            <w:r>
              <w:rPr>
                <w:rFonts w:hint="eastAsia" w:ascii="Times New Roman" w:hAnsi="Times New Roman" w:cs="Times New Roman"/>
                <w:b w:val="0"/>
                <w:bCs w:val="0"/>
                <w:color w:val="auto"/>
                <w:sz w:val="24"/>
                <w:szCs w:val="24"/>
                <w:lang w:val="en-US" w:eastAsia="zh-CN"/>
              </w:rPr>
              <w:t>11</w:t>
            </w:r>
            <w:r>
              <w:rPr>
                <w:rFonts w:hint="default" w:ascii="Times New Roman" w:hAnsi="Times New Roman" w:cs="Times New Roman"/>
                <w:b w:val="0"/>
                <w:bCs w:val="0"/>
                <w:color w:val="auto"/>
                <w:sz w:val="24"/>
                <w:szCs w:val="24"/>
              </w:rPr>
              <w:t>）检验</w:t>
            </w:r>
            <w:r>
              <w:rPr>
                <w:rFonts w:hint="default" w:ascii="Times New Roman" w:hAnsi="Times New Roman" w:cs="Times New Roman"/>
                <w:b w:val="0"/>
                <w:bCs w:val="0"/>
                <w:color w:val="auto"/>
                <w:sz w:val="24"/>
                <w:szCs w:val="24"/>
                <w:lang w:eastAsia="zh-CN"/>
              </w:rPr>
              <w:t>、打码</w:t>
            </w:r>
            <w:r>
              <w:rPr>
                <w:rFonts w:hint="default" w:ascii="Times New Roman" w:hAnsi="Times New Roman" w:cs="Times New Roman"/>
                <w:b w:val="0"/>
                <w:bCs w:val="0"/>
                <w:color w:val="auto"/>
                <w:sz w:val="24"/>
                <w:szCs w:val="24"/>
              </w:rPr>
              <w:t>：检验鲜玉米穗的外观是否符合质量标准的要求</w:t>
            </w:r>
            <w:r>
              <w:rPr>
                <w:rFonts w:hint="default" w:ascii="Times New Roman" w:hAnsi="Times New Roman" w:cs="Times New Roman"/>
                <w:b w:val="0"/>
                <w:bCs w:val="0"/>
                <w:color w:val="auto"/>
                <w:sz w:val="24"/>
                <w:szCs w:val="24"/>
                <w:lang w:eastAsia="zh-CN"/>
              </w:rPr>
              <w:t>，并在包装袋上打码，</w:t>
            </w:r>
            <w:r>
              <w:rPr>
                <w:rFonts w:hint="default" w:ascii="Times New Roman" w:hAnsi="Times New Roman" w:cs="Times New Roman"/>
                <w:b w:val="0"/>
                <w:bCs w:val="0"/>
                <w:color w:val="auto"/>
                <w:sz w:val="24"/>
                <w:szCs w:val="24"/>
              </w:rPr>
              <w:t>封口标注生产日期。</w:t>
            </w:r>
          </w:p>
          <w:p>
            <w:pPr>
              <w:pStyle w:val="61"/>
              <w:shd w:val="clear"/>
              <w:spacing w:line="360" w:lineRule="auto"/>
              <w:rPr>
                <w:rFonts w:hint="default" w:ascii="Times New Roman" w:hAnsi="Times New Roman" w:cs="Times New Roman"/>
                <w:b w:val="0"/>
                <w:bCs w:val="0"/>
                <w:color w:val="auto"/>
                <w:sz w:val="24"/>
                <w:szCs w:val="24"/>
              </w:rPr>
            </w:pPr>
            <w:r>
              <w:rPr>
                <w:rFonts w:hint="eastAsia" w:ascii="Times New Roman" w:hAnsi="Times New Roman" w:cs="Times New Roman"/>
                <w:b w:val="0"/>
                <w:bCs w:val="0"/>
                <w:color w:val="auto"/>
                <w:sz w:val="24"/>
                <w:szCs w:val="24"/>
                <w:lang w:val="en-US" w:eastAsia="zh-CN"/>
              </w:rPr>
              <w:t>12</w:t>
            </w:r>
            <w:r>
              <w:rPr>
                <w:rFonts w:hint="default" w:ascii="Times New Roman" w:hAnsi="Times New Roman" w:cs="Times New Roman"/>
                <w:b w:val="0"/>
                <w:bCs w:val="0"/>
                <w:color w:val="auto"/>
                <w:sz w:val="24"/>
                <w:szCs w:val="24"/>
              </w:rPr>
              <w:t>）入库</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将鲜</w:t>
            </w:r>
            <w:r>
              <w:rPr>
                <w:rFonts w:hint="eastAsia" w:ascii="Times New Roman" w:hAnsi="Times New Roman" w:cs="Times New Roman"/>
                <w:b w:val="0"/>
                <w:bCs w:val="0"/>
                <w:color w:val="auto"/>
                <w:sz w:val="24"/>
                <w:szCs w:val="24"/>
                <w:lang w:val="en-US" w:eastAsia="zh-CN"/>
              </w:rPr>
              <w:t>食</w:t>
            </w:r>
            <w:r>
              <w:rPr>
                <w:rFonts w:hint="default" w:ascii="Times New Roman" w:hAnsi="Times New Roman" w:cs="Times New Roman"/>
                <w:b w:val="0"/>
                <w:bCs w:val="0"/>
                <w:color w:val="auto"/>
                <w:sz w:val="24"/>
                <w:szCs w:val="24"/>
              </w:rPr>
              <w:t>玉米穗放入库内贮存。</w:t>
            </w:r>
          </w:p>
          <w:p>
            <w:pPr>
              <w:pStyle w:val="61"/>
              <w:shd w:val="clear"/>
              <w:spacing w:line="360" w:lineRule="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1</w:t>
            </w:r>
            <w:r>
              <w:rPr>
                <w:rFonts w:hint="eastAsia"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）装箱</w:t>
            </w:r>
            <w:r>
              <w:rPr>
                <w:rFonts w:hint="default" w:ascii="Times New Roman" w:hAnsi="Times New Roman" w:cs="Times New Roman"/>
                <w:b w:val="0"/>
                <w:bCs w:val="0"/>
                <w:color w:val="auto"/>
                <w:sz w:val="24"/>
                <w:szCs w:val="24"/>
                <w:lang w:eastAsia="zh-CN"/>
              </w:rPr>
              <w:t>、出售：</w:t>
            </w:r>
            <w:r>
              <w:rPr>
                <w:rFonts w:hint="default" w:ascii="Times New Roman" w:hAnsi="Times New Roman" w:cs="Times New Roman"/>
                <w:b w:val="0"/>
                <w:bCs w:val="0"/>
                <w:color w:val="auto"/>
                <w:sz w:val="24"/>
                <w:szCs w:val="24"/>
              </w:rPr>
              <w:t>将检验合格的鲜</w:t>
            </w:r>
            <w:r>
              <w:rPr>
                <w:rFonts w:hint="default" w:ascii="Times New Roman" w:hAnsi="Times New Roman" w:cs="Times New Roman"/>
                <w:b w:val="0"/>
                <w:bCs w:val="0"/>
                <w:color w:val="auto"/>
                <w:sz w:val="24"/>
                <w:szCs w:val="24"/>
                <w:lang w:eastAsia="zh-CN"/>
              </w:rPr>
              <w:t>食</w:t>
            </w:r>
            <w:r>
              <w:rPr>
                <w:rFonts w:hint="default" w:ascii="Times New Roman" w:hAnsi="Times New Roman" w:cs="Times New Roman"/>
                <w:b w:val="0"/>
                <w:bCs w:val="0"/>
                <w:color w:val="auto"/>
                <w:sz w:val="24"/>
                <w:szCs w:val="24"/>
              </w:rPr>
              <w:t>玉米穗装箱打包。该工序产生的污染物为废弃包装箱。</w:t>
            </w:r>
          </w:p>
          <w:p>
            <w:pPr>
              <w:pStyle w:val="61"/>
              <w:shd w:val="clear"/>
              <w:spacing w:line="360" w:lineRule="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1</w:t>
            </w:r>
            <w:r>
              <w:rPr>
                <w:rFonts w:hint="eastAsia" w:ascii="Times New Roman" w:hAnsi="Times New Roman" w:cs="Times New Roman"/>
                <w:b w:val="0"/>
                <w:bCs w:val="0"/>
                <w:color w:val="auto"/>
                <w:sz w:val="24"/>
                <w:szCs w:val="24"/>
                <w:lang w:val="en-US" w:eastAsia="zh-CN"/>
              </w:rPr>
              <w:t>4</w:t>
            </w:r>
            <w:r>
              <w:rPr>
                <w:rFonts w:hint="default" w:ascii="Times New Roman" w:hAnsi="Times New Roman" w:cs="Times New Roman"/>
                <w:b w:val="0"/>
                <w:bCs w:val="0"/>
                <w:color w:val="auto"/>
                <w:sz w:val="24"/>
                <w:szCs w:val="24"/>
              </w:rPr>
              <w:t>）通用工序：</w:t>
            </w:r>
            <w:r>
              <w:rPr>
                <w:rFonts w:hint="default" w:ascii="Times New Roman" w:hAnsi="Times New Roman" w:cs="Times New Roman"/>
                <w:b w:val="0"/>
                <w:bCs w:val="0"/>
                <w:color w:val="auto"/>
                <w:sz w:val="24"/>
                <w:szCs w:val="24"/>
                <w:lang w:eastAsia="zh-CN"/>
              </w:rPr>
              <w:t>高温杀菌工序</w:t>
            </w:r>
            <w:r>
              <w:rPr>
                <w:rFonts w:hint="default" w:ascii="Times New Roman" w:hAnsi="Times New Roman" w:cs="Times New Roman"/>
                <w:b w:val="0"/>
                <w:bCs w:val="0"/>
                <w:color w:val="auto"/>
                <w:sz w:val="24"/>
                <w:szCs w:val="24"/>
              </w:rPr>
              <w:t>用</w:t>
            </w:r>
            <w:r>
              <w:rPr>
                <w:rFonts w:hint="default" w:ascii="Times New Roman" w:hAnsi="Times New Roman" w:cs="Times New Roman"/>
                <w:b w:val="0"/>
                <w:bCs w:val="0"/>
                <w:color w:val="auto"/>
                <w:sz w:val="24"/>
                <w:szCs w:val="24"/>
                <w:lang w:eastAsia="zh-CN"/>
              </w:rPr>
              <w:t>蒸汽</w:t>
            </w:r>
            <w:r>
              <w:rPr>
                <w:rFonts w:hint="default" w:ascii="Times New Roman" w:hAnsi="Times New Roman" w:cs="Times New Roman"/>
                <w:b w:val="0"/>
                <w:bCs w:val="0"/>
                <w:color w:val="auto"/>
                <w:sz w:val="24"/>
                <w:szCs w:val="24"/>
              </w:rPr>
              <w:t>由1台</w:t>
            </w:r>
            <w:r>
              <w:rPr>
                <w:rFonts w:hint="default" w:ascii="Times New Roman" w:hAnsi="Times New Roman" w:cs="Times New Roman"/>
                <w:b w:val="0"/>
                <w:bCs w:val="0"/>
                <w:color w:val="auto"/>
                <w:sz w:val="24"/>
                <w:szCs w:val="24"/>
                <w:lang w:val="en-US" w:eastAsia="zh-CN"/>
              </w:rPr>
              <w:t>4t/h和1台6t/h</w:t>
            </w:r>
            <w:r>
              <w:rPr>
                <w:rFonts w:hint="default" w:ascii="Times New Roman" w:hAnsi="Times New Roman" w:cs="Times New Roman"/>
                <w:b w:val="0"/>
                <w:bCs w:val="0"/>
                <w:color w:val="auto"/>
                <w:sz w:val="24"/>
                <w:szCs w:val="24"/>
              </w:rPr>
              <w:t>燃生物质蒸汽锅炉提供，锅炉产生的污染物为锅炉烟气、锅炉排污水、锅炉灰渣</w:t>
            </w:r>
            <w:r>
              <w:rPr>
                <w:rFonts w:hint="default" w:ascii="Times New Roman" w:hAnsi="Times New Roman" w:cs="Times New Roman"/>
                <w:b w:val="0"/>
                <w:bCs w:val="0"/>
                <w:color w:val="auto"/>
                <w:sz w:val="24"/>
                <w:szCs w:val="24"/>
                <w:highlight w:val="none"/>
                <w:lang w:val="en-US" w:eastAsia="zh-CN"/>
              </w:rPr>
              <w:t>、废布袋、</w:t>
            </w:r>
            <w:r>
              <w:rPr>
                <w:rFonts w:hint="default" w:ascii="Times New Roman" w:hAnsi="Times New Roman" w:cs="Times New Roman"/>
                <w:b w:val="0"/>
                <w:bCs w:val="0"/>
                <w:color w:val="auto"/>
                <w:sz w:val="24"/>
                <w:szCs w:val="24"/>
              </w:rPr>
              <w:t>废离子交换树脂以及风机</w:t>
            </w:r>
            <w:r>
              <w:rPr>
                <w:rFonts w:hint="default" w:ascii="Times New Roman" w:hAnsi="Times New Roman" w:cs="Times New Roman"/>
                <w:b w:val="0"/>
                <w:bCs w:val="0"/>
                <w:color w:val="auto"/>
                <w:sz w:val="24"/>
                <w:szCs w:val="24"/>
                <w:lang w:eastAsia="zh-CN"/>
              </w:rPr>
              <w:t>水泵</w:t>
            </w:r>
            <w:r>
              <w:rPr>
                <w:rFonts w:hint="default" w:ascii="Times New Roman" w:hAnsi="Times New Roman" w:cs="Times New Roman"/>
                <w:b w:val="0"/>
                <w:bCs w:val="0"/>
                <w:color w:val="auto"/>
                <w:sz w:val="24"/>
                <w:szCs w:val="24"/>
              </w:rPr>
              <w:t>噪声。</w:t>
            </w:r>
          </w:p>
          <w:p>
            <w:pPr>
              <w:keepNext w:val="0"/>
              <w:keepLines w:val="0"/>
              <w:pageBreakBefore w:val="0"/>
              <w:widowControl w:val="0"/>
              <w:shd w:val="clear"/>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主要污染工序：</w:t>
            </w:r>
          </w:p>
          <w:p>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本项目营运期主要污染物为废水、废气、噪声和固体废物，根据工程工艺分析，项目运营期主要污染源分布情况见表2-7</w:t>
            </w:r>
          </w:p>
          <w:p>
            <w:pPr>
              <w:keepNext w:val="0"/>
              <w:keepLines w:val="0"/>
              <w:pageBreakBefore w:val="0"/>
              <w:widowControl w:val="0"/>
              <w:shd w:val="clear"/>
              <w:kinsoku/>
              <w:wordWrap/>
              <w:overflowPunct/>
              <w:topLinePunct w:val="0"/>
              <w:autoSpaceDE/>
              <w:autoSpaceDN/>
              <w:bidi w:val="0"/>
              <w:adjustRightInd w:val="0"/>
              <w:snapToGrid w:val="0"/>
              <w:spacing w:line="360" w:lineRule="auto"/>
              <w:ind w:firstLine="482" w:firstLineChars="200"/>
              <w:textAlignment w:val="auto"/>
              <w:rPr>
                <w:b/>
                <w:color w:val="auto"/>
                <w:sz w:val="24"/>
                <w:szCs w:val="24"/>
              </w:rPr>
            </w:pPr>
            <w:r>
              <w:rPr>
                <w:b/>
                <w:color w:val="auto"/>
                <w:sz w:val="24"/>
                <w:szCs w:val="24"/>
              </w:rPr>
              <w:t>主要污染工序：</w:t>
            </w:r>
          </w:p>
          <w:p>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color w:val="auto"/>
                <w:sz w:val="24"/>
                <w:szCs w:val="24"/>
              </w:rPr>
            </w:pPr>
            <w:r>
              <w:rPr>
                <w:color w:val="auto"/>
                <w:sz w:val="24"/>
                <w:szCs w:val="24"/>
              </w:rPr>
              <w:t>本项目营运期主要污染物为废水、废气、噪声和固体废物，根据工程工艺分析，项目运营期主要污染源分布情况见表2-7。</w:t>
            </w:r>
          </w:p>
          <w:p>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b/>
                <w:color w:val="auto"/>
                <w:szCs w:val="21"/>
              </w:rPr>
            </w:pPr>
            <w:r>
              <w:rPr>
                <w:b/>
                <w:color w:val="auto"/>
                <w:sz w:val="24"/>
                <w:szCs w:val="24"/>
              </w:rPr>
              <w:t xml:space="preserve">表2-7  </w:t>
            </w:r>
            <w:r>
              <w:rPr>
                <w:b/>
                <w:color w:val="auto"/>
                <w:szCs w:val="21"/>
              </w:rPr>
              <w:t>营运期主要污染工序一览表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9"/>
              <w:gridCol w:w="1336"/>
              <w:gridCol w:w="996"/>
              <w:gridCol w:w="2863"/>
              <w:gridCol w:w="25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2" w:hRule="atLeast"/>
                <w:jc w:val="center"/>
              </w:trPr>
              <w:tc>
                <w:tcPr>
                  <w:tcW w:w="380"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794"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污染物类型</w:t>
                  </w:r>
                </w:p>
              </w:tc>
              <w:tc>
                <w:tcPr>
                  <w:tcW w:w="59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生产线</w:t>
                  </w: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产污环节</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61" w:hRule="atLeast"/>
                <w:jc w:val="center"/>
              </w:trPr>
              <w:tc>
                <w:tcPr>
                  <w:tcW w:w="380"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794"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w:t>
                  </w:r>
                </w:p>
              </w:tc>
              <w:tc>
                <w:tcPr>
                  <w:tcW w:w="592"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鲜食玉米</w:t>
                  </w: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高温杀菌异味G1</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臭气浓度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61"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锅炉烟气G2</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颗粒物、二氧化硫、氮氧化物、烟气黑度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61"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w:t>
                  </w: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食堂G3</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0"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794"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p>
              </w:tc>
              <w:tc>
                <w:tcPr>
                  <w:tcW w:w="592"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鲜食玉米</w:t>
                  </w: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清洗废水W1</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rPr>
                    <w:t>COD、NH</w:t>
                  </w:r>
                  <w:r>
                    <w:rPr>
                      <w:rFonts w:hint="default" w:ascii="Times New Roman" w:hAnsi="Times New Roman" w:eastAsia="宋体" w:cs="Times New Roman"/>
                      <w:color w:val="auto"/>
                      <w:kern w:val="0"/>
                      <w:sz w:val="21"/>
                      <w:szCs w:val="21"/>
                      <w:vertAlign w:val="subscript"/>
                    </w:rPr>
                    <w:t>3</w:t>
                  </w:r>
                  <w:r>
                    <w:rPr>
                      <w:rFonts w:hint="default" w:ascii="Times New Roman" w:hAnsi="Times New Roman" w:eastAsia="宋体" w:cs="Times New Roman"/>
                      <w:color w:val="auto"/>
                      <w:kern w:val="0"/>
                      <w:sz w:val="21"/>
                      <w:szCs w:val="21"/>
                    </w:rPr>
                    <w:t>-N</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lang w:val="en-US" w:eastAsia="zh-CN"/>
                    </w:rPr>
                    <w:t>BOD</w:t>
                  </w:r>
                  <w:r>
                    <w:rPr>
                      <w:rFonts w:hint="default" w:ascii="Times New Roman" w:hAnsi="Times New Roman" w:eastAsia="宋体" w:cs="Times New Roman"/>
                      <w:color w:val="auto"/>
                      <w:kern w:val="0"/>
                      <w:sz w:val="21"/>
                      <w:szCs w:val="21"/>
                      <w:vertAlign w:val="subscript"/>
                      <w:lang w:val="en-US" w:eastAsia="zh-CN"/>
                    </w:rPr>
                    <w:t>5</w:t>
                  </w:r>
                  <w:r>
                    <w:rPr>
                      <w:rFonts w:hint="default" w:ascii="Times New Roman" w:hAnsi="Times New Roman" w:eastAsia="宋体" w:cs="Times New Roman"/>
                      <w:color w:val="auto"/>
                      <w:kern w:val="0"/>
                      <w:sz w:val="21"/>
                      <w:szCs w:val="21"/>
                      <w:lang w:val="en-US" w:eastAsia="zh-CN"/>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锅炉排污水及软化水废水W2</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COD</w:t>
                  </w:r>
                  <w:r>
                    <w:rPr>
                      <w:rFonts w:hint="eastAsia" w:cs="Times New Roman"/>
                      <w:color w:val="auto"/>
                      <w:sz w:val="21"/>
                      <w:szCs w:val="21"/>
                      <w:highlight w:val="none"/>
                      <w:lang w:val="en-US" w:eastAsia="zh-CN"/>
                    </w:rPr>
                    <w:t>，TDS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w:t>
                  </w: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生活</w:t>
                  </w:r>
                  <w:r>
                    <w:rPr>
                      <w:rFonts w:hint="default" w:ascii="Times New Roman" w:hAnsi="Times New Roman" w:eastAsia="宋体" w:cs="Times New Roman"/>
                      <w:color w:val="auto"/>
                      <w:sz w:val="21"/>
                      <w:szCs w:val="21"/>
                      <w:lang w:eastAsia="zh-CN"/>
                    </w:rPr>
                    <w:t>污水</w:t>
                  </w:r>
                  <w:r>
                    <w:rPr>
                      <w:rFonts w:hint="default" w:ascii="Times New Roman" w:hAnsi="Times New Roman" w:eastAsia="宋体" w:cs="Times New Roman"/>
                      <w:color w:val="auto"/>
                      <w:sz w:val="21"/>
                      <w:szCs w:val="21"/>
                      <w:lang w:val="en-US" w:eastAsia="zh-CN"/>
                    </w:rPr>
                    <w:t>W3</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rPr>
                    <w:t>COD、NH</w:t>
                  </w:r>
                  <w:r>
                    <w:rPr>
                      <w:rFonts w:hint="default" w:ascii="Times New Roman" w:hAnsi="Times New Roman" w:eastAsia="宋体" w:cs="Times New Roman"/>
                      <w:color w:val="auto"/>
                      <w:kern w:val="0"/>
                      <w:sz w:val="21"/>
                      <w:szCs w:val="21"/>
                      <w:vertAlign w:val="subscript"/>
                    </w:rPr>
                    <w:t>3</w:t>
                  </w:r>
                  <w:r>
                    <w:rPr>
                      <w:rFonts w:hint="default" w:ascii="Times New Roman" w:hAnsi="Times New Roman" w:eastAsia="宋体" w:cs="Times New Roman"/>
                      <w:color w:val="auto"/>
                      <w:kern w:val="0"/>
                      <w:sz w:val="21"/>
                      <w:szCs w:val="21"/>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0"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w:t>
                  </w:r>
                </w:p>
              </w:tc>
              <w:tc>
                <w:tcPr>
                  <w:tcW w:w="794"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592"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鲜食玉米</w:t>
                  </w: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剥皮机噪声N1</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机械噪声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去头尾机噪声N2</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机械噪声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清洗线噪声N3</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机械噪声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真空包装噪声N4</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机械噪声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高温灭菌噪声N5</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机械噪声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风干线噪声N6</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机械噪声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水泵、锅炉风机N7</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机械噪声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3" w:hRule="atLeast"/>
                <w:jc w:val="center"/>
              </w:trPr>
              <w:tc>
                <w:tcPr>
                  <w:tcW w:w="380"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794"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固体废物</w:t>
                  </w:r>
                </w:p>
              </w:tc>
              <w:tc>
                <w:tcPr>
                  <w:tcW w:w="592"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鲜食玉米</w:t>
                  </w: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玉米叶、玉米须</w:t>
                  </w:r>
                  <w:r>
                    <w:rPr>
                      <w:rFonts w:hint="default" w:ascii="Times New Roman" w:hAnsi="Times New Roman" w:eastAsia="宋体" w:cs="Times New Roman"/>
                      <w:color w:val="auto"/>
                      <w:sz w:val="21"/>
                      <w:szCs w:val="21"/>
                      <w:lang w:val="en-US" w:eastAsia="zh-CN"/>
                    </w:rPr>
                    <w:t>S1</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玉米叶、玉米须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3"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不合格的果穗、青穗</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废弃玉米段</w:t>
                  </w:r>
                  <w:r>
                    <w:rPr>
                      <w:rFonts w:hint="default" w:ascii="Times New Roman" w:hAnsi="Times New Roman" w:eastAsia="宋体" w:cs="Times New Roman"/>
                      <w:color w:val="auto"/>
                      <w:sz w:val="21"/>
                      <w:szCs w:val="21"/>
                      <w:lang w:val="en-US" w:eastAsia="zh-CN"/>
                    </w:rPr>
                    <w:t>S2</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不合格的果穗、青穗</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废弃玉米段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3"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废弃包装袋</w:t>
                  </w:r>
                  <w:r>
                    <w:rPr>
                      <w:rFonts w:hint="default" w:ascii="Times New Roman" w:hAnsi="Times New Roman" w:eastAsia="宋体" w:cs="Times New Roman"/>
                      <w:color w:val="auto"/>
                      <w:sz w:val="21"/>
                      <w:szCs w:val="21"/>
                      <w:lang w:val="en-US" w:eastAsia="zh-CN"/>
                    </w:rPr>
                    <w:t>S3</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废弃包装袋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废弃包装箱</w:t>
                  </w:r>
                  <w:r>
                    <w:rPr>
                      <w:rFonts w:hint="default" w:ascii="Times New Roman" w:hAnsi="Times New Roman" w:eastAsia="宋体" w:cs="Times New Roman"/>
                      <w:color w:val="auto"/>
                      <w:sz w:val="21"/>
                      <w:szCs w:val="21"/>
                      <w:lang w:val="en-US" w:eastAsia="zh-CN"/>
                    </w:rPr>
                    <w:t>S4</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废弃包装箱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锅炉灰渣</w:t>
                  </w:r>
                  <w:r>
                    <w:rPr>
                      <w:rFonts w:hint="default" w:ascii="Times New Roman" w:hAnsi="Times New Roman" w:eastAsia="宋体" w:cs="Times New Roman"/>
                      <w:color w:val="auto"/>
                      <w:sz w:val="21"/>
                      <w:szCs w:val="21"/>
                      <w:lang w:val="en-US" w:eastAsia="zh-CN"/>
                    </w:rPr>
                    <w:t>S5</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锅炉灰渣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废布袋</w:t>
                  </w:r>
                  <w:r>
                    <w:rPr>
                      <w:rFonts w:hint="default" w:ascii="Times New Roman" w:hAnsi="Times New Roman" w:eastAsia="宋体" w:cs="Times New Roman"/>
                      <w:color w:val="auto"/>
                      <w:sz w:val="21"/>
                      <w:szCs w:val="21"/>
                      <w:lang w:val="en-US" w:eastAsia="zh-CN"/>
                    </w:rPr>
                    <w:t>S6</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废布袋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废离子交换树脂</w:t>
                  </w:r>
                  <w:r>
                    <w:rPr>
                      <w:rFonts w:hint="default" w:ascii="Times New Roman" w:hAnsi="Times New Roman" w:eastAsia="宋体" w:cs="Times New Roman"/>
                      <w:color w:val="auto"/>
                      <w:sz w:val="21"/>
                      <w:szCs w:val="21"/>
                      <w:lang w:val="en-US" w:eastAsia="zh-CN"/>
                    </w:rPr>
                    <w:t>S7</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废离子交换树脂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7" w:hRule="atLeast"/>
                <w:jc w:val="center"/>
              </w:trPr>
              <w:tc>
                <w:tcPr>
                  <w:tcW w:w="380"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79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p>
              </w:tc>
              <w:tc>
                <w:tcPr>
                  <w:tcW w:w="59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w:t>
                  </w:r>
                </w:p>
              </w:tc>
              <w:tc>
                <w:tcPr>
                  <w:tcW w:w="170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生活垃圾S8</w:t>
                  </w:r>
                </w:p>
              </w:tc>
              <w:tc>
                <w:tcPr>
                  <w:tcW w:w="152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w:t>
                  </w:r>
                </w:p>
              </w:tc>
            </w:tr>
          </w:tbl>
          <w:p>
            <w:pPr>
              <w:shd w:val="clear"/>
              <w:adjustRightInd w:val="0"/>
              <w:snapToGrid w:val="0"/>
              <w:rPr>
                <w:bCs/>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08" w:hRule="atLeast"/>
          <w:jc w:val="center"/>
        </w:trPr>
        <w:tc>
          <w:tcPr>
            <w:tcW w:w="266" w:type="pct"/>
            <w:vAlign w:val="center"/>
          </w:tcPr>
          <w:p>
            <w:pPr>
              <w:pStyle w:val="23"/>
              <w:shd w:val="clear"/>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bCs/>
                <w:color w:val="auto"/>
                <w:kern w:val="2"/>
                <w:sz w:val="21"/>
                <w:szCs w:val="21"/>
              </w:rPr>
              <w:t>与项目有关的原有环境污染问题</w:t>
            </w:r>
          </w:p>
        </w:tc>
        <w:tc>
          <w:tcPr>
            <w:tcW w:w="4733" w:type="pct"/>
            <w:vAlign w:val="center"/>
          </w:tcPr>
          <w:p>
            <w:pPr>
              <w:shd w:val="clear"/>
              <w:spacing w:before="120" w:beforeLines="50" w:line="360" w:lineRule="auto"/>
              <w:ind w:firstLine="480" w:firstLineChars="200"/>
              <w:jc w:val="center"/>
              <w:rPr>
                <w:bCs/>
                <w:color w:val="auto"/>
                <w:szCs w:val="21"/>
              </w:rPr>
            </w:pPr>
            <w:r>
              <w:rPr>
                <w:rFonts w:hint="eastAsia"/>
                <w:bCs/>
                <w:color w:val="auto"/>
                <w:sz w:val="24"/>
                <w:lang w:val="en-US" w:eastAsia="zh-CN"/>
              </w:rPr>
              <w:t>本项目为新建项目，不存在原有污染问题。</w:t>
            </w:r>
          </w:p>
        </w:tc>
      </w:tr>
    </w:tbl>
    <w:p>
      <w:pPr>
        <w:pStyle w:val="23"/>
        <w:shd w:val="clear"/>
        <w:jc w:val="center"/>
        <w:rPr>
          <w:rFonts w:ascii="Times New Roman" w:hAnsi="Times New Roman"/>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19"/>
        <w:shd w:val="clear"/>
        <w:tabs>
          <w:tab w:val="right" w:leader="dot" w:pos="8844"/>
        </w:tabs>
        <w:spacing w:after="240" w:afterLines="100"/>
        <w:jc w:val="center"/>
        <w:outlineLvl w:val="0"/>
        <w:rPr>
          <w:rFonts w:eastAsia="黑体"/>
          <w:snapToGrid w:val="0"/>
          <w:color w:val="auto"/>
          <w:sz w:val="30"/>
          <w:szCs w:val="30"/>
        </w:rPr>
      </w:pPr>
      <w:bookmarkStart w:id="6" w:name="_Toc19405"/>
      <w:r>
        <w:rPr>
          <w:rFonts w:eastAsia="黑体"/>
          <w:snapToGrid w:val="0"/>
          <w:color w:val="auto"/>
          <w:sz w:val="30"/>
          <w:szCs w:val="30"/>
        </w:rPr>
        <w:t>三、区域环境质量现状、环境保护目标及评价标准</w:t>
      </w:r>
      <w:bookmarkEnd w:id="6"/>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5"/>
        <w:gridCol w:w="863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6" w:hRule="atLeast"/>
          <w:jc w:val="center"/>
        </w:trPr>
        <w:tc>
          <w:tcPr>
            <w:tcW w:w="505" w:type="dxa"/>
            <w:vAlign w:val="center"/>
          </w:tcPr>
          <w:p>
            <w:pPr>
              <w:shd w:val="clear"/>
              <w:adjustRightInd w:val="0"/>
              <w:snapToGrid w:val="0"/>
              <w:jc w:val="center"/>
              <w:rPr>
                <w:color w:val="auto"/>
                <w:kern w:val="0"/>
                <w:szCs w:val="21"/>
              </w:rPr>
            </w:pPr>
            <w:r>
              <w:rPr>
                <w:color w:val="auto"/>
                <w:kern w:val="0"/>
                <w:szCs w:val="21"/>
              </w:rPr>
              <w:t>区域</w:t>
            </w:r>
          </w:p>
          <w:p>
            <w:pPr>
              <w:shd w:val="clear"/>
              <w:adjustRightInd w:val="0"/>
              <w:snapToGrid w:val="0"/>
              <w:jc w:val="center"/>
              <w:rPr>
                <w:color w:val="auto"/>
                <w:kern w:val="0"/>
                <w:szCs w:val="21"/>
              </w:rPr>
            </w:pPr>
            <w:r>
              <w:rPr>
                <w:color w:val="auto"/>
                <w:kern w:val="0"/>
                <w:szCs w:val="21"/>
              </w:rPr>
              <w:t>环境</w:t>
            </w:r>
          </w:p>
          <w:p>
            <w:pPr>
              <w:shd w:val="clear"/>
              <w:adjustRightInd w:val="0"/>
              <w:snapToGrid w:val="0"/>
              <w:jc w:val="center"/>
              <w:rPr>
                <w:color w:val="auto"/>
                <w:kern w:val="0"/>
                <w:szCs w:val="21"/>
              </w:rPr>
            </w:pPr>
            <w:r>
              <w:rPr>
                <w:color w:val="auto"/>
                <w:kern w:val="0"/>
                <w:szCs w:val="21"/>
              </w:rPr>
              <w:t>质量</w:t>
            </w:r>
          </w:p>
          <w:p>
            <w:pPr>
              <w:shd w:val="clear"/>
              <w:adjustRightInd w:val="0"/>
              <w:snapToGrid w:val="0"/>
              <w:jc w:val="center"/>
              <w:rPr>
                <w:color w:val="auto"/>
                <w:kern w:val="0"/>
                <w:szCs w:val="21"/>
              </w:rPr>
            </w:pPr>
            <w:r>
              <w:rPr>
                <w:color w:val="auto"/>
                <w:kern w:val="0"/>
                <w:szCs w:val="21"/>
              </w:rPr>
              <w:t>现状</w:t>
            </w:r>
          </w:p>
        </w:tc>
        <w:tc>
          <w:tcPr>
            <w:tcW w:w="8556" w:type="dxa"/>
          </w:tcPr>
          <w:p>
            <w:pPr>
              <w:pStyle w:val="44"/>
              <w:shd w:val="clear"/>
              <w:rPr>
                <w:rFonts w:hint="default" w:ascii="Times New Roman" w:hAnsi="Times New Roman" w:eastAsia="宋体"/>
                <w:bCs/>
                <w:color w:val="auto"/>
                <w:sz w:val="24"/>
                <w:highlight w:val="none"/>
                <w:lang w:val="en-US" w:eastAsia="zh-CN"/>
              </w:rPr>
            </w:pPr>
            <w:r>
              <w:rPr>
                <w:rFonts w:hint="eastAsia" w:ascii="Times New Roman" w:hAnsi="Times New Roman"/>
                <w:bCs/>
                <w:color w:val="auto"/>
                <w:sz w:val="24"/>
                <w:highlight w:val="none"/>
                <w:lang w:val="en-US" w:eastAsia="zh-CN"/>
              </w:rPr>
              <w:t>1、基本污染物质量现状</w:t>
            </w:r>
          </w:p>
          <w:p>
            <w:pPr>
              <w:shd w:val="clear"/>
              <w:spacing w:line="360" w:lineRule="auto"/>
              <w:ind w:firstLine="480" w:firstLineChars="200"/>
              <w:rPr>
                <w:rFonts w:ascii="Times New Roman" w:hAnsi="Times New Roman"/>
                <w:color w:val="auto"/>
                <w:sz w:val="24"/>
                <w:highlight w:val="none"/>
              </w:rPr>
            </w:pPr>
            <w:r>
              <w:rPr>
                <w:rFonts w:hint="eastAsia" w:ascii="Times New Roman" w:hAnsi="Times New Roman"/>
                <w:color w:val="auto"/>
                <w:sz w:val="24"/>
                <w:highlight w:val="none"/>
              </w:rPr>
              <w:t>本项目位于黑龙江省绥化市海伦市</w:t>
            </w:r>
            <w:r>
              <w:rPr>
                <w:rFonts w:hint="eastAsia" w:ascii="Times New Roman" w:hAnsi="Times New Roman"/>
                <w:color w:val="auto"/>
                <w:sz w:val="24"/>
                <w:highlight w:val="none"/>
                <w:lang w:eastAsia="zh-CN"/>
              </w:rPr>
              <w:t>长发镇长建村刘海山屯</w:t>
            </w:r>
            <w:r>
              <w:rPr>
                <w:rFonts w:hint="eastAsia" w:ascii="Times New Roman" w:hAnsi="Times New Roman"/>
                <w:color w:val="auto"/>
                <w:sz w:val="24"/>
                <w:highlight w:val="none"/>
              </w:rPr>
              <w:t>，</w:t>
            </w:r>
            <w:r>
              <w:rPr>
                <w:rFonts w:ascii="Times New Roman" w:hAnsi="Times New Roman"/>
                <w:color w:val="auto"/>
                <w:sz w:val="24"/>
                <w:highlight w:val="none"/>
              </w:rPr>
              <w:t>项目区位于绥化市管辖范围内，与其地形、气候条件相近，故本项目引用绥化市环境空气质量数据可代表厂址区域环境空气质量。</w:t>
            </w:r>
          </w:p>
          <w:p>
            <w:pPr>
              <w:pStyle w:val="23"/>
              <w:shd w:val="clear"/>
              <w:spacing w:before="0" w:beforeAutospacing="0" w:after="0" w:afterAutospacing="0" w:line="360" w:lineRule="auto"/>
              <w:ind w:firstLine="480" w:firstLineChars="200"/>
              <w:rPr>
                <w:rFonts w:ascii="Times New Roman" w:hAnsi="Times New Roman"/>
                <w:color w:val="auto"/>
                <w:sz w:val="24"/>
                <w:highlight w:val="none"/>
              </w:rPr>
            </w:pPr>
            <w:bookmarkStart w:id="7" w:name="4.3.1.2补充监测数据现状评价"/>
            <w:bookmarkEnd w:id="7"/>
            <w:r>
              <w:rPr>
                <w:rFonts w:ascii="Times New Roman" w:hAnsi="Times New Roman"/>
                <w:snapToGrid w:val="0"/>
                <w:color w:val="auto"/>
                <w:kern w:val="0"/>
                <w:sz w:val="24"/>
                <w:highlight w:val="none"/>
              </w:rPr>
              <w:t>根据2022年《绥化市环境质量年报》，2022年绥化市空气质量级别劣于二级，空气质量综合指数为3.26，同比升高2.5%，PM</w:t>
            </w:r>
            <w:r>
              <w:rPr>
                <w:rFonts w:ascii="Times New Roman" w:hAnsi="Times New Roman"/>
                <w:snapToGrid w:val="0"/>
                <w:color w:val="auto"/>
                <w:kern w:val="0"/>
                <w:sz w:val="24"/>
                <w:highlight w:val="none"/>
                <w:vertAlign w:val="subscript"/>
              </w:rPr>
              <w:t>10</w:t>
            </w:r>
            <w:r>
              <w:rPr>
                <w:rFonts w:ascii="Times New Roman" w:hAnsi="Times New Roman"/>
                <w:snapToGrid w:val="0"/>
                <w:color w:val="auto"/>
                <w:kern w:val="0"/>
                <w:sz w:val="24"/>
                <w:highlight w:val="none"/>
              </w:rPr>
              <w:t>年均浓度为49μg/m</w:t>
            </w:r>
            <w:r>
              <w:rPr>
                <w:rFonts w:ascii="Times New Roman" w:hAnsi="Times New Roman"/>
                <w:snapToGrid w:val="0"/>
                <w:color w:val="auto"/>
                <w:kern w:val="0"/>
                <w:sz w:val="24"/>
                <w:highlight w:val="none"/>
                <w:vertAlign w:val="superscript"/>
              </w:rPr>
              <w:t>3</w:t>
            </w:r>
            <w:r>
              <w:rPr>
                <w:rFonts w:ascii="Times New Roman" w:hAnsi="Times New Roman"/>
                <w:snapToGrid w:val="0"/>
                <w:color w:val="auto"/>
                <w:kern w:val="0"/>
                <w:sz w:val="24"/>
                <w:highlight w:val="none"/>
              </w:rPr>
              <w:t>，SO</w:t>
            </w:r>
            <w:r>
              <w:rPr>
                <w:rFonts w:ascii="Times New Roman" w:hAnsi="Times New Roman"/>
                <w:snapToGrid w:val="0"/>
                <w:color w:val="auto"/>
                <w:kern w:val="0"/>
                <w:sz w:val="24"/>
                <w:highlight w:val="none"/>
                <w:vertAlign w:val="subscript"/>
              </w:rPr>
              <w:t>2</w:t>
            </w:r>
            <w:r>
              <w:rPr>
                <w:rFonts w:ascii="Times New Roman" w:hAnsi="Times New Roman"/>
                <w:snapToGrid w:val="0"/>
                <w:color w:val="auto"/>
                <w:kern w:val="0"/>
                <w:sz w:val="24"/>
                <w:highlight w:val="none"/>
              </w:rPr>
              <w:t>年均浓度为7μg/m</w:t>
            </w:r>
            <w:r>
              <w:rPr>
                <w:rFonts w:ascii="Times New Roman" w:hAnsi="Times New Roman"/>
                <w:snapToGrid w:val="0"/>
                <w:color w:val="auto"/>
                <w:kern w:val="0"/>
                <w:sz w:val="24"/>
                <w:highlight w:val="none"/>
                <w:vertAlign w:val="superscript"/>
              </w:rPr>
              <w:t>3</w:t>
            </w:r>
            <w:r>
              <w:rPr>
                <w:rFonts w:ascii="Times New Roman" w:hAnsi="Times New Roman"/>
                <w:snapToGrid w:val="0"/>
                <w:color w:val="auto"/>
                <w:kern w:val="0"/>
                <w:sz w:val="24"/>
                <w:highlight w:val="none"/>
              </w:rPr>
              <w:t>，NO</w:t>
            </w:r>
            <w:r>
              <w:rPr>
                <w:rFonts w:ascii="Times New Roman" w:hAnsi="Times New Roman"/>
                <w:snapToGrid w:val="0"/>
                <w:color w:val="auto"/>
                <w:kern w:val="0"/>
                <w:sz w:val="24"/>
                <w:highlight w:val="none"/>
                <w:vertAlign w:val="subscript"/>
              </w:rPr>
              <w:t>2</w:t>
            </w:r>
            <w:r>
              <w:rPr>
                <w:rFonts w:ascii="Times New Roman" w:hAnsi="Times New Roman"/>
                <w:snapToGrid w:val="0"/>
                <w:color w:val="auto"/>
                <w:kern w:val="0"/>
                <w:sz w:val="24"/>
                <w:highlight w:val="none"/>
              </w:rPr>
              <w:t>年均浓度为16μg/m</w:t>
            </w:r>
            <w:r>
              <w:rPr>
                <w:rFonts w:ascii="Times New Roman" w:hAnsi="Times New Roman"/>
                <w:snapToGrid w:val="0"/>
                <w:color w:val="auto"/>
                <w:kern w:val="0"/>
                <w:sz w:val="24"/>
                <w:highlight w:val="none"/>
                <w:vertAlign w:val="superscript"/>
              </w:rPr>
              <w:t>3</w:t>
            </w:r>
            <w:r>
              <w:rPr>
                <w:rFonts w:ascii="Times New Roman" w:hAnsi="Times New Roman"/>
                <w:snapToGrid w:val="0"/>
                <w:color w:val="auto"/>
                <w:kern w:val="0"/>
                <w:sz w:val="24"/>
                <w:highlight w:val="none"/>
              </w:rPr>
              <w:t>，PM</w:t>
            </w:r>
            <w:r>
              <w:rPr>
                <w:rFonts w:ascii="Times New Roman" w:hAnsi="Times New Roman"/>
                <w:snapToGrid w:val="0"/>
                <w:color w:val="auto"/>
                <w:kern w:val="0"/>
                <w:sz w:val="24"/>
                <w:highlight w:val="none"/>
                <w:vertAlign w:val="subscript"/>
              </w:rPr>
              <w:t>2.5</w:t>
            </w:r>
            <w:r>
              <w:rPr>
                <w:rFonts w:ascii="Times New Roman" w:hAnsi="Times New Roman"/>
                <w:snapToGrid w:val="0"/>
                <w:color w:val="auto"/>
                <w:kern w:val="0"/>
                <w:sz w:val="24"/>
                <w:highlight w:val="none"/>
              </w:rPr>
              <w:t>年均浓度为36μg/m</w:t>
            </w:r>
            <w:r>
              <w:rPr>
                <w:rFonts w:ascii="Times New Roman" w:hAnsi="Times New Roman"/>
                <w:snapToGrid w:val="0"/>
                <w:color w:val="auto"/>
                <w:kern w:val="0"/>
                <w:sz w:val="24"/>
                <w:highlight w:val="none"/>
                <w:vertAlign w:val="superscript"/>
              </w:rPr>
              <w:t>3</w:t>
            </w:r>
            <w:r>
              <w:rPr>
                <w:rFonts w:ascii="Times New Roman" w:hAnsi="Times New Roman"/>
                <w:snapToGrid w:val="0"/>
                <w:color w:val="auto"/>
                <w:kern w:val="0"/>
                <w:sz w:val="24"/>
                <w:highlight w:val="none"/>
              </w:rPr>
              <w:t>，CO24小时平均第95百分位数浓度为1.2mg/m</w:t>
            </w:r>
            <w:r>
              <w:rPr>
                <w:rFonts w:ascii="Times New Roman" w:hAnsi="Times New Roman"/>
                <w:snapToGrid w:val="0"/>
                <w:color w:val="auto"/>
                <w:kern w:val="0"/>
                <w:sz w:val="24"/>
                <w:highlight w:val="none"/>
                <w:vertAlign w:val="superscript"/>
              </w:rPr>
              <w:t>3</w:t>
            </w:r>
            <w:r>
              <w:rPr>
                <w:rFonts w:ascii="Times New Roman" w:hAnsi="Times New Roman"/>
                <w:snapToGrid w:val="0"/>
                <w:color w:val="auto"/>
                <w:kern w:val="0"/>
                <w:sz w:val="24"/>
                <w:highlight w:val="none"/>
              </w:rPr>
              <w:t>，O</w:t>
            </w:r>
            <w:r>
              <w:rPr>
                <w:rFonts w:ascii="Times New Roman" w:hAnsi="Times New Roman"/>
                <w:snapToGrid w:val="0"/>
                <w:color w:val="auto"/>
                <w:kern w:val="0"/>
                <w:sz w:val="24"/>
                <w:highlight w:val="none"/>
                <w:vertAlign w:val="subscript"/>
              </w:rPr>
              <w:t>3</w:t>
            </w:r>
            <w:r>
              <w:rPr>
                <w:rFonts w:ascii="Times New Roman" w:hAnsi="Times New Roman"/>
                <w:snapToGrid w:val="0"/>
                <w:color w:val="auto"/>
                <w:kern w:val="0"/>
                <w:sz w:val="24"/>
                <w:highlight w:val="none"/>
              </w:rPr>
              <w:t>日最大8小时平均第90百分位数浓度为113μg/m</w:t>
            </w:r>
            <w:r>
              <w:rPr>
                <w:rFonts w:ascii="Times New Roman" w:hAnsi="Times New Roman"/>
                <w:snapToGrid w:val="0"/>
                <w:color w:val="auto"/>
                <w:kern w:val="0"/>
                <w:sz w:val="24"/>
                <w:highlight w:val="none"/>
                <w:vertAlign w:val="superscript"/>
              </w:rPr>
              <w:t>3</w:t>
            </w:r>
            <w:r>
              <w:rPr>
                <w:rFonts w:ascii="Times New Roman" w:hAnsi="Times New Roman"/>
                <w:snapToGrid w:val="0"/>
                <w:color w:val="auto"/>
                <w:kern w:val="0"/>
                <w:sz w:val="24"/>
                <w:highlight w:val="none"/>
              </w:rPr>
              <w:t>。有效监测天数为363天，达标天数为316天，达标率为87.1%，与去年同期持平。重度及以上污染天数为9天，与上年（3天）相比增加了6天，重度及以上污染天数比例为2.5%，同比升高1.6个百分点。环境空气质量为不达标区。</w:t>
            </w:r>
            <w:r>
              <w:rPr>
                <w:rFonts w:hint="eastAsia" w:ascii="Times New Roman" w:hAnsi="Times New Roman"/>
                <w:color w:val="auto"/>
                <w:sz w:val="24"/>
                <w:highlight w:val="none"/>
                <w:lang w:val="en-US" w:eastAsia="zh-CN"/>
              </w:rPr>
              <w:t>详</w:t>
            </w:r>
            <w:r>
              <w:rPr>
                <w:rFonts w:ascii="Times New Roman" w:hAnsi="Times New Roman"/>
                <w:color w:val="auto"/>
                <w:sz w:val="24"/>
                <w:highlight w:val="none"/>
              </w:rPr>
              <w:t>见表3-1。</w:t>
            </w:r>
          </w:p>
          <w:p>
            <w:pPr>
              <w:pStyle w:val="3"/>
              <w:keepNext/>
              <w:keepLines/>
              <w:pageBreakBefore w:val="0"/>
              <w:widowControl w:val="0"/>
              <w:shd w:val="clear"/>
              <w:tabs>
                <w:tab w:val="left" w:pos="1049"/>
              </w:tabs>
              <w:kinsoku/>
              <w:wordWrap/>
              <w:overflowPunct/>
              <w:topLinePunct w:val="0"/>
              <w:autoSpaceDE/>
              <w:autoSpaceDN/>
              <w:bidi w:val="0"/>
              <w:adjustRightInd/>
              <w:snapToGrid/>
              <w:spacing w:line="240" w:lineRule="auto"/>
              <w:ind w:firstLine="422"/>
              <w:jc w:val="center"/>
              <w:textAlignment w:val="auto"/>
              <w:rPr>
                <w:rFonts w:eastAsia="宋体"/>
                <w:b/>
                <w:color w:val="auto"/>
                <w:sz w:val="24"/>
                <w:szCs w:val="24"/>
                <w:highlight w:val="none"/>
              </w:rPr>
            </w:pPr>
            <w:r>
              <w:rPr>
                <w:rFonts w:eastAsia="宋体"/>
                <w:b/>
                <w:color w:val="auto"/>
                <w:sz w:val="24"/>
                <w:szCs w:val="24"/>
                <w:highlight w:val="none"/>
              </w:rPr>
              <w:t xml:space="preserve">表3-1  </w:t>
            </w:r>
            <w:r>
              <w:rPr>
                <w:rFonts w:hint="eastAsia" w:eastAsia="宋体"/>
                <w:b/>
                <w:color w:val="auto"/>
                <w:sz w:val="24"/>
                <w:szCs w:val="24"/>
                <w:highlight w:val="none"/>
              </w:rPr>
              <w:t>项目所在区域环境空气质量达标情况</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059"/>
              <w:gridCol w:w="2795"/>
              <w:gridCol w:w="1364"/>
              <w:gridCol w:w="1125"/>
              <w:gridCol w:w="990"/>
              <w:gridCol w:w="10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629" w:type="pct"/>
                  <w:tcBorders>
                    <w:tl2br w:val="nil"/>
                    <w:tr2bl w:val="nil"/>
                  </w:tcBorders>
                  <w:noWrap w:val="0"/>
                  <w:vAlign w:val="center"/>
                </w:tcPr>
                <w:p>
                  <w:pPr>
                    <w:pStyle w:val="88"/>
                    <w:shd w:val="clear"/>
                    <w:rPr>
                      <w:color w:val="auto"/>
                      <w:sz w:val="21"/>
                      <w:highlight w:val="none"/>
                    </w:rPr>
                  </w:pPr>
                  <w:r>
                    <w:rPr>
                      <w:color w:val="auto"/>
                      <w:sz w:val="21"/>
                      <w:highlight w:val="none"/>
                    </w:rPr>
                    <w:t>污染物</w:t>
                  </w:r>
                </w:p>
              </w:tc>
              <w:tc>
                <w:tcPr>
                  <w:tcW w:w="1660" w:type="pct"/>
                  <w:tcBorders>
                    <w:tl2br w:val="nil"/>
                    <w:tr2bl w:val="nil"/>
                  </w:tcBorders>
                  <w:noWrap w:val="0"/>
                  <w:vAlign w:val="center"/>
                </w:tcPr>
                <w:p>
                  <w:pPr>
                    <w:pStyle w:val="88"/>
                    <w:shd w:val="clear"/>
                    <w:rPr>
                      <w:color w:val="auto"/>
                      <w:sz w:val="21"/>
                      <w:highlight w:val="none"/>
                    </w:rPr>
                  </w:pPr>
                  <w:r>
                    <w:rPr>
                      <w:color w:val="auto"/>
                      <w:sz w:val="21"/>
                      <w:highlight w:val="none"/>
                    </w:rPr>
                    <w:t>年评价指标</w:t>
                  </w:r>
                </w:p>
              </w:tc>
              <w:tc>
                <w:tcPr>
                  <w:tcW w:w="810" w:type="pct"/>
                  <w:tcBorders>
                    <w:tl2br w:val="nil"/>
                    <w:tr2bl w:val="nil"/>
                  </w:tcBorders>
                  <w:noWrap w:val="0"/>
                  <w:vAlign w:val="center"/>
                </w:tcPr>
                <w:p>
                  <w:pPr>
                    <w:pStyle w:val="88"/>
                    <w:shd w:val="clear"/>
                    <w:rPr>
                      <w:color w:val="auto"/>
                      <w:sz w:val="21"/>
                      <w:highlight w:val="none"/>
                    </w:rPr>
                  </w:pPr>
                  <w:r>
                    <w:rPr>
                      <w:color w:val="auto"/>
                      <w:sz w:val="21"/>
                      <w:highlight w:val="none"/>
                    </w:rPr>
                    <w:t>现状浓度</w:t>
                  </w:r>
                </w:p>
                <w:p>
                  <w:pPr>
                    <w:pStyle w:val="88"/>
                    <w:shd w:val="clear"/>
                    <w:rPr>
                      <w:color w:val="auto"/>
                      <w:sz w:val="21"/>
                      <w:highlight w:val="none"/>
                    </w:rPr>
                  </w:pPr>
                  <w:r>
                    <w:rPr>
                      <w:color w:val="auto"/>
                      <w:sz w:val="21"/>
                      <w:highlight w:val="none"/>
                    </w:rPr>
                    <w:t>（μg/m</w:t>
                  </w:r>
                  <w:r>
                    <w:rPr>
                      <w:color w:val="auto"/>
                      <w:sz w:val="21"/>
                      <w:highlight w:val="none"/>
                      <w:vertAlign w:val="superscript"/>
                    </w:rPr>
                    <w:t>3</w:t>
                  </w:r>
                  <w:r>
                    <w:rPr>
                      <w:color w:val="auto"/>
                      <w:sz w:val="21"/>
                      <w:highlight w:val="none"/>
                    </w:rPr>
                    <w:t>）</w:t>
                  </w:r>
                </w:p>
              </w:tc>
              <w:tc>
                <w:tcPr>
                  <w:tcW w:w="668" w:type="pct"/>
                  <w:tcBorders>
                    <w:tl2br w:val="nil"/>
                    <w:tr2bl w:val="nil"/>
                  </w:tcBorders>
                  <w:noWrap w:val="0"/>
                  <w:vAlign w:val="center"/>
                </w:tcPr>
                <w:p>
                  <w:pPr>
                    <w:pStyle w:val="88"/>
                    <w:shd w:val="clear"/>
                    <w:rPr>
                      <w:color w:val="auto"/>
                      <w:sz w:val="21"/>
                      <w:highlight w:val="none"/>
                    </w:rPr>
                  </w:pPr>
                  <w:r>
                    <w:rPr>
                      <w:color w:val="auto"/>
                      <w:sz w:val="21"/>
                      <w:highlight w:val="none"/>
                    </w:rPr>
                    <w:t>标准值</w:t>
                  </w:r>
                </w:p>
                <w:p>
                  <w:pPr>
                    <w:pStyle w:val="88"/>
                    <w:shd w:val="clear"/>
                    <w:rPr>
                      <w:color w:val="auto"/>
                      <w:sz w:val="21"/>
                      <w:highlight w:val="none"/>
                    </w:rPr>
                  </w:pPr>
                  <w:r>
                    <w:rPr>
                      <w:color w:val="auto"/>
                      <w:sz w:val="21"/>
                      <w:highlight w:val="none"/>
                    </w:rPr>
                    <w:t>（μg/m</w:t>
                  </w:r>
                  <w:r>
                    <w:rPr>
                      <w:color w:val="auto"/>
                      <w:sz w:val="21"/>
                      <w:highlight w:val="none"/>
                      <w:vertAlign w:val="superscript"/>
                    </w:rPr>
                    <w:t>3</w:t>
                  </w:r>
                  <w:r>
                    <w:rPr>
                      <w:color w:val="auto"/>
                      <w:sz w:val="21"/>
                      <w:highlight w:val="none"/>
                    </w:rPr>
                    <w:t>）</w:t>
                  </w:r>
                </w:p>
              </w:tc>
              <w:tc>
                <w:tcPr>
                  <w:tcW w:w="588" w:type="pct"/>
                  <w:tcBorders>
                    <w:tl2br w:val="nil"/>
                    <w:tr2bl w:val="nil"/>
                  </w:tcBorders>
                  <w:noWrap w:val="0"/>
                  <w:vAlign w:val="center"/>
                </w:tcPr>
                <w:p>
                  <w:pPr>
                    <w:pStyle w:val="88"/>
                    <w:shd w:val="clear"/>
                    <w:rPr>
                      <w:color w:val="auto"/>
                      <w:sz w:val="21"/>
                      <w:highlight w:val="none"/>
                    </w:rPr>
                  </w:pPr>
                  <w:r>
                    <w:rPr>
                      <w:color w:val="auto"/>
                      <w:sz w:val="21"/>
                      <w:highlight w:val="none"/>
                    </w:rPr>
                    <w:t>占标率</w:t>
                  </w:r>
                </w:p>
                <w:p>
                  <w:pPr>
                    <w:pStyle w:val="88"/>
                    <w:shd w:val="clear"/>
                    <w:rPr>
                      <w:color w:val="auto"/>
                      <w:sz w:val="21"/>
                      <w:highlight w:val="none"/>
                    </w:rPr>
                  </w:pPr>
                  <w:r>
                    <w:rPr>
                      <w:color w:val="auto"/>
                      <w:sz w:val="21"/>
                      <w:highlight w:val="none"/>
                    </w:rPr>
                    <w:t>（%）</w:t>
                  </w:r>
                </w:p>
              </w:tc>
              <w:tc>
                <w:tcPr>
                  <w:tcW w:w="643" w:type="pct"/>
                  <w:tcBorders>
                    <w:tl2br w:val="nil"/>
                    <w:tr2bl w:val="nil"/>
                  </w:tcBorders>
                  <w:noWrap w:val="0"/>
                  <w:vAlign w:val="center"/>
                </w:tcPr>
                <w:p>
                  <w:pPr>
                    <w:pStyle w:val="88"/>
                    <w:shd w:val="clear"/>
                    <w:rPr>
                      <w:color w:val="auto"/>
                      <w:sz w:val="21"/>
                      <w:highlight w:val="none"/>
                    </w:rPr>
                  </w:pPr>
                  <w:r>
                    <w:rPr>
                      <w:color w:val="auto"/>
                      <w:sz w:val="21"/>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629" w:type="pct"/>
                  <w:tcBorders>
                    <w:tl2br w:val="nil"/>
                    <w:tr2bl w:val="nil"/>
                  </w:tcBorders>
                  <w:noWrap w:val="0"/>
                  <w:vAlign w:val="center"/>
                </w:tcPr>
                <w:p>
                  <w:pPr>
                    <w:pStyle w:val="88"/>
                    <w:shd w:val="clear"/>
                    <w:rPr>
                      <w:color w:val="auto"/>
                      <w:sz w:val="21"/>
                      <w:highlight w:val="none"/>
                    </w:rPr>
                  </w:pPr>
                  <w:r>
                    <w:rPr>
                      <w:color w:val="auto"/>
                      <w:sz w:val="21"/>
                      <w:highlight w:val="none"/>
                    </w:rPr>
                    <w:t>PM</w:t>
                  </w:r>
                  <w:r>
                    <w:rPr>
                      <w:color w:val="auto"/>
                      <w:sz w:val="21"/>
                      <w:highlight w:val="none"/>
                      <w:vertAlign w:val="subscript"/>
                    </w:rPr>
                    <w:t>2.5</w:t>
                  </w:r>
                </w:p>
              </w:tc>
              <w:tc>
                <w:tcPr>
                  <w:tcW w:w="1660" w:type="pct"/>
                  <w:tcBorders>
                    <w:tl2br w:val="nil"/>
                    <w:tr2bl w:val="nil"/>
                  </w:tcBorders>
                  <w:noWrap w:val="0"/>
                  <w:vAlign w:val="center"/>
                </w:tcPr>
                <w:p>
                  <w:pPr>
                    <w:pStyle w:val="88"/>
                    <w:shd w:val="clear"/>
                    <w:rPr>
                      <w:color w:val="auto"/>
                      <w:sz w:val="21"/>
                      <w:highlight w:val="none"/>
                    </w:rPr>
                  </w:pPr>
                  <w:r>
                    <w:rPr>
                      <w:color w:val="auto"/>
                      <w:sz w:val="21"/>
                      <w:highlight w:val="none"/>
                    </w:rPr>
                    <w:t>年平均</w:t>
                  </w:r>
                </w:p>
              </w:tc>
              <w:tc>
                <w:tcPr>
                  <w:tcW w:w="810" w:type="pct"/>
                  <w:tcBorders>
                    <w:tl2br w:val="nil"/>
                    <w:tr2bl w:val="nil"/>
                  </w:tcBorders>
                  <w:noWrap w:val="0"/>
                  <w:vAlign w:val="center"/>
                </w:tcPr>
                <w:p>
                  <w:pPr>
                    <w:pStyle w:val="88"/>
                    <w:shd w:val="clear"/>
                    <w:rPr>
                      <w:color w:val="auto"/>
                      <w:sz w:val="21"/>
                      <w:highlight w:val="none"/>
                    </w:rPr>
                  </w:pPr>
                  <w:r>
                    <w:rPr>
                      <w:color w:val="auto"/>
                      <w:sz w:val="21"/>
                      <w:highlight w:val="none"/>
                    </w:rPr>
                    <w:t>36</w:t>
                  </w:r>
                </w:p>
              </w:tc>
              <w:tc>
                <w:tcPr>
                  <w:tcW w:w="668" w:type="pct"/>
                  <w:tcBorders>
                    <w:tl2br w:val="nil"/>
                    <w:tr2bl w:val="nil"/>
                  </w:tcBorders>
                  <w:noWrap w:val="0"/>
                  <w:vAlign w:val="center"/>
                </w:tcPr>
                <w:p>
                  <w:pPr>
                    <w:pStyle w:val="88"/>
                    <w:shd w:val="clear"/>
                    <w:rPr>
                      <w:color w:val="auto"/>
                      <w:sz w:val="21"/>
                      <w:highlight w:val="none"/>
                    </w:rPr>
                  </w:pPr>
                  <w:r>
                    <w:rPr>
                      <w:color w:val="auto"/>
                      <w:sz w:val="21"/>
                      <w:highlight w:val="none"/>
                    </w:rPr>
                    <w:t>35</w:t>
                  </w:r>
                </w:p>
              </w:tc>
              <w:tc>
                <w:tcPr>
                  <w:tcW w:w="588" w:type="pct"/>
                  <w:tcBorders>
                    <w:tl2br w:val="nil"/>
                    <w:tr2bl w:val="nil"/>
                  </w:tcBorders>
                  <w:noWrap w:val="0"/>
                  <w:vAlign w:val="center"/>
                </w:tcPr>
                <w:p>
                  <w:pPr>
                    <w:widowControl/>
                    <w:shd w:val="clear"/>
                    <w:spacing w:line="240" w:lineRule="auto"/>
                    <w:ind w:firstLine="0" w:firstLineChars="0"/>
                    <w:jc w:val="center"/>
                    <w:textAlignment w:val="center"/>
                    <w:rPr>
                      <w:bCs/>
                      <w:color w:val="auto"/>
                      <w:sz w:val="21"/>
                      <w:szCs w:val="21"/>
                      <w:highlight w:val="none"/>
                    </w:rPr>
                  </w:pPr>
                  <w:r>
                    <w:rPr>
                      <w:bCs/>
                      <w:color w:val="auto"/>
                      <w:kern w:val="0"/>
                      <w:sz w:val="21"/>
                      <w:szCs w:val="21"/>
                      <w:highlight w:val="none"/>
                      <w:lang w:bidi="ar"/>
                    </w:rPr>
                    <w:t>102.9%</w:t>
                  </w:r>
                </w:p>
              </w:tc>
              <w:tc>
                <w:tcPr>
                  <w:tcW w:w="643" w:type="pct"/>
                  <w:tcBorders>
                    <w:tl2br w:val="nil"/>
                    <w:tr2bl w:val="nil"/>
                  </w:tcBorders>
                  <w:noWrap w:val="0"/>
                  <w:vAlign w:val="center"/>
                </w:tcPr>
                <w:p>
                  <w:pPr>
                    <w:pStyle w:val="88"/>
                    <w:shd w:val="clear"/>
                    <w:rPr>
                      <w:color w:val="auto"/>
                      <w:sz w:val="21"/>
                      <w:highlight w:val="none"/>
                    </w:rPr>
                  </w:pPr>
                  <w:r>
                    <w:rPr>
                      <w:color w:val="auto"/>
                      <w:sz w:val="21"/>
                      <w:highlight w:val="none"/>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629" w:type="pct"/>
                  <w:tcBorders>
                    <w:tl2br w:val="nil"/>
                    <w:tr2bl w:val="nil"/>
                  </w:tcBorders>
                  <w:noWrap w:val="0"/>
                  <w:vAlign w:val="center"/>
                </w:tcPr>
                <w:p>
                  <w:pPr>
                    <w:pStyle w:val="88"/>
                    <w:shd w:val="clear"/>
                    <w:rPr>
                      <w:color w:val="auto"/>
                      <w:sz w:val="21"/>
                      <w:highlight w:val="none"/>
                    </w:rPr>
                  </w:pPr>
                  <w:r>
                    <w:rPr>
                      <w:color w:val="auto"/>
                      <w:sz w:val="21"/>
                      <w:highlight w:val="none"/>
                    </w:rPr>
                    <w:t>PM</w:t>
                  </w:r>
                  <w:r>
                    <w:rPr>
                      <w:color w:val="auto"/>
                      <w:sz w:val="21"/>
                      <w:highlight w:val="none"/>
                      <w:vertAlign w:val="subscript"/>
                    </w:rPr>
                    <w:t>10</w:t>
                  </w:r>
                </w:p>
              </w:tc>
              <w:tc>
                <w:tcPr>
                  <w:tcW w:w="1660" w:type="pct"/>
                  <w:tcBorders>
                    <w:tl2br w:val="nil"/>
                    <w:tr2bl w:val="nil"/>
                  </w:tcBorders>
                  <w:noWrap w:val="0"/>
                  <w:vAlign w:val="center"/>
                </w:tcPr>
                <w:p>
                  <w:pPr>
                    <w:pStyle w:val="88"/>
                    <w:shd w:val="clear"/>
                    <w:rPr>
                      <w:color w:val="auto"/>
                      <w:sz w:val="21"/>
                      <w:highlight w:val="none"/>
                    </w:rPr>
                  </w:pPr>
                  <w:r>
                    <w:rPr>
                      <w:color w:val="auto"/>
                      <w:sz w:val="21"/>
                      <w:highlight w:val="none"/>
                    </w:rPr>
                    <w:t>年平均</w:t>
                  </w:r>
                </w:p>
              </w:tc>
              <w:tc>
                <w:tcPr>
                  <w:tcW w:w="810" w:type="pct"/>
                  <w:tcBorders>
                    <w:tl2br w:val="nil"/>
                    <w:tr2bl w:val="nil"/>
                  </w:tcBorders>
                  <w:noWrap w:val="0"/>
                  <w:vAlign w:val="center"/>
                </w:tcPr>
                <w:p>
                  <w:pPr>
                    <w:pStyle w:val="88"/>
                    <w:shd w:val="clear"/>
                    <w:rPr>
                      <w:color w:val="auto"/>
                      <w:sz w:val="21"/>
                      <w:highlight w:val="none"/>
                    </w:rPr>
                  </w:pPr>
                  <w:r>
                    <w:rPr>
                      <w:color w:val="auto"/>
                      <w:sz w:val="21"/>
                      <w:highlight w:val="none"/>
                    </w:rPr>
                    <w:t>49</w:t>
                  </w:r>
                </w:p>
              </w:tc>
              <w:tc>
                <w:tcPr>
                  <w:tcW w:w="668" w:type="pct"/>
                  <w:tcBorders>
                    <w:tl2br w:val="nil"/>
                    <w:tr2bl w:val="nil"/>
                  </w:tcBorders>
                  <w:noWrap w:val="0"/>
                  <w:vAlign w:val="center"/>
                </w:tcPr>
                <w:p>
                  <w:pPr>
                    <w:pStyle w:val="88"/>
                    <w:shd w:val="clear"/>
                    <w:rPr>
                      <w:color w:val="auto"/>
                      <w:sz w:val="21"/>
                      <w:highlight w:val="none"/>
                    </w:rPr>
                  </w:pPr>
                  <w:r>
                    <w:rPr>
                      <w:color w:val="auto"/>
                      <w:sz w:val="21"/>
                      <w:highlight w:val="none"/>
                    </w:rPr>
                    <w:t>70</w:t>
                  </w:r>
                </w:p>
              </w:tc>
              <w:tc>
                <w:tcPr>
                  <w:tcW w:w="588" w:type="pct"/>
                  <w:tcBorders>
                    <w:tl2br w:val="nil"/>
                    <w:tr2bl w:val="nil"/>
                  </w:tcBorders>
                  <w:noWrap w:val="0"/>
                  <w:vAlign w:val="center"/>
                </w:tcPr>
                <w:p>
                  <w:pPr>
                    <w:widowControl/>
                    <w:shd w:val="clear"/>
                    <w:spacing w:line="240" w:lineRule="auto"/>
                    <w:ind w:firstLine="0" w:firstLineChars="0"/>
                    <w:jc w:val="center"/>
                    <w:textAlignment w:val="center"/>
                    <w:rPr>
                      <w:color w:val="auto"/>
                      <w:sz w:val="21"/>
                      <w:szCs w:val="21"/>
                      <w:highlight w:val="none"/>
                    </w:rPr>
                  </w:pPr>
                  <w:r>
                    <w:rPr>
                      <w:color w:val="auto"/>
                      <w:kern w:val="0"/>
                      <w:sz w:val="21"/>
                      <w:szCs w:val="21"/>
                      <w:highlight w:val="none"/>
                      <w:lang w:bidi="ar"/>
                    </w:rPr>
                    <w:t>70%</w:t>
                  </w:r>
                </w:p>
              </w:tc>
              <w:tc>
                <w:tcPr>
                  <w:tcW w:w="643" w:type="pct"/>
                  <w:tcBorders>
                    <w:tl2br w:val="nil"/>
                    <w:tr2bl w:val="nil"/>
                  </w:tcBorders>
                  <w:noWrap w:val="0"/>
                  <w:vAlign w:val="center"/>
                </w:tcPr>
                <w:p>
                  <w:pPr>
                    <w:pStyle w:val="88"/>
                    <w:shd w:val="clear"/>
                    <w:rPr>
                      <w:color w:val="auto"/>
                      <w:sz w:val="21"/>
                      <w:highlight w:val="none"/>
                    </w:rPr>
                  </w:pPr>
                  <w:r>
                    <w:rPr>
                      <w:color w:val="auto"/>
                      <w:sz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629" w:type="pct"/>
                  <w:tcBorders>
                    <w:tl2br w:val="nil"/>
                    <w:tr2bl w:val="nil"/>
                  </w:tcBorders>
                  <w:noWrap w:val="0"/>
                  <w:vAlign w:val="center"/>
                </w:tcPr>
                <w:p>
                  <w:pPr>
                    <w:pStyle w:val="88"/>
                    <w:shd w:val="clear"/>
                    <w:rPr>
                      <w:color w:val="auto"/>
                      <w:sz w:val="21"/>
                      <w:highlight w:val="none"/>
                    </w:rPr>
                  </w:pPr>
                  <w:r>
                    <w:rPr>
                      <w:color w:val="auto"/>
                      <w:sz w:val="21"/>
                      <w:highlight w:val="none"/>
                    </w:rPr>
                    <w:t>NO</w:t>
                  </w:r>
                  <w:r>
                    <w:rPr>
                      <w:color w:val="auto"/>
                      <w:sz w:val="21"/>
                      <w:highlight w:val="none"/>
                      <w:vertAlign w:val="subscript"/>
                    </w:rPr>
                    <w:t>2</w:t>
                  </w:r>
                </w:p>
              </w:tc>
              <w:tc>
                <w:tcPr>
                  <w:tcW w:w="1660" w:type="pct"/>
                  <w:tcBorders>
                    <w:tl2br w:val="nil"/>
                    <w:tr2bl w:val="nil"/>
                  </w:tcBorders>
                  <w:noWrap w:val="0"/>
                  <w:vAlign w:val="center"/>
                </w:tcPr>
                <w:p>
                  <w:pPr>
                    <w:pStyle w:val="88"/>
                    <w:shd w:val="clear"/>
                    <w:rPr>
                      <w:color w:val="auto"/>
                      <w:sz w:val="21"/>
                      <w:highlight w:val="none"/>
                    </w:rPr>
                  </w:pPr>
                  <w:r>
                    <w:rPr>
                      <w:color w:val="auto"/>
                      <w:sz w:val="21"/>
                      <w:highlight w:val="none"/>
                    </w:rPr>
                    <w:t>年平均</w:t>
                  </w:r>
                </w:p>
              </w:tc>
              <w:tc>
                <w:tcPr>
                  <w:tcW w:w="810" w:type="pct"/>
                  <w:tcBorders>
                    <w:tl2br w:val="nil"/>
                    <w:tr2bl w:val="nil"/>
                  </w:tcBorders>
                  <w:noWrap w:val="0"/>
                  <w:vAlign w:val="center"/>
                </w:tcPr>
                <w:p>
                  <w:pPr>
                    <w:pStyle w:val="88"/>
                    <w:shd w:val="clear"/>
                    <w:rPr>
                      <w:color w:val="auto"/>
                      <w:sz w:val="21"/>
                      <w:highlight w:val="none"/>
                    </w:rPr>
                  </w:pPr>
                  <w:r>
                    <w:rPr>
                      <w:color w:val="auto"/>
                      <w:sz w:val="21"/>
                      <w:highlight w:val="none"/>
                    </w:rPr>
                    <w:t>16</w:t>
                  </w:r>
                </w:p>
              </w:tc>
              <w:tc>
                <w:tcPr>
                  <w:tcW w:w="668" w:type="pct"/>
                  <w:tcBorders>
                    <w:tl2br w:val="nil"/>
                    <w:tr2bl w:val="nil"/>
                  </w:tcBorders>
                  <w:noWrap w:val="0"/>
                  <w:vAlign w:val="center"/>
                </w:tcPr>
                <w:p>
                  <w:pPr>
                    <w:pStyle w:val="88"/>
                    <w:shd w:val="clear"/>
                    <w:rPr>
                      <w:color w:val="auto"/>
                      <w:sz w:val="21"/>
                      <w:highlight w:val="none"/>
                    </w:rPr>
                  </w:pPr>
                  <w:r>
                    <w:rPr>
                      <w:color w:val="auto"/>
                      <w:sz w:val="21"/>
                      <w:highlight w:val="none"/>
                    </w:rPr>
                    <w:t>40</w:t>
                  </w:r>
                </w:p>
              </w:tc>
              <w:tc>
                <w:tcPr>
                  <w:tcW w:w="588" w:type="pct"/>
                  <w:tcBorders>
                    <w:tl2br w:val="nil"/>
                    <w:tr2bl w:val="nil"/>
                  </w:tcBorders>
                  <w:noWrap w:val="0"/>
                  <w:vAlign w:val="center"/>
                </w:tcPr>
                <w:p>
                  <w:pPr>
                    <w:widowControl/>
                    <w:shd w:val="clear"/>
                    <w:spacing w:line="240" w:lineRule="auto"/>
                    <w:ind w:firstLine="0" w:firstLineChars="0"/>
                    <w:jc w:val="center"/>
                    <w:textAlignment w:val="center"/>
                    <w:rPr>
                      <w:color w:val="auto"/>
                      <w:sz w:val="21"/>
                      <w:szCs w:val="21"/>
                      <w:highlight w:val="none"/>
                    </w:rPr>
                  </w:pPr>
                  <w:r>
                    <w:rPr>
                      <w:color w:val="auto"/>
                      <w:kern w:val="0"/>
                      <w:sz w:val="21"/>
                      <w:szCs w:val="21"/>
                      <w:highlight w:val="none"/>
                      <w:lang w:bidi="ar"/>
                    </w:rPr>
                    <w:t>40%</w:t>
                  </w:r>
                </w:p>
              </w:tc>
              <w:tc>
                <w:tcPr>
                  <w:tcW w:w="643" w:type="pct"/>
                  <w:tcBorders>
                    <w:tl2br w:val="nil"/>
                    <w:tr2bl w:val="nil"/>
                  </w:tcBorders>
                  <w:noWrap w:val="0"/>
                  <w:vAlign w:val="center"/>
                </w:tcPr>
                <w:p>
                  <w:pPr>
                    <w:pStyle w:val="88"/>
                    <w:shd w:val="clear"/>
                    <w:rPr>
                      <w:color w:val="auto"/>
                      <w:sz w:val="21"/>
                      <w:highlight w:val="none"/>
                    </w:rPr>
                  </w:pPr>
                  <w:r>
                    <w:rPr>
                      <w:color w:val="auto"/>
                      <w:sz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629" w:type="pct"/>
                  <w:tcBorders>
                    <w:tl2br w:val="nil"/>
                    <w:tr2bl w:val="nil"/>
                  </w:tcBorders>
                  <w:noWrap w:val="0"/>
                  <w:vAlign w:val="center"/>
                </w:tcPr>
                <w:p>
                  <w:pPr>
                    <w:pStyle w:val="88"/>
                    <w:shd w:val="clear"/>
                    <w:rPr>
                      <w:color w:val="auto"/>
                      <w:sz w:val="21"/>
                      <w:highlight w:val="none"/>
                    </w:rPr>
                  </w:pPr>
                  <w:r>
                    <w:rPr>
                      <w:color w:val="auto"/>
                      <w:sz w:val="21"/>
                      <w:highlight w:val="none"/>
                    </w:rPr>
                    <w:t>SO</w:t>
                  </w:r>
                  <w:r>
                    <w:rPr>
                      <w:color w:val="auto"/>
                      <w:sz w:val="21"/>
                      <w:highlight w:val="none"/>
                      <w:vertAlign w:val="subscript"/>
                    </w:rPr>
                    <w:t>2</w:t>
                  </w:r>
                </w:p>
              </w:tc>
              <w:tc>
                <w:tcPr>
                  <w:tcW w:w="1660" w:type="pct"/>
                  <w:tcBorders>
                    <w:tl2br w:val="nil"/>
                    <w:tr2bl w:val="nil"/>
                  </w:tcBorders>
                  <w:noWrap w:val="0"/>
                  <w:vAlign w:val="center"/>
                </w:tcPr>
                <w:p>
                  <w:pPr>
                    <w:pStyle w:val="88"/>
                    <w:shd w:val="clear"/>
                    <w:rPr>
                      <w:color w:val="auto"/>
                      <w:sz w:val="21"/>
                      <w:highlight w:val="none"/>
                    </w:rPr>
                  </w:pPr>
                  <w:r>
                    <w:rPr>
                      <w:color w:val="auto"/>
                      <w:sz w:val="21"/>
                      <w:highlight w:val="none"/>
                    </w:rPr>
                    <w:t>年平均</w:t>
                  </w:r>
                </w:p>
              </w:tc>
              <w:tc>
                <w:tcPr>
                  <w:tcW w:w="810" w:type="pct"/>
                  <w:tcBorders>
                    <w:tl2br w:val="nil"/>
                    <w:tr2bl w:val="nil"/>
                  </w:tcBorders>
                  <w:noWrap w:val="0"/>
                  <w:vAlign w:val="center"/>
                </w:tcPr>
                <w:p>
                  <w:pPr>
                    <w:pStyle w:val="88"/>
                    <w:shd w:val="clear"/>
                    <w:rPr>
                      <w:color w:val="auto"/>
                      <w:sz w:val="21"/>
                      <w:highlight w:val="none"/>
                    </w:rPr>
                  </w:pPr>
                  <w:r>
                    <w:rPr>
                      <w:color w:val="auto"/>
                      <w:sz w:val="21"/>
                      <w:highlight w:val="none"/>
                    </w:rPr>
                    <w:t>7</w:t>
                  </w:r>
                </w:p>
              </w:tc>
              <w:tc>
                <w:tcPr>
                  <w:tcW w:w="668" w:type="pct"/>
                  <w:tcBorders>
                    <w:tl2br w:val="nil"/>
                    <w:tr2bl w:val="nil"/>
                  </w:tcBorders>
                  <w:noWrap w:val="0"/>
                  <w:vAlign w:val="center"/>
                </w:tcPr>
                <w:p>
                  <w:pPr>
                    <w:pStyle w:val="88"/>
                    <w:shd w:val="clear"/>
                    <w:rPr>
                      <w:color w:val="auto"/>
                      <w:sz w:val="21"/>
                      <w:highlight w:val="none"/>
                    </w:rPr>
                  </w:pPr>
                  <w:r>
                    <w:rPr>
                      <w:color w:val="auto"/>
                      <w:sz w:val="21"/>
                      <w:highlight w:val="none"/>
                    </w:rPr>
                    <w:t>60</w:t>
                  </w:r>
                </w:p>
              </w:tc>
              <w:tc>
                <w:tcPr>
                  <w:tcW w:w="588" w:type="pct"/>
                  <w:tcBorders>
                    <w:tl2br w:val="nil"/>
                    <w:tr2bl w:val="nil"/>
                  </w:tcBorders>
                  <w:noWrap w:val="0"/>
                  <w:vAlign w:val="center"/>
                </w:tcPr>
                <w:p>
                  <w:pPr>
                    <w:widowControl/>
                    <w:shd w:val="clear"/>
                    <w:spacing w:line="240" w:lineRule="auto"/>
                    <w:ind w:firstLine="0" w:firstLineChars="0"/>
                    <w:jc w:val="center"/>
                    <w:textAlignment w:val="center"/>
                    <w:rPr>
                      <w:color w:val="auto"/>
                      <w:sz w:val="21"/>
                      <w:szCs w:val="21"/>
                      <w:highlight w:val="none"/>
                    </w:rPr>
                  </w:pPr>
                  <w:r>
                    <w:rPr>
                      <w:color w:val="auto"/>
                      <w:kern w:val="0"/>
                      <w:sz w:val="21"/>
                      <w:szCs w:val="21"/>
                      <w:highlight w:val="none"/>
                      <w:lang w:bidi="ar"/>
                    </w:rPr>
                    <w:t>11.7%</w:t>
                  </w:r>
                </w:p>
              </w:tc>
              <w:tc>
                <w:tcPr>
                  <w:tcW w:w="643" w:type="pct"/>
                  <w:tcBorders>
                    <w:tl2br w:val="nil"/>
                    <w:tr2bl w:val="nil"/>
                  </w:tcBorders>
                  <w:noWrap w:val="0"/>
                  <w:vAlign w:val="center"/>
                </w:tcPr>
                <w:p>
                  <w:pPr>
                    <w:pStyle w:val="88"/>
                    <w:shd w:val="clear"/>
                    <w:rPr>
                      <w:color w:val="auto"/>
                      <w:sz w:val="21"/>
                      <w:highlight w:val="none"/>
                    </w:rPr>
                  </w:pPr>
                  <w:r>
                    <w:rPr>
                      <w:color w:val="auto"/>
                      <w:sz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629" w:type="pct"/>
                  <w:tcBorders>
                    <w:tl2br w:val="nil"/>
                    <w:tr2bl w:val="nil"/>
                  </w:tcBorders>
                  <w:noWrap w:val="0"/>
                  <w:vAlign w:val="center"/>
                </w:tcPr>
                <w:p>
                  <w:pPr>
                    <w:pStyle w:val="88"/>
                    <w:shd w:val="clear"/>
                    <w:rPr>
                      <w:color w:val="auto"/>
                      <w:sz w:val="21"/>
                      <w:highlight w:val="none"/>
                    </w:rPr>
                  </w:pPr>
                  <w:r>
                    <w:rPr>
                      <w:color w:val="auto"/>
                      <w:sz w:val="21"/>
                      <w:highlight w:val="none"/>
                    </w:rPr>
                    <w:t>CO</w:t>
                  </w:r>
                </w:p>
              </w:tc>
              <w:tc>
                <w:tcPr>
                  <w:tcW w:w="1660" w:type="pct"/>
                  <w:tcBorders>
                    <w:tl2br w:val="nil"/>
                    <w:tr2bl w:val="nil"/>
                  </w:tcBorders>
                  <w:noWrap w:val="0"/>
                  <w:vAlign w:val="center"/>
                </w:tcPr>
                <w:p>
                  <w:pPr>
                    <w:pStyle w:val="88"/>
                    <w:shd w:val="clear"/>
                    <w:rPr>
                      <w:color w:val="auto"/>
                      <w:sz w:val="21"/>
                      <w:highlight w:val="none"/>
                    </w:rPr>
                  </w:pPr>
                  <w:r>
                    <w:rPr>
                      <w:color w:val="auto"/>
                      <w:sz w:val="21"/>
                      <w:highlight w:val="none"/>
                    </w:rPr>
                    <w:t>24小时平均第95百分位数</w:t>
                  </w:r>
                </w:p>
              </w:tc>
              <w:tc>
                <w:tcPr>
                  <w:tcW w:w="810" w:type="pct"/>
                  <w:tcBorders>
                    <w:tl2br w:val="nil"/>
                    <w:tr2bl w:val="nil"/>
                  </w:tcBorders>
                  <w:noWrap w:val="0"/>
                  <w:vAlign w:val="center"/>
                </w:tcPr>
                <w:p>
                  <w:pPr>
                    <w:pStyle w:val="88"/>
                    <w:shd w:val="clear"/>
                    <w:rPr>
                      <w:color w:val="auto"/>
                      <w:sz w:val="21"/>
                      <w:highlight w:val="none"/>
                    </w:rPr>
                  </w:pPr>
                  <w:r>
                    <w:rPr>
                      <w:color w:val="auto"/>
                      <w:sz w:val="21"/>
                      <w:highlight w:val="none"/>
                    </w:rPr>
                    <w:t>1200</w:t>
                  </w:r>
                </w:p>
              </w:tc>
              <w:tc>
                <w:tcPr>
                  <w:tcW w:w="668" w:type="pct"/>
                  <w:tcBorders>
                    <w:tl2br w:val="nil"/>
                    <w:tr2bl w:val="nil"/>
                  </w:tcBorders>
                  <w:noWrap w:val="0"/>
                  <w:vAlign w:val="center"/>
                </w:tcPr>
                <w:p>
                  <w:pPr>
                    <w:pStyle w:val="88"/>
                    <w:shd w:val="clear"/>
                    <w:rPr>
                      <w:color w:val="auto"/>
                      <w:sz w:val="21"/>
                      <w:highlight w:val="none"/>
                    </w:rPr>
                  </w:pPr>
                  <w:r>
                    <w:rPr>
                      <w:color w:val="auto"/>
                      <w:sz w:val="21"/>
                      <w:highlight w:val="none"/>
                    </w:rPr>
                    <w:t>4000</w:t>
                  </w:r>
                </w:p>
              </w:tc>
              <w:tc>
                <w:tcPr>
                  <w:tcW w:w="588" w:type="pct"/>
                  <w:tcBorders>
                    <w:tl2br w:val="nil"/>
                    <w:tr2bl w:val="nil"/>
                  </w:tcBorders>
                  <w:noWrap w:val="0"/>
                  <w:vAlign w:val="center"/>
                </w:tcPr>
                <w:p>
                  <w:pPr>
                    <w:widowControl/>
                    <w:shd w:val="clear"/>
                    <w:spacing w:line="240" w:lineRule="auto"/>
                    <w:ind w:firstLine="0" w:firstLineChars="0"/>
                    <w:jc w:val="center"/>
                    <w:textAlignment w:val="center"/>
                    <w:rPr>
                      <w:color w:val="auto"/>
                      <w:sz w:val="21"/>
                      <w:szCs w:val="21"/>
                      <w:highlight w:val="none"/>
                    </w:rPr>
                  </w:pPr>
                  <w:r>
                    <w:rPr>
                      <w:color w:val="auto"/>
                      <w:kern w:val="0"/>
                      <w:sz w:val="21"/>
                      <w:szCs w:val="21"/>
                      <w:highlight w:val="none"/>
                      <w:lang w:bidi="ar"/>
                    </w:rPr>
                    <w:t>30%</w:t>
                  </w:r>
                </w:p>
              </w:tc>
              <w:tc>
                <w:tcPr>
                  <w:tcW w:w="643" w:type="pct"/>
                  <w:tcBorders>
                    <w:tl2br w:val="nil"/>
                    <w:tr2bl w:val="nil"/>
                  </w:tcBorders>
                  <w:noWrap w:val="0"/>
                  <w:vAlign w:val="center"/>
                </w:tcPr>
                <w:p>
                  <w:pPr>
                    <w:pStyle w:val="88"/>
                    <w:shd w:val="clear"/>
                    <w:rPr>
                      <w:color w:val="auto"/>
                      <w:sz w:val="21"/>
                      <w:highlight w:val="none"/>
                    </w:rPr>
                  </w:pPr>
                  <w:r>
                    <w:rPr>
                      <w:color w:val="auto"/>
                      <w:sz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629" w:type="pct"/>
                  <w:tcBorders>
                    <w:tl2br w:val="nil"/>
                    <w:tr2bl w:val="nil"/>
                  </w:tcBorders>
                  <w:noWrap w:val="0"/>
                  <w:vAlign w:val="center"/>
                </w:tcPr>
                <w:p>
                  <w:pPr>
                    <w:pStyle w:val="88"/>
                    <w:shd w:val="clear"/>
                    <w:rPr>
                      <w:color w:val="auto"/>
                      <w:sz w:val="21"/>
                      <w:highlight w:val="none"/>
                    </w:rPr>
                  </w:pPr>
                  <w:r>
                    <w:rPr>
                      <w:color w:val="auto"/>
                      <w:sz w:val="21"/>
                      <w:highlight w:val="none"/>
                    </w:rPr>
                    <w:t>O</w:t>
                  </w:r>
                  <w:r>
                    <w:rPr>
                      <w:color w:val="auto"/>
                      <w:sz w:val="21"/>
                      <w:highlight w:val="none"/>
                      <w:vertAlign w:val="subscript"/>
                    </w:rPr>
                    <w:t>3</w:t>
                  </w:r>
                </w:p>
              </w:tc>
              <w:tc>
                <w:tcPr>
                  <w:tcW w:w="1660" w:type="pct"/>
                  <w:tcBorders>
                    <w:tl2br w:val="nil"/>
                    <w:tr2bl w:val="nil"/>
                  </w:tcBorders>
                  <w:noWrap w:val="0"/>
                  <w:vAlign w:val="center"/>
                </w:tcPr>
                <w:p>
                  <w:pPr>
                    <w:pStyle w:val="88"/>
                    <w:shd w:val="clear"/>
                    <w:rPr>
                      <w:color w:val="auto"/>
                      <w:sz w:val="21"/>
                      <w:highlight w:val="none"/>
                    </w:rPr>
                  </w:pPr>
                  <w:r>
                    <w:rPr>
                      <w:color w:val="auto"/>
                      <w:sz w:val="21"/>
                      <w:highlight w:val="none"/>
                    </w:rPr>
                    <w:t>日最大8小时滑动平均值第90百分位数</w:t>
                  </w:r>
                </w:p>
              </w:tc>
              <w:tc>
                <w:tcPr>
                  <w:tcW w:w="810" w:type="pct"/>
                  <w:tcBorders>
                    <w:tl2br w:val="nil"/>
                    <w:tr2bl w:val="nil"/>
                  </w:tcBorders>
                  <w:noWrap w:val="0"/>
                  <w:vAlign w:val="center"/>
                </w:tcPr>
                <w:p>
                  <w:pPr>
                    <w:pStyle w:val="88"/>
                    <w:shd w:val="clear"/>
                    <w:rPr>
                      <w:color w:val="auto"/>
                      <w:sz w:val="21"/>
                      <w:highlight w:val="none"/>
                    </w:rPr>
                  </w:pPr>
                  <w:r>
                    <w:rPr>
                      <w:color w:val="auto"/>
                      <w:sz w:val="21"/>
                      <w:highlight w:val="none"/>
                    </w:rPr>
                    <w:t>113</w:t>
                  </w:r>
                </w:p>
              </w:tc>
              <w:tc>
                <w:tcPr>
                  <w:tcW w:w="668" w:type="pct"/>
                  <w:tcBorders>
                    <w:tl2br w:val="nil"/>
                    <w:tr2bl w:val="nil"/>
                  </w:tcBorders>
                  <w:noWrap w:val="0"/>
                  <w:vAlign w:val="center"/>
                </w:tcPr>
                <w:p>
                  <w:pPr>
                    <w:pStyle w:val="88"/>
                    <w:shd w:val="clear"/>
                    <w:rPr>
                      <w:color w:val="auto"/>
                      <w:sz w:val="21"/>
                      <w:highlight w:val="none"/>
                    </w:rPr>
                  </w:pPr>
                  <w:r>
                    <w:rPr>
                      <w:color w:val="auto"/>
                      <w:sz w:val="21"/>
                      <w:highlight w:val="none"/>
                    </w:rPr>
                    <w:t>160</w:t>
                  </w:r>
                </w:p>
              </w:tc>
              <w:tc>
                <w:tcPr>
                  <w:tcW w:w="588" w:type="pct"/>
                  <w:tcBorders>
                    <w:tl2br w:val="nil"/>
                    <w:tr2bl w:val="nil"/>
                  </w:tcBorders>
                  <w:noWrap w:val="0"/>
                  <w:vAlign w:val="center"/>
                </w:tcPr>
                <w:p>
                  <w:pPr>
                    <w:widowControl/>
                    <w:shd w:val="clear"/>
                    <w:spacing w:line="240" w:lineRule="auto"/>
                    <w:ind w:firstLine="0" w:firstLineChars="0"/>
                    <w:jc w:val="center"/>
                    <w:textAlignment w:val="center"/>
                    <w:rPr>
                      <w:color w:val="auto"/>
                      <w:sz w:val="21"/>
                      <w:szCs w:val="21"/>
                      <w:highlight w:val="none"/>
                    </w:rPr>
                  </w:pPr>
                  <w:r>
                    <w:rPr>
                      <w:color w:val="auto"/>
                      <w:kern w:val="0"/>
                      <w:sz w:val="21"/>
                      <w:szCs w:val="21"/>
                      <w:highlight w:val="none"/>
                      <w:lang w:bidi="ar"/>
                    </w:rPr>
                    <w:t>70.6%</w:t>
                  </w:r>
                </w:p>
              </w:tc>
              <w:tc>
                <w:tcPr>
                  <w:tcW w:w="643" w:type="pct"/>
                  <w:tcBorders>
                    <w:tl2br w:val="nil"/>
                    <w:tr2bl w:val="nil"/>
                  </w:tcBorders>
                  <w:noWrap w:val="0"/>
                  <w:vAlign w:val="center"/>
                </w:tcPr>
                <w:p>
                  <w:pPr>
                    <w:pStyle w:val="88"/>
                    <w:shd w:val="clear"/>
                    <w:rPr>
                      <w:color w:val="auto"/>
                      <w:sz w:val="21"/>
                      <w:highlight w:val="none"/>
                    </w:rPr>
                  </w:pPr>
                  <w:r>
                    <w:rPr>
                      <w:color w:val="auto"/>
                      <w:sz w:val="21"/>
                      <w:highlight w:val="none"/>
                    </w:rPr>
                    <w:t>达标</w:t>
                  </w:r>
                </w:p>
              </w:tc>
            </w:tr>
          </w:tbl>
          <w:p>
            <w:pPr>
              <w:pStyle w:val="23"/>
              <w:keepNext w:val="0"/>
              <w:keepLines w:val="0"/>
              <w:pageBreakBefore w:val="0"/>
              <w:shd w:val="clear"/>
              <w:kinsoku/>
              <w:wordWrap/>
              <w:overflowPunct/>
              <w:topLinePunct w:val="0"/>
              <w:autoSpaceDE/>
              <w:autoSpaceDN/>
              <w:bidi w:val="0"/>
              <w:adjustRightInd/>
              <w:snapToGrid/>
              <w:spacing w:before="0" w:beforeAutospacing="0" w:after="0" w:afterAutospacing="0" w:line="420" w:lineRule="exact"/>
              <w:ind w:firstLine="480" w:firstLineChars="200"/>
              <w:jc w:val="both"/>
              <w:textAlignment w:val="auto"/>
              <w:rPr>
                <w:rFonts w:ascii="Times New Roman" w:hAnsi="Times New Roman" w:eastAsia="宋体" w:cs="Times New Roman"/>
                <w:snapToGrid w:val="0"/>
                <w:color w:val="auto"/>
                <w:kern w:val="0"/>
                <w:sz w:val="24"/>
                <w:highlight w:val="none"/>
              </w:rPr>
            </w:pPr>
            <w:r>
              <w:rPr>
                <w:rFonts w:ascii="Times New Roman" w:hAnsi="Times New Roman" w:eastAsia="宋体" w:cs="Times New Roman"/>
                <w:snapToGrid w:val="0"/>
                <w:color w:val="auto"/>
                <w:kern w:val="0"/>
                <w:sz w:val="24"/>
                <w:highlight w:val="none"/>
              </w:rPr>
              <w:t>由表3-1可知，根据2022年《绥化市环境质量年报》中环境空气质量202</w:t>
            </w:r>
            <w:r>
              <w:rPr>
                <w:rFonts w:hint="eastAsia" w:ascii="Times New Roman" w:hAnsi="Times New Roman" w:eastAsia="宋体" w:cs="Times New Roman"/>
                <w:snapToGrid w:val="0"/>
                <w:color w:val="auto"/>
                <w:kern w:val="0"/>
                <w:sz w:val="24"/>
                <w:highlight w:val="none"/>
                <w:lang w:val="en-US" w:eastAsia="zh-CN"/>
              </w:rPr>
              <w:t>2</w:t>
            </w:r>
            <w:r>
              <w:rPr>
                <w:rFonts w:ascii="Times New Roman" w:hAnsi="Times New Roman" w:eastAsia="宋体" w:cs="Times New Roman"/>
                <w:snapToGrid w:val="0"/>
                <w:color w:val="auto"/>
                <w:kern w:val="0"/>
                <w:sz w:val="24"/>
                <w:highlight w:val="none"/>
              </w:rPr>
              <w:t>年监测结果，绥化市202</w:t>
            </w:r>
            <w:r>
              <w:rPr>
                <w:rFonts w:hint="eastAsia" w:ascii="Times New Roman" w:hAnsi="Times New Roman" w:eastAsia="宋体" w:cs="Times New Roman"/>
                <w:snapToGrid w:val="0"/>
                <w:color w:val="auto"/>
                <w:kern w:val="0"/>
                <w:sz w:val="24"/>
                <w:highlight w:val="none"/>
                <w:lang w:val="en-US" w:eastAsia="zh-CN"/>
              </w:rPr>
              <w:t>2</w:t>
            </w:r>
            <w:r>
              <w:rPr>
                <w:rFonts w:ascii="Times New Roman" w:hAnsi="Times New Roman" w:eastAsia="宋体" w:cs="Times New Roman"/>
                <w:snapToGrid w:val="0"/>
                <w:color w:val="auto"/>
                <w:kern w:val="0"/>
                <w:sz w:val="24"/>
                <w:highlight w:val="none"/>
              </w:rPr>
              <w:t>年</w:t>
            </w:r>
            <w:r>
              <w:rPr>
                <w:rFonts w:hint="eastAsia" w:ascii="Times New Roman" w:hAnsi="Times New Roman" w:eastAsia="宋体" w:cs="Times New Roman"/>
                <w:snapToGrid w:val="0"/>
                <w:color w:val="auto"/>
                <w:kern w:val="0"/>
                <w:sz w:val="24"/>
                <w:highlight w:val="none"/>
              </w:rPr>
              <w:t>环境空气</w:t>
            </w:r>
            <w:r>
              <w:rPr>
                <w:rFonts w:hint="eastAsia" w:ascii="Times New Roman" w:hAnsi="Times New Roman" w:eastAsia="宋体" w:cs="Times New Roman"/>
                <w:snapToGrid w:val="0"/>
                <w:color w:val="auto"/>
                <w:kern w:val="0"/>
                <w:sz w:val="24"/>
                <w:highlight w:val="none"/>
                <w:lang w:eastAsia="zh-CN"/>
              </w:rPr>
              <w:t>质量</w:t>
            </w:r>
            <w:r>
              <w:rPr>
                <w:rFonts w:ascii="Times New Roman" w:hAnsi="Times New Roman" w:eastAsia="宋体" w:cs="Times New Roman"/>
                <w:snapToGrid w:val="0"/>
                <w:color w:val="auto"/>
                <w:kern w:val="0"/>
                <w:sz w:val="24"/>
                <w:highlight w:val="none"/>
              </w:rPr>
              <w:t>为不达标区，因此判定本项目所在区域属于</w:t>
            </w:r>
            <w:r>
              <w:rPr>
                <w:rFonts w:hint="eastAsia" w:ascii="Times New Roman" w:hAnsi="Times New Roman" w:eastAsia="宋体" w:cs="Times New Roman"/>
                <w:snapToGrid w:val="0"/>
                <w:color w:val="auto"/>
                <w:kern w:val="0"/>
                <w:sz w:val="24"/>
                <w:highlight w:val="none"/>
                <w:lang w:val="en-US" w:eastAsia="zh-CN"/>
              </w:rPr>
              <w:t>不</w:t>
            </w:r>
            <w:r>
              <w:rPr>
                <w:rFonts w:ascii="Times New Roman" w:hAnsi="Times New Roman" w:eastAsia="宋体" w:cs="Times New Roman"/>
                <w:snapToGrid w:val="0"/>
                <w:color w:val="auto"/>
                <w:kern w:val="0"/>
                <w:sz w:val="24"/>
                <w:highlight w:val="none"/>
              </w:rPr>
              <w:t>达标区。</w:t>
            </w:r>
          </w:p>
          <w:p>
            <w:pPr>
              <w:keepNext w:val="0"/>
              <w:keepLines w:val="0"/>
              <w:pageBreakBefore w:val="0"/>
              <w:widowControl w:val="0"/>
              <w:shd w:val="clear"/>
              <w:kinsoku/>
              <w:wordWrap/>
              <w:overflowPunct/>
              <w:topLinePunct w:val="0"/>
              <w:autoSpaceDE/>
              <w:autoSpaceDN/>
              <w:bidi w:val="0"/>
              <w:adjustRightInd/>
              <w:snapToGrid/>
              <w:spacing w:line="420" w:lineRule="exact"/>
              <w:ind w:firstLine="480" w:firstLineChars="200"/>
              <w:jc w:val="both"/>
              <w:textAlignment w:val="auto"/>
              <w:rPr>
                <w:rFonts w:hint="eastAsia" w:eastAsia="宋体"/>
                <w:snapToGrid w:val="0"/>
                <w:color w:val="auto"/>
                <w:sz w:val="24"/>
                <w:highlight w:val="none"/>
                <w:lang w:val="en-GB" w:eastAsia="zh-CN"/>
              </w:rPr>
            </w:pPr>
            <w:r>
              <w:rPr>
                <w:rFonts w:hint="eastAsia" w:ascii="Times New Roman" w:hAnsi="Times New Roman"/>
                <w:color w:val="auto"/>
                <w:sz w:val="24"/>
                <w:szCs w:val="24"/>
                <w:highlight w:val="none"/>
                <w:lang w:val="en-US" w:eastAsia="zh-CN"/>
              </w:rPr>
              <w:t>2、</w:t>
            </w:r>
            <w:r>
              <w:rPr>
                <w:rFonts w:hint="default"/>
                <w:color w:val="auto"/>
                <w:sz w:val="24"/>
                <w:szCs w:val="24"/>
                <w:highlight w:val="none"/>
              </w:rPr>
              <w:t>特征污染物环</w:t>
            </w:r>
            <w:r>
              <w:rPr>
                <w:rFonts w:hint="default"/>
                <w:color w:val="auto"/>
                <w:sz w:val="24"/>
                <w:highlight w:val="none"/>
              </w:rPr>
              <w:t>境质量现状</w:t>
            </w:r>
          </w:p>
          <w:p>
            <w:pPr>
              <w:keepNext w:val="0"/>
              <w:keepLines w:val="0"/>
              <w:pageBreakBefore w:val="0"/>
              <w:widowControl/>
              <w:numPr>
                <w:ilvl w:val="0"/>
                <w:numId w:val="0"/>
              </w:numPr>
              <w:suppressLineNumbers w:val="0"/>
              <w:shd w:val="clear"/>
              <w:kinsoku/>
              <w:wordWrap/>
              <w:overflowPunct/>
              <w:topLinePunct w:val="0"/>
              <w:autoSpaceDE/>
              <w:autoSpaceDN/>
              <w:bidi w:val="0"/>
              <w:adjustRightInd/>
              <w:snapToGrid/>
              <w:spacing w:line="420" w:lineRule="exact"/>
              <w:ind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rPr>
              <w:t>本项目的其他污染物为总悬浮颗粒物</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TSP</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根据《建设项目环境影响报告表编制技术指南》（污染影响类）（试行）区域环境质量现状，大气环境可引用建设项目周边</w:t>
            </w:r>
            <w:r>
              <w:rPr>
                <w:rFonts w:hint="eastAsia" w:ascii="Times New Roman" w:hAnsi="Times New Roman" w:eastAsia="宋体" w:cs="Times New Roman"/>
                <w:color w:val="auto"/>
                <w:sz w:val="24"/>
                <w:szCs w:val="24"/>
                <w:lang w:val="en-US" w:eastAsia="zh-CN"/>
              </w:rPr>
              <w:t>5千米范围内近三年的现有监测数据，</w:t>
            </w:r>
            <w:r>
              <w:rPr>
                <w:rFonts w:hint="eastAsia" w:ascii="Times New Roman" w:hAnsi="Times New Roman" w:cs="Times New Roman"/>
                <w:color w:val="auto"/>
                <w:sz w:val="24"/>
                <w:szCs w:val="24"/>
                <w:lang w:val="en-US" w:eastAsia="zh-CN"/>
              </w:rPr>
              <w:t>本次评价</w:t>
            </w:r>
            <w:r>
              <w:rPr>
                <w:rFonts w:hint="eastAsia" w:ascii="Times New Roman" w:hAnsi="Times New Roman" w:eastAsia="宋体" w:cs="Times New Roman"/>
                <w:color w:val="auto"/>
                <w:sz w:val="24"/>
                <w:szCs w:val="24"/>
                <w:lang w:val="en-US" w:eastAsia="zh-CN"/>
              </w:rPr>
              <w:t>引用</w:t>
            </w:r>
            <w:r>
              <w:rPr>
                <w:rFonts w:hint="eastAsia" w:ascii="Times New Roman" w:hAnsi="Times New Roman" w:cs="Times New Roman"/>
                <w:color w:val="auto"/>
                <w:sz w:val="24"/>
                <w:szCs w:val="24"/>
                <w:lang w:val="en-US" w:eastAsia="zh-CN"/>
              </w:rPr>
              <w:t>本项目北侧</w:t>
            </w:r>
            <w:r>
              <w:rPr>
                <w:rFonts w:hint="eastAsia" w:ascii="Times New Roman" w:hAnsi="Times New Roman" w:eastAsia="宋体" w:cs="Times New Roman"/>
                <w:color w:val="auto"/>
                <w:sz w:val="24"/>
                <w:szCs w:val="24"/>
                <w:lang w:val="en-US" w:eastAsia="zh-CN"/>
              </w:rPr>
              <w:t>距本项目</w:t>
            </w:r>
            <w:r>
              <w:rPr>
                <w:rFonts w:hint="eastAsia" w:ascii="Times New Roman" w:hAnsi="Times New Roman" w:eastAsia="宋体" w:cs="Times New Roman"/>
                <w:color w:val="auto"/>
                <w:sz w:val="24"/>
                <w:highlight w:val="none"/>
                <w:lang w:val="en-US" w:eastAsia="zh-CN"/>
              </w:rPr>
              <w:t>紧邻的《</w:t>
            </w:r>
            <w:r>
              <w:rPr>
                <w:rFonts w:hint="eastAsia" w:ascii="Times New Roman" w:hAnsi="Times New Roman" w:eastAsia="宋体" w:cs="Times New Roman"/>
                <w:color w:val="auto"/>
                <w:sz w:val="24"/>
                <w:highlight w:val="none"/>
              </w:rPr>
              <w:t>黑龙江福仁农业发展有限公司鲜食玉米建设项目</w:t>
            </w:r>
            <w:r>
              <w:rPr>
                <w:rFonts w:hint="eastAsia" w:ascii="Times New Roman" w:hAnsi="Times New Roman" w:eastAsia="宋体" w:cs="Times New Roman"/>
                <w:color w:val="auto"/>
                <w:sz w:val="24"/>
                <w:highlight w:val="none"/>
                <w:lang w:eastAsia="zh-CN"/>
              </w:rPr>
              <w:t>》监测报告数据。</w:t>
            </w:r>
          </w:p>
          <w:p>
            <w:pPr>
              <w:pStyle w:val="9"/>
              <w:shd w:val="clear"/>
              <w:spacing w:line="240" w:lineRule="auto"/>
              <w:jc w:val="center"/>
              <w:rPr>
                <w:rFonts w:hint="eastAsia" w:ascii="Times New Roman" w:hAnsi="Times New Roman" w:cs="Times New Roman"/>
                <w:b/>
                <w:bCs/>
                <w:color w:val="auto"/>
                <w:sz w:val="24"/>
                <w:lang w:val="en-US" w:eastAsia="zh-CN"/>
              </w:rPr>
            </w:pPr>
            <w:r>
              <w:rPr>
                <w:color w:val="auto"/>
                <w:highlight w:val="none"/>
              </w:rPr>
              <w:drawing>
                <wp:anchor distT="0" distB="0" distL="114300" distR="114300" simplePos="0" relativeHeight="251663360" behindDoc="0" locked="0" layoutInCell="1" allowOverlap="1">
                  <wp:simplePos x="0" y="0"/>
                  <wp:positionH relativeFrom="column">
                    <wp:posOffset>31750</wp:posOffset>
                  </wp:positionH>
                  <wp:positionV relativeFrom="paragraph">
                    <wp:posOffset>3157855</wp:posOffset>
                  </wp:positionV>
                  <wp:extent cx="5294630" cy="2790190"/>
                  <wp:effectExtent l="0" t="0" r="8890" b="13970"/>
                  <wp:wrapNone/>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4"/>
                          <a:stretch>
                            <a:fillRect/>
                          </a:stretch>
                        </pic:blipFill>
                        <pic:spPr>
                          <a:xfrm>
                            <a:off x="0" y="0"/>
                            <a:ext cx="5294630" cy="2790190"/>
                          </a:xfrm>
                          <a:prstGeom prst="rect">
                            <a:avLst/>
                          </a:prstGeom>
                          <a:noFill/>
                          <a:ln>
                            <a:noFill/>
                          </a:ln>
                        </pic:spPr>
                      </pic:pic>
                    </a:graphicData>
                  </a:graphic>
                </wp:anchor>
              </w:drawing>
            </w:r>
            <w:r>
              <w:rPr>
                <w:color w:val="auto"/>
              </w:rPr>
              <w:drawing>
                <wp:inline distT="0" distB="0" distL="114300" distR="114300">
                  <wp:extent cx="5293995" cy="2905125"/>
                  <wp:effectExtent l="0" t="0" r="9525" b="571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5"/>
                          <a:stretch>
                            <a:fillRect/>
                          </a:stretch>
                        </pic:blipFill>
                        <pic:spPr>
                          <a:xfrm>
                            <a:off x="0" y="0"/>
                            <a:ext cx="5293995" cy="2905125"/>
                          </a:xfrm>
                          <a:prstGeom prst="rect">
                            <a:avLst/>
                          </a:prstGeom>
                          <a:noFill/>
                          <a:ln>
                            <a:noFill/>
                          </a:ln>
                        </pic:spPr>
                      </pic:pic>
                    </a:graphicData>
                  </a:graphic>
                </wp:inline>
              </w:drawing>
            </w:r>
            <w:r>
              <w:rPr>
                <w:rFonts w:hint="default" w:ascii="Times New Roman" w:hAnsi="Times New Roman" w:cs="Times New Roman"/>
                <w:b/>
                <w:bCs/>
                <w:color w:val="auto"/>
                <w:sz w:val="24"/>
                <w:lang w:val="en-US" w:eastAsia="zh-CN"/>
              </w:rPr>
              <w:t>图3-1</w:t>
            </w:r>
            <w:r>
              <w:rPr>
                <w:rFonts w:hint="eastAsia" w:ascii="Times New Roman" w:hAnsi="Times New Roman" w:cs="Times New Roman"/>
                <w:b/>
                <w:bCs/>
                <w:color w:val="auto"/>
                <w:sz w:val="24"/>
                <w:lang w:val="en-US" w:eastAsia="zh-CN"/>
              </w:rPr>
              <w:t xml:space="preserve">  引用数据监测点位与本项目位置关系图</w:t>
            </w:r>
          </w:p>
          <w:p>
            <w:pPr>
              <w:pStyle w:val="10"/>
              <w:shd w:val="clear"/>
              <w:rPr>
                <w:rFonts w:hint="eastAsia"/>
                <w:color w:val="auto"/>
                <w:lang w:val="en-US" w:eastAsia="zh-CN"/>
              </w:rPr>
            </w:pPr>
          </w:p>
          <w:p>
            <w:pPr>
              <w:keepNext w:val="0"/>
              <w:keepLines w:val="0"/>
              <w:pageBreakBefore w:val="0"/>
              <w:widowControl w:val="0"/>
              <w:shd w:val="clear"/>
              <w:kinsoku/>
              <w:wordWrap w:val="0"/>
              <w:overflowPunct/>
              <w:topLinePunct w:val="0"/>
              <w:autoSpaceDE/>
              <w:autoSpaceDN/>
              <w:bidi w:val="0"/>
              <w:adjustRightInd/>
              <w:snapToGrid/>
              <w:spacing w:line="240" w:lineRule="auto"/>
              <w:jc w:val="center"/>
              <w:textAlignment w:val="auto"/>
              <w:rPr>
                <w:color w:val="auto"/>
              </w:rPr>
            </w:pPr>
          </w:p>
          <w:p>
            <w:pPr>
              <w:pStyle w:val="9"/>
              <w:shd w:val="clear"/>
              <w:rPr>
                <w:color w:val="auto"/>
              </w:rPr>
            </w:pPr>
          </w:p>
          <w:p>
            <w:pPr>
              <w:pStyle w:val="10"/>
              <w:shd w:val="clear"/>
              <w:rPr>
                <w:color w:val="auto"/>
              </w:rPr>
            </w:pPr>
          </w:p>
          <w:p>
            <w:pPr>
              <w:pStyle w:val="11"/>
              <w:shd w:val="clear"/>
              <w:rPr>
                <w:color w:val="auto"/>
              </w:rPr>
            </w:pPr>
          </w:p>
          <w:p>
            <w:pPr>
              <w:shd w:val="clear"/>
              <w:rPr>
                <w:color w:val="auto"/>
              </w:rPr>
            </w:pPr>
          </w:p>
          <w:p>
            <w:pPr>
              <w:pStyle w:val="9"/>
              <w:shd w:val="clear"/>
              <w:rPr>
                <w:color w:val="auto"/>
              </w:rPr>
            </w:pPr>
          </w:p>
          <w:p>
            <w:pPr>
              <w:pStyle w:val="10"/>
              <w:shd w:val="clear"/>
              <w:rPr>
                <w:color w:val="auto"/>
              </w:rPr>
            </w:pPr>
          </w:p>
          <w:p>
            <w:pPr>
              <w:pStyle w:val="11"/>
              <w:shd w:val="clear"/>
              <w:rPr>
                <w:color w:val="auto"/>
              </w:rPr>
            </w:pPr>
          </w:p>
          <w:p>
            <w:pPr>
              <w:shd w:val="clear"/>
              <w:rPr>
                <w:color w:val="auto"/>
              </w:rPr>
            </w:pPr>
          </w:p>
          <w:p>
            <w:pPr>
              <w:pStyle w:val="9"/>
              <w:shd w:val="clear"/>
              <w:rPr>
                <w:color w:val="auto"/>
              </w:rPr>
            </w:pPr>
          </w:p>
          <w:p>
            <w:pPr>
              <w:pStyle w:val="10"/>
              <w:shd w:val="clear"/>
              <w:rPr>
                <w:color w:val="auto"/>
              </w:rPr>
            </w:pPr>
          </w:p>
          <w:p>
            <w:pPr>
              <w:pStyle w:val="11"/>
              <w:shd w:val="clear"/>
              <w:rPr>
                <w:color w:val="auto"/>
              </w:rPr>
            </w:pPr>
          </w:p>
          <w:p>
            <w:pPr>
              <w:pStyle w:val="11"/>
              <w:shd w:val="clear"/>
              <w:rPr>
                <w:color w:val="auto"/>
              </w:rPr>
            </w:pPr>
          </w:p>
          <w:p>
            <w:pPr>
              <w:keepNext w:val="0"/>
              <w:keepLines w:val="0"/>
              <w:pageBreakBefore w:val="0"/>
              <w:widowControl w:val="0"/>
              <w:shd w:val="clear"/>
              <w:kinsoku/>
              <w:wordWrap w:val="0"/>
              <w:overflowPunct/>
              <w:topLinePunct w:val="0"/>
              <w:autoSpaceDE/>
              <w:autoSpaceDN/>
              <w:bidi w:val="0"/>
              <w:adjustRightInd/>
              <w:snapToGrid/>
              <w:spacing w:line="360" w:lineRule="auto"/>
              <w:jc w:val="center"/>
              <w:textAlignment w:val="auto"/>
              <w:rPr>
                <w:rFonts w:hint="eastAsia"/>
                <w:b/>
                <w:bCs/>
                <w:color w:val="auto"/>
                <w:sz w:val="24"/>
                <w:lang w:val="en-US" w:eastAsia="zh-CN"/>
              </w:rPr>
            </w:pPr>
            <w:r>
              <w:rPr>
                <w:rFonts w:hint="default" w:ascii="Times New Roman" w:hAnsi="Times New Roman" w:cs="Times New Roman"/>
                <w:b/>
                <w:bCs/>
                <w:color w:val="auto"/>
                <w:sz w:val="24"/>
                <w:lang w:val="en-US" w:eastAsia="zh-CN"/>
              </w:rPr>
              <w:t>图3-</w:t>
            </w:r>
            <w:r>
              <w:rPr>
                <w:rFonts w:hint="eastAsia" w:ascii="Times New Roman" w:hAnsi="Times New Roman" w:cs="Times New Roman"/>
                <w:b/>
                <w:bCs/>
                <w:color w:val="auto"/>
                <w:sz w:val="24"/>
                <w:lang w:val="en-US" w:eastAsia="zh-CN"/>
              </w:rPr>
              <w:t>2  引用数据监测点位</w:t>
            </w:r>
            <w:r>
              <w:rPr>
                <w:rFonts w:hint="eastAsia"/>
                <w:b/>
                <w:bCs/>
                <w:color w:val="auto"/>
                <w:sz w:val="24"/>
                <w:lang w:val="en-US" w:eastAsia="zh-CN"/>
              </w:rPr>
              <w:t>图</w:t>
            </w:r>
          </w:p>
          <w:tbl>
            <w:tblPr>
              <w:tblStyle w:val="27"/>
              <w:tblpPr w:leftFromText="180" w:rightFromText="180" w:vertAnchor="text" w:horzAnchor="page" w:tblpX="103" w:tblpY="741"/>
              <w:tblOverlap w:val="never"/>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3"/>
              <w:gridCol w:w="914"/>
              <w:gridCol w:w="2558"/>
              <w:gridCol w:w="2167"/>
              <w:gridCol w:w="16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blHeader/>
              </w:trPr>
              <w:tc>
                <w:tcPr>
                  <w:tcW w:w="1204" w:type="pct"/>
                  <w:gridSpan w:val="2"/>
                  <w:tcBorders>
                    <w:tl2br w:val="nil"/>
                    <w:tr2bl w:val="nil"/>
                  </w:tcBorders>
                  <w:noWrap w:val="0"/>
                  <w:vAlign w:val="center"/>
                </w:tcPr>
                <w:p>
                  <w:pPr>
                    <w:shd w:val="clear"/>
                    <w:spacing w:line="240" w:lineRule="auto"/>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检测项目</w:t>
                  </w:r>
                </w:p>
              </w:tc>
              <w:tc>
                <w:tcPr>
                  <w:tcW w:w="1519" w:type="pct"/>
                  <w:tcBorders>
                    <w:tl2br w:val="nil"/>
                    <w:tr2bl w:val="nil"/>
                  </w:tcBorders>
                  <w:noWrap w:val="0"/>
                  <w:vAlign w:val="center"/>
                </w:tcPr>
                <w:p>
                  <w:pPr>
                    <w:shd w:val="clear"/>
                    <w:spacing w:line="240" w:lineRule="auto"/>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检测方法</w:t>
                  </w:r>
                </w:p>
              </w:tc>
              <w:tc>
                <w:tcPr>
                  <w:tcW w:w="1287" w:type="pct"/>
                  <w:tcBorders>
                    <w:tl2br w:val="nil"/>
                    <w:tr2bl w:val="nil"/>
                  </w:tcBorders>
                  <w:noWrap w:val="0"/>
                  <w:vAlign w:val="center"/>
                </w:tcPr>
                <w:p>
                  <w:pPr>
                    <w:shd w:val="clear"/>
                    <w:spacing w:line="240" w:lineRule="auto"/>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使用仪器</w:t>
                  </w:r>
                </w:p>
              </w:tc>
              <w:tc>
                <w:tcPr>
                  <w:tcW w:w="988" w:type="pct"/>
                  <w:tcBorders>
                    <w:tl2br w:val="nil"/>
                    <w:tr2bl w:val="nil"/>
                  </w:tcBorders>
                  <w:noWrap w:val="0"/>
                  <w:vAlign w:val="center"/>
                </w:tcPr>
                <w:p>
                  <w:pPr>
                    <w:shd w:val="clear"/>
                    <w:spacing w:line="240" w:lineRule="auto"/>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仪器编号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661" w:type="pct"/>
                  <w:vMerge w:val="restart"/>
                  <w:tcBorders>
                    <w:tl2br w:val="nil"/>
                    <w:tr2bl w:val="nil"/>
                  </w:tcBorders>
                  <w:noWrap w:val="0"/>
                  <w:vAlign w:val="center"/>
                </w:tcPr>
                <w:p>
                  <w:pPr>
                    <w:shd w:val="clear"/>
                    <w:spacing w:line="240" w:lineRule="auto"/>
                    <w:jc w:val="center"/>
                    <w:rPr>
                      <w:rFonts w:hint="default" w:ascii="Times New Roman" w:hAnsi="Times New Roman" w:cs="Times New Roman"/>
                      <w:color w:val="auto"/>
                      <w:spacing w:val="-10"/>
                      <w:szCs w:val="21"/>
                      <w:highlight w:val="none"/>
                    </w:rPr>
                  </w:pPr>
                  <w:r>
                    <w:rPr>
                      <w:rFonts w:hint="default" w:ascii="Times New Roman" w:hAnsi="Times New Roman" w:cs="Times New Roman"/>
                      <w:color w:val="auto"/>
                      <w:spacing w:val="-10"/>
                      <w:szCs w:val="21"/>
                      <w:highlight w:val="none"/>
                    </w:rPr>
                    <w:t>环境空气质量检测</w:t>
                  </w:r>
                </w:p>
              </w:tc>
              <w:tc>
                <w:tcPr>
                  <w:tcW w:w="543" w:type="pct"/>
                  <w:vMerge w:val="restart"/>
                  <w:tcBorders>
                    <w:tl2br w:val="nil"/>
                    <w:tr2bl w:val="nil"/>
                  </w:tcBorders>
                  <w:noWrap w:val="0"/>
                  <w:vAlign w:val="center"/>
                </w:tcPr>
                <w:p>
                  <w:pPr>
                    <w:shd w:val="clear"/>
                    <w:spacing w:line="240" w:lineRule="auto"/>
                    <w:jc w:val="center"/>
                    <w:rPr>
                      <w:rFonts w:hint="default" w:ascii="Times New Roman" w:hAnsi="Times New Roman" w:cs="Times New Roman"/>
                      <w:color w:val="auto"/>
                      <w:spacing w:val="-10"/>
                      <w:szCs w:val="21"/>
                      <w:highlight w:val="none"/>
                    </w:rPr>
                  </w:pPr>
                  <w:r>
                    <w:rPr>
                      <w:rFonts w:hint="default" w:ascii="Times New Roman" w:hAnsi="Times New Roman" w:cs="Times New Roman"/>
                      <w:bCs/>
                      <w:color w:val="auto"/>
                      <w:spacing w:val="-10"/>
                      <w:highlight w:val="none"/>
                    </w:rPr>
                    <w:t>总悬浮颗粒物</w:t>
                  </w:r>
                </w:p>
              </w:tc>
              <w:tc>
                <w:tcPr>
                  <w:tcW w:w="1519" w:type="pct"/>
                  <w:vMerge w:val="restart"/>
                  <w:tcBorders>
                    <w:tl2br w:val="nil"/>
                    <w:tr2bl w:val="nil"/>
                  </w:tcBorders>
                  <w:noWrap w:val="0"/>
                  <w:vAlign w:val="center"/>
                </w:tcPr>
                <w:p>
                  <w:pPr>
                    <w:shd w:val="clear"/>
                    <w:adjustRightInd w:val="0"/>
                    <w:snapToGrid w:val="0"/>
                    <w:spacing w:line="240" w:lineRule="auto"/>
                    <w:jc w:val="center"/>
                    <w:rPr>
                      <w:rFonts w:hint="default" w:ascii="Times New Roman" w:hAnsi="Times New Roman" w:cs="Times New Roman"/>
                      <w:color w:val="auto"/>
                      <w:spacing w:val="-10"/>
                      <w:szCs w:val="21"/>
                      <w:highlight w:val="none"/>
                    </w:rPr>
                  </w:pPr>
                  <w:r>
                    <w:rPr>
                      <w:rFonts w:hint="default" w:ascii="Times New Roman" w:hAnsi="Times New Roman" w:cs="Times New Roman"/>
                      <w:color w:val="auto"/>
                      <w:spacing w:val="-10"/>
                      <w:szCs w:val="21"/>
                      <w:highlight w:val="none"/>
                    </w:rPr>
                    <w:t>环境空气 总悬浮颗粒物的测定重量法HJ 1263-2022</w:t>
                  </w:r>
                </w:p>
              </w:tc>
              <w:tc>
                <w:tcPr>
                  <w:tcW w:w="1287" w:type="pct"/>
                  <w:tcBorders>
                    <w:tl2br w:val="nil"/>
                    <w:tr2bl w:val="nil"/>
                  </w:tcBorders>
                  <w:noWrap w:val="0"/>
                  <w:vAlign w:val="center"/>
                </w:tcPr>
                <w:p>
                  <w:pPr>
                    <w:shd w:val="clear"/>
                    <w:spacing w:line="240" w:lineRule="auto"/>
                    <w:jc w:val="center"/>
                    <w:rPr>
                      <w:rFonts w:hint="default" w:ascii="Times New Roman" w:hAnsi="Times New Roman" w:eastAsia="仿宋" w:cs="Times New Roman"/>
                      <w:color w:val="auto"/>
                      <w:spacing w:val="-10"/>
                      <w:szCs w:val="21"/>
                      <w:highlight w:val="none"/>
                    </w:rPr>
                  </w:pPr>
                  <w:r>
                    <w:rPr>
                      <w:rFonts w:hint="default" w:ascii="Times New Roman" w:hAnsi="Times New Roman" w:cs="Times New Roman"/>
                      <w:color w:val="auto"/>
                      <w:spacing w:val="-10"/>
                      <w:szCs w:val="21"/>
                      <w:highlight w:val="none"/>
                    </w:rPr>
                    <w:t>崂应2030型中流量智能TSP采样器</w:t>
                  </w:r>
                </w:p>
              </w:tc>
              <w:tc>
                <w:tcPr>
                  <w:tcW w:w="988" w:type="pct"/>
                  <w:tcBorders>
                    <w:tl2br w:val="nil"/>
                    <w:tr2bl w:val="nil"/>
                  </w:tcBorders>
                  <w:noWrap w:val="0"/>
                  <w:vAlign w:val="center"/>
                </w:tcPr>
                <w:p>
                  <w:pPr>
                    <w:shd w:val="clear"/>
                    <w:spacing w:line="240" w:lineRule="auto"/>
                    <w:jc w:val="center"/>
                    <w:rPr>
                      <w:rFonts w:hint="default" w:ascii="Times New Roman" w:hAnsi="Times New Roman" w:cs="Times New Roman"/>
                      <w:color w:val="auto"/>
                      <w:spacing w:val="-10"/>
                      <w:szCs w:val="21"/>
                      <w:highlight w:val="none"/>
                    </w:rPr>
                  </w:pPr>
                  <w:r>
                    <w:rPr>
                      <w:rFonts w:hint="default" w:ascii="Times New Roman" w:hAnsi="Times New Roman" w:cs="Times New Roman"/>
                      <w:color w:val="auto"/>
                      <w:spacing w:val="-10"/>
                      <w:szCs w:val="21"/>
                      <w:highlight w:val="none"/>
                    </w:rPr>
                    <w:t>M03175995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661" w:type="pct"/>
                  <w:vMerge w:val="continue"/>
                  <w:tcBorders>
                    <w:tl2br w:val="nil"/>
                    <w:tr2bl w:val="nil"/>
                  </w:tcBorders>
                  <w:noWrap w:val="0"/>
                  <w:vAlign w:val="center"/>
                </w:tcPr>
                <w:p>
                  <w:pPr>
                    <w:shd w:val="clear"/>
                    <w:spacing w:line="240" w:lineRule="auto"/>
                    <w:jc w:val="center"/>
                    <w:rPr>
                      <w:rFonts w:hint="default" w:ascii="Times New Roman" w:hAnsi="Times New Roman" w:cs="Times New Roman"/>
                      <w:color w:val="auto"/>
                      <w:spacing w:val="-10"/>
                      <w:szCs w:val="21"/>
                      <w:highlight w:val="none"/>
                    </w:rPr>
                  </w:pPr>
                </w:p>
              </w:tc>
              <w:tc>
                <w:tcPr>
                  <w:tcW w:w="543" w:type="pct"/>
                  <w:vMerge w:val="continue"/>
                  <w:tcBorders>
                    <w:tl2br w:val="nil"/>
                    <w:tr2bl w:val="nil"/>
                  </w:tcBorders>
                  <w:noWrap w:val="0"/>
                  <w:vAlign w:val="center"/>
                </w:tcPr>
                <w:p>
                  <w:pPr>
                    <w:shd w:val="clear"/>
                    <w:spacing w:line="240" w:lineRule="auto"/>
                    <w:jc w:val="center"/>
                    <w:rPr>
                      <w:rFonts w:hint="default" w:ascii="Times New Roman" w:hAnsi="Times New Roman" w:cs="Times New Roman"/>
                      <w:color w:val="auto"/>
                      <w:spacing w:val="-10"/>
                      <w:szCs w:val="21"/>
                      <w:highlight w:val="none"/>
                    </w:rPr>
                  </w:pPr>
                </w:p>
              </w:tc>
              <w:tc>
                <w:tcPr>
                  <w:tcW w:w="1519" w:type="pct"/>
                  <w:vMerge w:val="continue"/>
                  <w:tcBorders>
                    <w:tl2br w:val="nil"/>
                    <w:tr2bl w:val="nil"/>
                  </w:tcBorders>
                  <w:noWrap w:val="0"/>
                  <w:vAlign w:val="center"/>
                </w:tcPr>
                <w:p>
                  <w:pPr>
                    <w:shd w:val="clear"/>
                    <w:spacing w:line="240" w:lineRule="auto"/>
                    <w:jc w:val="center"/>
                    <w:rPr>
                      <w:rFonts w:hint="default" w:ascii="Times New Roman" w:hAnsi="Times New Roman" w:cs="Times New Roman"/>
                      <w:color w:val="auto"/>
                      <w:spacing w:val="-10"/>
                      <w:szCs w:val="21"/>
                      <w:highlight w:val="none"/>
                    </w:rPr>
                  </w:pPr>
                </w:p>
              </w:tc>
              <w:tc>
                <w:tcPr>
                  <w:tcW w:w="1287" w:type="pct"/>
                  <w:tcBorders>
                    <w:tl2br w:val="nil"/>
                    <w:tr2bl w:val="nil"/>
                  </w:tcBorders>
                  <w:noWrap w:val="0"/>
                  <w:vAlign w:val="center"/>
                </w:tcPr>
                <w:p>
                  <w:pPr>
                    <w:shd w:val="clear"/>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MS105</w:t>
                  </w:r>
                </w:p>
                <w:p>
                  <w:pPr>
                    <w:shd w:val="clear"/>
                    <w:spacing w:line="240" w:lineRule="auto"/>
                    <w:jc w:val="center"/>
                    <w:rPr>
                      <w:rFonts w:hint="default" w:ascii="Times New Roman" w:hAnsi="Times New Roman" w:cs="Times New Roman"/>
                      <w:color w:val="auto"/>
                      <w:spacing w:val="-10"/>
                      <w:szCs w:val="21"/>
                      <w:highlight w:val="none"/>
                    </w:rPr>
                  </w:pPr>
                  <w:r>
                    <w:rPr>
                      <w:rFonts w:hint="default" w:ascii="Times New Roman" w:hAnsi="Times New Roman" w:cs="Times New Roman"/>
                      <w:color w:val="auto"/>
                      <w:spacing w:val="-10"/>
                      <w:szCs w:val="21"/>
                      <w:highlight w:val="none"/>
                    </w:rPr>
                    <w:t>1/十万电子天平</w:t>
                  </w:r>
                </w:p>
              </w:tc>
              <w:tc>
                <w:tcPr>
                  <w:tcW w:w="988" w:type="pct"/>
                  <w:tcBorders>
                    <w:tl2br w:val="nil"/>
                    <w:tr2bl w:val="nil"/>
                  </w:tcBorders>
                  <w:noWrap w:val="0"/>
                  <w:vAlign w:val="center"/>
                </w:tcPr>
                <w:p>
                  <w:pPr>
                    <w:shd w:val="clear"/>
                    <w:spacing w:line="240" w:lineRule="auto"/>
                    <w:jc w:val="center"/>
                    <w:rPr>
                      <w:rFonts w:hint="default" w:ascii="Times New Roman" w:hAnsi="Times New Roman" w:cs="Times New Roman"/>
                      <w:color w:val="auto"/>
                      <w:spacing w:val="-10"/>
                      <w:szCs w:val="21"/>
                      <w:highlight w:val="none"/>
                    </w:rPr>
                  </w:pPr>
                  <w:r>
                    <w:rPr>
                      <w:rFonts w:hint="default" w:ascii="Times New Roman" w:hAnsi="Times New Roman" w:cs="Times New Roman"/>
                      <w:color w:val="auto"/>
                      <w:szCs w:val="21"/>
                      <w:highlight w:val="none"/>
                    </w:rPr>
                    <w:t>B429821628</w:t>
                  </w:r>
                </w:p>
              </w:tc>
            </w:tr>
          </w:tbl>
          <w:p>
            <w:pPr>
              <w:keepNext w:val="0"/>
              <w:keepLines w:val="0"/>
              <w:pageBreakBefore w:val="0"/>
              <w:widowControl w:val="0"/>
              <w:shd w:val="clear"/>
              <w:kinsoku/>
              <w:wordWrap w:val="0"/>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val="0"/>
                <w:bCs/>
                <w:color w:val="auto"/>
                <w:sz w:val="24"/>
                <w:szCs w:val="24"/>
                <w:lang w:val="en-US" w:eastAsia="zh-CN"/>
              </w:rPr>
            </w:pPr>
            <w:r>
              <w:rPr>
                <w:rFonts w:hint="eastAsia" w:cs="Times New Roman"/>
                <w:b w:val="0"/>
                <w:bCs/>
                <w:color w:val="auto"/>
                <w:sz w:val="24"/>
                <w:szCs w:val="24"/>
                <w:lang w:val="en-US" w:eastAsia="zh-CN"/>
              </w:rPr>
              <w:t>检测方法见表3-2</w:t>
            </w:r>
          </w:p>
          <w:p>
            <w:pPr>
              <w:keepNext w:val="0"/>
              <w:keepLines w:val="0"/>
              <w:pageBreakBefore w:val="0"/>
              <w:widowControl w:val="0"/>
              <w:shd w:val="clear"/>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 xml:space="preserve">  </w:t>
            </w:r>
            <w:r>
              <w:rPr>
                <w:rFonts w:hint="default" w:ascii="Times New Roman" w:hAnsi="Times New Roman" w:eastAsia="宋体" w:cs="Times New Roman"/>
                <w:b/>
                <w:bCs/>
                <w:color w:val="auto"/>
                <w:sz w:val="24"/>
                <w:lang w:val="en-US" w:eastAsia="zh-CN"/>
              </w:rPr>
              <w:t>表3-</w:t>
            </w:r>
            <w:r>
              <w:rPr>
                <w:rFonts w:hint="eastAsia" w:ascii="Times New Roman" w:hAnsi="Times New Roman" w:eastAsia="宋体" w:cs="Times New Roman"/>
                <w:b/>
                <w:bCs/>
                <w:color w:val="auto"/>
                <w:sz w:val="24"/>
                <w:lang w:val="en-US" w:eastAsia="zh-CN"/>
              </w:rPr>
              <w:t>2</w:t>
            </w:r>
            <w:r>
              <w:rPr>
                <w:rFonts w:hint="default" w:ascii="Times New Roman" w:hAnsi="Times New Roman" w:eastAsia="宋体" w:cs="Times New Roman"/>
                <w:b/>
                <w:bCs/>
                <w:color w:val="auto"/>
                <w:sz w:val="24"/>
                <w:lang w:val="en-US" w:eastAsia="zh-CN"/>
              </w:rPr>
              <w:t xml:space="preserve">  检测方法</w:t>
            </w:r>
          </w:p>
          <w:p>
            <w:pPr>
              <w:keepNext w:val="0"/>
              <w:keepLines w:val="0"/>
              <w:pageBreakBefore w:val="0"/>
              <w:widowControl w:val="0"/>
              <w:shd w:val="clear"/>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4"/>
                <w:lang w:val="en-US" w:eastAsia="zh-CN"/>
              </w:rPr>
            </w:pPr>
          </w:p>
          <w:p>
            <w:pPr>
              <w:keepNext w:val="0"/>
              <w:keepLines w:val="0"/>
              <w:pageBreakBefore w:val="0"/>
              <w:widowControl w:val="0"/>
              <w:shd w:val="clear"/>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4"/>
                <w:lang w:val="en-US" w:eastAsia="zh-CN"/>
              </w:rPr>
            </w:pPr>
          </w:p>
          <w:p>
            <w:pPr>
              <w:keepNext w:val="0"/>
              <w:keepLines w:val="0"/>
              <w:pageBreakBefore w:val="0"/>
              <w:widowControl w:val="0"/>
              <w:shd w:val="clear"/>
              <w:kinsoku/>
              <w:wordWrap w:val="0"/>
              <w:overflowPunct/>
              <w:topLinePunct w:val="0"/>
              <w:autoSpaceDE/>
              <w:autoSpaceDN/>
              <w:bidi w:val="0"/>
              <w:adjustRightInd/>
              <w:snapToGrid/>
              <w:spacing w:line="240" w:lineRule="auto"/>
              <w:jc w:val="center"/>
              <w:textAlignment w:val="auto"/>
              <w:rPr>
                <w:rFonts w:hint="default"/>
                <w:color w:val="auto"/>
                <w:lang w:eastAsia="zh-CN"/>
              </w:rPr>
            </w:pPr>
            <w:r>
              <w:rPr>
                <w:rFonts w:hint="eastAsia" w:ascii="Times New Roman" w:hAnsi="Times New Roman" w:eastAsia="宋体" w:cs="Times New Roman"/>
                <w:b/>
                <w:bCs/>
                <w:color w:val="auto"/>
                <w:sz w:val="24"/>
                <w:lang w:val="en-US" w:eastAsia="zh-CN"/>
              </w:rPr>
              <w:t xml:space="preserve">表3-3  </w:t>
            </w:r>
            <w:r>
              <w:rPr>
                <w:rFonts w:hint="default" w:ascii="Times New Roman" w:hAnsi="Times New Roman" w:eastAsia="宋体" w:cs="Times New Roman"/>
                <w:b/>
                <w:bCs/>
                <w:color w:val="auto"/>
                <w:sz w:val="24"/>
                <w:lang w:val="en-US" w:eastAsia="zh-CN"/>
              </w:rPr>
              <w:t>本项目特征污染物补充监测点</w:t>
            </w:r>
            <w:r>
              <w:rPr>
                <w:rFonts w:hint="default" w:ascii="Times New Roman" w:hAnsi="Times New Roman" w:eastAsia="宋体" w:cs="Times New Roman"/>
                <w:b/>
                <w:bCs w:val="0"/>
                <w:color w:val="auto"/>
                <w:sz w:val="24"/>
                <w:szCs w:val="24"/>
                <w:lang w:eastAsia="zh-CN"/>
              </w:rPr>
              <w:t>位基本信息</w:t>
            </w:r>
          </w:p>
          <w:tbl>
            <w:tblPr>
              <w:tblStyle w:val="27"/>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327"/>
              <w:gridCol w:w="1658"/>
              <w:gridCol w:w="1553"/>
              <w:gridCol w:w="776"/>
              <w:gridCol w:w="1990"/>
              <w:gridCol w:w="768"/>
              <w:gridCol w:w="34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3" w:type="pct"/>
                  <w:vMerge w:val="restart"/>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监测点名称</w:t>
                  </w:r>
                </w:p>
              </w:tc>
              <w:tc>
                <w:tcPr>
                  <w:tcW w:w="2014" w:type="pct"/>
                  <w:gridSpan w:val="2"/>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监测点坐标</w:t>
                  </w:r>
                </w:p>
              </w:tc>
              <w:tc>
                <w:tcPr>
                  <w:tcW w:w="615" w:type="pct"/>
                  <w:vMerge w:val="restart"/>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监测因子</w:t>
                  </w:r>
                </w:p>
              </w:tc>
              <w:tc>
                <w:tcPr>
                  <w:tcW w:w="679" w:type="pct"/>
                  <w:vMerge w:val="restart"/>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监测时段</w:t>
                  </w:r>
                </w:p>
              </w:tc>
              <w:tc>
                <w:tcPr>
                  <w:tcW w:w="551" w:type="pct"/>
                  <w:vMerge w:val="restart"/>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相对厂址方位</w:t>
                  </w:r>
                </w:p>
              </w:tc>
              <w:tc>
                <w:tcPr>
                  <w:tcW w:w="254" w:type="pct"/>
                  <w:vMerge w:val="restart"/>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相对厂界距离/m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3" w:type="pct"/>
                  <w:vMerge w:val="continue"/>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rPr>
                  </w:pPr>
                </w:p>
              </w:tc>
              <w:tc>
                <w:tcPr>
                  <w:tcW w:w="1047" w:type="pct"/>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X</w:t>
                  </w:r>
                </w:p>
              </w:tc>
              <w:tc>
                <w:tcPr>
                  <w:tcW w:w="967" w:type="pct"/>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Y</w:t>
                  </w:r>
                </w:p>
              </w:tc>
              <w:tc>
                <w:tcPr>
                  <w:tcW w:w="615" w:type="pct"/>
                  <w:vMerge w:val="continue"/>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rPr>
                  </w:pPr>
                </w:p>
              </w:tc>
              <w:tc>
                <w:tcPr>
                  <w:tcW w:w="679" w:type="pct"/>
                  <w:vMerge w:val="continue"/>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rPr>
                  </w:pPr>
                </w:p>
              </w:tc>
              <w:tc>
                <w:tcPr>
                  <w:tcW w:w="551" w:type="pct"/>
                  <w:vMerge w:val="continue"/>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rPr>
                  </w:pPr>
                </w:p>
              </w:tc>
              <w:tc>
                <w:tcPr>
                  <w:tcW w:w="254" w:type="pct"/>
                  <w:vMerge w:val="continue"/>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3" w:type="pct"/>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color w:val="auto"/>
                      <w:sz w:val="24"/>
                      <w:highlight w:val="none"/>
                    </w:rPr>
                    <w:t>黑龙江福仁农业发展有限公司鲜食玉米建设项目</w:t>
                  </w:r>
                </w:p>
              </w:tc>
              <w:tc>
                <w:tcPr>
                  <w:tcW w:w="1047" w:type="pct"/>
                  <w:tcBorders>
                    <w:tl2br w:val="nil"/>
                    <w:tr2bl w:val="nil"/>
                  </w:tcBorders>
                  <w:noWrap w:val="0"/>
                  <w:tcMar>
                    <w:top w:w="15" w:type="dxa"/>
                    <w:left w:w="15" w:type="dxa"/>
                    <w:right w:w="15" w:type="dxa"/>
                  </w:tcMar>
                  <w:vAlign w:val="center"/>
                </w:tcPr>
                <w:p>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126°55′47.40″</w:t>
                  </w:r>
                </w:p>
              </w:tc>
              <w:tc>
                <w:tcPr>
                  <w:tcW w:w="967" w:type="pct"/>
                  <w:tcBorders>
                    <w:tl2br w:val="nil"/>
                    <w:tr2bl w:val="nil"/>
                  </w:tcBorders>
                  <w:noWrap w:val="0"/>
                  <w:tcMar>
                    <w:top w:w="15" w:type="dxa"/>
                    <w:left w:w="15" w:type="dxa"/>
                    <w:right w:w="15" w:type="dxa"/>
                  </w:tcMar>
                  <w:vAlign w:val="center"/>
                </w:tcPr>
                <w:p>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47°33′13.76″</w:t>
                  </w:r>
                </w:p>
              </w:tc>
              <w:tc>
                <w:tcPr>
                  <w:tcW w:w="615" w:type="pct"/>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eastAsia" w:eastAsia="宋体"/>
                      <w:color w:val="auto"/>
                      <w:lang w:val="en-US" w:eastAsia="zh-CN"/>
                    </w:rPr>
                  </w:pPr>
                  <w:r>
                    <w:rPr>
                      <w:rFonts w:hint="default" w:ascii="Times New Roman" w:hAnsi="Times New Roman" w:cs="Times New Roman"/>
                      <w:bCs/>
                      <w:color w:val="auto"/>
                      <w:spacing w:val="-10"/>
                      <w:highlight w:val="none"/>
                    </w:rPr>
                    <w:t>总悬浮颗粒物</w:t>
                  </w:r>
                  <w:r>
                    <w:rPr>
                      <w:rFonts w:hint="eastAsia" w:ascii="Times New Roman" w:hAnsi="Times New Roman" w:cs="Times New Roman"/>
                      <w:bCs/>
                      <w:color w:val="auto"/>
                      <w:spacing w:val="-10"/>
                      <w:highlight w:val="none"/>
                      <w:lang w:eastAsia="zh-CN"/>
                    </w:rPr>
                    <w:t>（</w:t>
                  </w:r>
                  <w:r>
                    <w:rPr>
                      <w:rFonts w:hint="eastAsia" w:ascii="Times New Roman" w:hAnsi="Times New Roman" w:cs="Times New Roman"/>
                      <w:bCs/>
                      <w:color w:val="auto"/>
                      <w:spacing w:val="-10"/>
                      <w:highlight w:val="none"/>
                      <w:lang w:val="en-US" w:eastAsia="zh-CN"/>
                    </w:rPr>
                    <w:t>TSP</w:t>
                  </w:r>
                  <w:r>
                    <w:rPr>
                      <w:rFonts w:hint="eastAsia" w:ascii="Times New Roman" w:hAnsi="Times New Roman" w:cs="Times New Roman"/>
                      <w:bCs/>
                      <w:color w:val="auto"/>
                      <w:spacing w:val="-10"/>
                      <w:highlight w:val="none"/>
                      <w:lang w:eastAsia="zh-CN"/>
                    </w:rPr>
                    <w:t>）</w:t>
                  </w:r>
                </w:p>
              </w:tc>
              <w:tc>
                <w:tcPr>
                  <w:tcW w:w="679" w:type="pct"/>
                  <w:tcBorders>
                    <w:tl2br w:val="nil"/>
                    <w:tr2bl w:val="nil"/>
                  </w:tcBorders>
                  <w:noWrap w:val="0"/>
                  <w:tcMar>
                    <w:top w:w="15" w:type="dxa"/>
                    <w:left w:w="15" w:type="dxa"/>
                    <w:right w:w="15" w:type="dxa"/>
                  </w:tcMar>
                  <w:vAlign w:val="center"/>
                </w:tcPr>
                <w:p>
                  <w:pPr>
                    <w:shd w:val="clea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color w:val="auto"/>
                      <w:szCs w:val="21"/>
                      <w:highlight w:val="none"/>
                    </w:rPr>
                    <w:t>20</w:t>
                  </w:r>
                  <w:r>
                    <w:rPr>
                      <w:rFonts w:hint="eastAsia"/>
                      <w:color w:val="auto"/>
                      <w:szCs w:val="21"/>
                      <w:highlight w:val="none"/>
                      <w:lang w:val="en-US" w:eastAsia="zh-CN"/>
                    </w:rPr>
                    <w:t>23</w:t>
                  </w:r>
                  <w:r>
                    <w:rPr>
                      <w:rFonts w:hint="default"/>
                      <w:color w:val="auto"/>
                      <w:szCs w:val="21"/>
                      <w:highlight w:val="none"/>
                    </w:rPr>
                    <w:t>.</w:t>
                  </w:r>
                  <w:r>
                    <w:rPr>
                      <w:rFonts w:hint="eastAsia"/>
                      <w:color w:val="auto"/>
                      <w:szCs w:val="21"/>
                      <w:highlight w:val="none"/>
                      <w:lang w:val="en-US" w:eastAsia="zh-CN"/>
                    </w:rPr>
                    <w:t>12</w:t>
                  </w:r>
                  <w:r>
                    <w:rPr>
                      <w:rFonts w:hint="default"/>
                      <w:color w:val="auto"/>
                      <w:szCs w:val="21"/>
                      <w:highlight w:val="none"/>
                    </w:rPr>
                    <w:t>.</w:t>
                  </w:r>
                  <w:r>
                    <w:rPr>
                      <w:rFonts w:hint="eastAsia"/>
                      <w:color w:val="auto"/>
                      <w:szCs w:val="21"/>
                      <w:highlight w:val="none"/>
                      <w:lang w:val="en-US" w:eastAsia="zh-CN"/>
                    </w:rPr>
                    <w:t>14</w:t>
                  </w:r>
                  <w:r>
                    <w:rPr>
                      <w:rFonts w:hint="default"/>
                      <w:color w:val="auto"/>
                      <w:szCs w:val="21"/>
                      <w:highlight w:val="none"/>
                    </w:rPr>
                    <w:t>-20</w:t>
                  </w:r>
                  <w:r>
                    <w:rPr>
                      <w:rFonts w:hint="eastAsia"/>
                      <w:color w:val="auto"/>
                      <w:szCs w:val="21"/>
                      <w:highlight w:val="none"/>
                      <w:lang w:val="en-US" w:eastAsia="zh-CN"/>
                    </w:rPr>
                    <w:t>23</w:t>
                  </w:r>
                  <w:r>
                    <w:rPr>
                      <w:rFonts w:hint="default"/>
                      <w:color w:val="auto"/>
                      <w:szCs w:val="21"/>
                      <w:highlight w:val="none"/>
                    </w:rPr>
                    <w:t>.</w:t>
                  </w:r>
                  <w:r>
                    <w:rPr>
                      <w:rFonts w:hint="eastAsia"/>
                      <w:color w:val="auto"/>
                      <w:szCs w:val="21"/>
                      <w:highlight w:val="none"/>
                      <w:lang w:val="en-US" w:eastAsia="zh-CN"/>
                    </w:rPr>
                    <w:t>12</w:t>
                  </w:r>
                  <w:r>
                    <w:rPr>
                      <w:rFonts w:hint="default"/>
                      <w:color w:val="auto"/>
                      <w:szCs w:val="21"/>
                      <w:highlight w:val="none"/>
                    </w:rPr>
                    <w:t>.</w:t>
                  </w:r>
                  <w:r>
                    <w:rPr>
                      <w:rFonts w:hint="eastAsia"/>
                      <w:color w:val="auto"/>
                      <w:szCs w:val="21"/>
                      <w:highlight w:val="none"/>
                      <w:lang w:val="en-US" w:eastAsia="zh-CN"/>
                    </w:rPr>
                    <w:t>16</w:t>
                  </w:r>
                </w:p>
              </w:tc>
              <w:tc>
                <w:tcPr>
                  <w:tcW w:w="551" w:type="pct"/>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NW</w:t>
                  </w:r>
                </w:p>
              </w:tc>
              <w:tc>
                <w:tcPr>
                  <w:tcW w:w="254" w:type="pct"/>
                  <w:tcBorders>
                    <w:tl2br w:val="nil"/>
                    <w:tr2bl w:val="nil"/>
                  </w:tcBorders>
                  <w:noWrap w:val="0"/>
                  <w:tcMar>
                    <w:top w:w="15" w:type="dxa"/>
                    <w:left w:w="15" w:type="dxa"/>
                    <w:right w:w="15" w:type="dxa"/>
                  </w:tcMar>
                  <w:vAlign w:val="center"/>
                </w:tcPr>
                <w:p>
                  <w:pPr>
                    <w:keepNext w:val="0"/>
                    <w:keepLines w:val="0"/>
                    <w:pageBreakBefore w:val="0"/>
                    <w:shd w:val="clear"/>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569</w:t>
                  </w:r>
                </w:p>
              </w:tc>
            </w:tr>
          </w:tbl>
          <w:p>
            <w:pPr>
              <w:keepNext w:val="0"/>
              <w:keepLines w:val="0"/>
              <w:pageBreakBefore w:val="0"/>
              <w:widowControl w:val="0"/>
              <w:shd w:val="clear"/>
              <w:kinsoku/>
              <w:wordWrap w:val="0"/>
              <w:overflowPunct/>
              <w:topLinePunct w:val="0"/>
              <w:autoSpaceDE/>
              <w:autoSpaceDN/>
              <w:bidi w:val="0"/>
              <w:adjustRightInd/>
              <w:snapToGrid/>
              <w:spacing w:line="300" w:lineRule="exact"/>
              <w:jc w:val="center"/>
              <w:textAlignment w:val="auto"/>
              <w:rPr>
                <w:b/>
                <w:bCs w:val="0"/>
                <w:color w:val="auto"/>
                <w:sz w:val="24"/>
              </w:rPr>
            </w:pPr>
            <w:r>
              <w:rPr>
                <w:rFonts w:ascii="Times New Roman" w:hAnsi="Times New Roman" w:eastAsia="宋体" w:cs="Times New Roman"/>
                <w:b/>
                <w:bCs w:val="0"/>
                <w:color w:val="auto"/>
                <w:sz w:val="24"/>
                <w:szCs w:val="24"/>
              </w:rPr>
              <w:t>表3-</w:t>
            </w:r>
            <w:r>
              <w:rPr>
                <w:rFonts w:hint="eastAsia" w:ascii="Times New Roman" w:hAnsi="Times New Roman" w:cs="Times New Roman"/>
                <w:b/>
                <w:bCs w:val="0"/>
                <w:color w:val="auto"/>
                <w:sz w:val="24"/>
                <w:szCs w:val="24"/>
                <w:lang w:val="en-US" w:eastAsia="zh-CN"/>
              </w:rPr>
              <w:t>4</w:t>
            </w:r>
            <w:r>
              <w:rPr>
                <w:rFonts w:ascii="Times New Roman" w:hAnsi="Times New Roman" w:eastAsia="宋体" w:cs="Times New Roman"/>
                <w:b/>
                <w:bCs w:val="0"/>
                <w:color w:val="auto"/>
                <w:sz w:val="24"/>
                <w:szCs w:val="24"/>
              </w:rPr>
              <w:t xml:space="preserve">  其他污染物监测结果</w:t>
            </w:r>
          </w:p>
          <w:tbl>
            <w:tblPr>
              <w:tblStyle w:val="27"/>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35"/>
              <w:gridCol w:w="1447"/>
              <w:gridCol w:w="1969"/>
              <w:gridCol w:w="1979"/>
              <w:gridCol w:w="148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912" w:type="pct"/>
                  <w:tcBorders>
                    <w:top w:val="single" w:color="000000" w:sz="12" w:space="0"/>
                    <w:bottom w:val="single" w:color="000000" w:sz="8" w:space="0"/>
                  </w:tcBorders>
                  <w:noWrap w:val="0"/>
                  <w:vAlign w:val="center"/>
                </w:tcPr>
                <w:p>
                  <w:pPr>
                    <w:shd w:val="clear"/>
                    <w:spacing w:line="240" w:lineRule="auto"/>
                    <w:jc w:val="center"/>
                    <w:rPr>
                      <w:rFonts w:hint="eastAsia"/>
                      <w:color w:val="auto"/>
                      <w:sz w:val="21"/>
                      <w:szCs w:val="21"/>
                    </w:rPr>
                  </w:pPr>
                  <w:r>
                    <w:rPr>
                      <w:rFonts w:hint="eastAsia"/>
                      <w:color w:val="auto"/>
                      <w:sz w:val="21"/>
                      <w:szCs w:val="21"/>
                    </w:rPr>
                    <w:t>采样日期</w:t>
                  </w:r>
                </w:p>
              </w:tc>
              <w:tc>
                <w:tcPr>
                  <w:tcW w:w="859" w:type="pct"/>
                  <w:tcBorders>
                    <w:top w:val="single" w:color="000000" w:sz="12" w:space="0"/>
                    <w:bottom w:val="single" w:color="000000" w:sz="8" w:space="0"/>
                  </w:tcBorders>
                  <w:noWrap w:val="0"/>
                  <w:vAlign w:val="center"/>
                </w:tcPr>
                <w:p>
                  <w:pPr>
                    <w:shd w:val="clear"/>
                    <w:spacing w:line="240" w:lineRule="auto"/>
                    <w:jc w:val="center"/>
                    <w:rPr>
                      <w:rFonts w:hint="eastAsia"/>
                      <w:color w:val="auto"/>
                      <w:sz w:val="21"/>
                      <w:szCs w:val="21"/>
                    </w:rPr>
                  </w:pPr>
                  <w:r>
                    <w:rPr>
                      <w:rFonts w:hint="eastAsia"/>
                      <w:color w:val="auto"/>
                      <w:sz w:val="21"/>
                      <w:szCs w:val="21"/>
                    </w:rPr>
                    <w:t>结果类型</w:t>
                  </w:r>
                </w:p>
              </w:tc>
              <w:tc>
                <w:tcPr>
                  <w:tcW w:w="1169" w:type="pct"/>
                  <w:tcBorders>
                    <w:top w:val="single" w:color="000000" w:sz="12" w:space="0"/>
                    <w:bottom w:val="single" w:color="000000" w:sz="8" w:space="0"/>
                  </w:tcBorders>
                  <w:noWrap w:val="0"/>
                  <w:vAlign w:val="center"/>
                </w:tcPr>
                <w:p>
                  <w:pPr>
                    <w:shd w:val="clear"/>
                    <w:spacing w:line="240" w:lineRule="auto"/>
                    <w:jc w:val="center"/>
                    <w:rPr>
                      <w:rFonts w:hint="eastAsia"/>
                      <w:color w:val="auto"/>
                      <w:sz w:val="21"/>
                      <w:szCs w:val="21"/>
                    </w:rPr>
                  </w:pPr>
                  <w:r>
                    <w:rPr>
                      <w:rFonts w:hint="eastAsia"/>
                      <w:color w:val="auto"/>
                      <w:sz w:val="21"/>
                      <w:szCs w:val="21"/>
                    </w:rPr>
                    <w:t>样品编号</w:t>
                  </w:r>
                </w:p>
              </w:tc>
              <w:tc>
                <w:tcPr>
                  <w:tcW w:w="1175" w:type="pct"/>
                  <w:tcBorders>
                    <w:top w:val="single" w:color="000000" w:sz="12" w:space="0"/>
                    <w:bottom w:val="single" w:color="000000" w:sz="8" w:space="0"/>
                  </w:tcBorders>
                  <w:noWrap w:val="0"/>
                  <w:vAlign w:val="center"/>
                </w:tcPr>
                <w:p>
                  <w:pPr>
                    <w:shd w:val="clear"/>
                    <w:spacing w:line="240" w:lineRule="auto"/>
                    <w:jc w:val="center"/>
                    <w:rPr>
                      <w:rFonts w:hint="eastAsia"/>
                      <w:color w:val="auto"/>
                      <w:sz w:val="21"/>
                      <w:szCs w:val="21"/>
                    </w:rPr>
                  </w:pPr>
                  <w:r>
                    <w:rPr>
                      <w:rFonts w:hint="eastAsia"/>
                      <w:color w:val="auto"/>
                      <w:sz w:val="21"/>
                      <w:szCs w:val="21"/>
                    </w:rPr>
                    <w:t>总悬浮颗粒物浓度</w:t>
                  </w:r>
                </w:p>
              </w:tc>
              <w:tc>
                <w:tcPr>
                  <w:tcW w:w="883" w:type="pct"/>
                  <w:tcBorders>
                    <w:top w:val="single" w:color="000000" w:sz="12" w:space="0"/>
                    <w:bottom w:val="single" w:color="000000" w:sz="8" w:space="0"/>
                  </w:tcBorders>
                  <w:noWrap w:val="0"/>
                  <w:vAlign w:val="center"/>
                </w:tcPr>
                <w:p>
                  <w:pPr>
                    <w:shd w:val="clear"/>
                    <w:spacing w:line="240" w:lineRule="auto"/>
                    <w:jc w:val="center"/>
                    <w:rPr>
                      <w:rFonts w:hint="eastAsia"/>
                      <w:color w:val="auto"/>
                      <w:sz w:val="21"/>
                      <w:szCs w:val="21"/>
                    </w:rPr>
                  </w:pPr>
                  <w:r>
                    <w:rPr>
                      <w:rFonts w:hint="eastAsia"/>
                      <w:color w:val="auto"/>
                      <w:sz w:val="21"/>
                      <w:szCs w:val="21"/>
                    </w:rPr>
                    <w:t>单位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12" w:type="pct"/>
                  <w:noWrap w:val="0"/>
                  <w:vAlign w:val="center"/>
                </w:tcPr>
                <w:p>
                  <w:pPr>
                    <w:shd w:val="clear"/>
                    <w:spacing w:line="240" w:lineRule="auto"/>
                    <w:jc w:val="center"/>
                    <w:rPr>
                      <w:rFonts w:ascii="宋体" w:hAnsi="宋体" w:cs="仿宋"/>
                      <w:color w:val="auto"/>
                      <w:sz w:val="21"/>
                      <w:szCs w:val="21"/>
                    </w:rPr>
                  </w:pPr>
                  <w:r>
                    <w:rPr>
                      <w:rFonts w:hint="eastAsia"/>
                      <w:color w:val="auto"/>
                      <w:sz w:val="21"/>
                      <w:szCs w:val="21"/>
                    </w:rPr>
                    <w:t>12</w:t>
                  </w:r>
                  <w:r>
                    <w:rPr>
                      <w:rFonts w:hint="eastAsia" w:ascii="宋体" w:hAnsi="宋体" w:cs="仿宋"/>
                      <w:color w:val="auto"/>
                      <w:sz w:val="21"/>
                      <w:szCs w:val="21"/>
                    </w:rPr>
                    <w:t>月</w:t>
                  </w:r>
                  <w:r>
                    <w:rPr>
                      <w:rFonts w:hint="eastAsia"/>
                      <w:color w:val="auto"/>
                      <w:sz w:val="21"/>
                      <w:szCs w:val="21"/>
                    </w:rPr>
                    <w:t>14</w:t>
                  </w:r>
                  <w:r>
                    <w:rPr>
                      <w:rFonts w:hint="eastAsia" w:ascii="宋体" w:hAnsi="宋体" w:cs="仿宋"/>
                      <w:color w:val="auto"/>
                      <w:sz w:val="21"/>
                      <w:szCs w:val="21"/>
                    </w:rPr>
                    <w:t>日</w:t>
                  </w:r>
                </w:p>
              </w:tc>
              <w:tc>
                <w:tcPr>
                  <w:tcW w:w="859" w:type="pct"/>
                  <w:noWrap w:val="0"/>
                  <w:vAlign w:val="center"/>
                </w:tcPr>
                <w:p>
                  <w:pPr>
                    <w:shd w:val="clear"/>
                    <w:spacing w:line="240" w:lineRule="auto"/>
                    <w:jc w:val="center"/>
                    <w:rPr>
                      <w:rFonts w:ascii="宋体" w:hAnsi="宋体" w:cs="仿宋"/>
                      <w:color w:val="auto"/>
                      <w:sz w:val="21"/>
                      <w:szCs w:val="21"/>
                    </w:rPr>
                  </w:pPr>
                  <w:r>
                    <w:rPr>
                      <w:rFonts w:hint="eastAsia" w:ascii="宋体" w:hAnsi="宋体" w:cs="仿宋"/>
                      <w:color w:val="auto"/>
                      <w:sz w:val="21"/>
                      <w:szCs w:val="21"/>
                    </w:rPr>
                    <w:t>日均值</w:t>
                  </w:r>
                </w:p>
              </w:tc>
              <w:tc>
                <w:tcPr>
                  <w:tcW w:w="1169" w:type="pct"/>
                  <w:noWrap w:val="0"/>
                  <w:vAlign w:val="center"/>
                </w:tcPr>
                <w:p>
                  <w:pPr>
                    <w:shd w:val="clear"/>
                    <w:spacing w:line="240" w:lineRule="auto"/>
                    <w:jc w:val="center"/>
                    <w:rPr>
                      <w:rFonts w:ascii="宋体" w:hAnsi="宋体" w:cs="仿宋"/>
                      <w:b/>
                      <w:color w:val="auto"/>
                      <w:sz w:val="21"/>
                      <w:szCs w:val="21"/>
                    </w:rPr>
                  </w:pPr>
                  <w:r>
                    <w:rPr>
                      <w:color w:val="auto"/>
                      <w:sz w:val="21"/>
                      <w:szCs w:val="21"/>
                    </w:rPr>
                    <w:t>K</w:t>
                  </w:r>
                  <w:r>
                    <w:rPr>
                      <w:rFonts w:hint="eastAsia"/>
                      <w:color w:val="auto"/>
                      <w:sz w:val="21"/>
                      <w:szCs w:val="21"/>
                      <w:vertAlign w:val="subscript"/>
                    </w:rPr>
                    <w:t>902</w:t>
                  </w:r>
                  <w:r>
                    <w:rPr>
                      <w:rFonts w:hint="eastAsia" w:ascii="宋体" w:hAnsi="宋体" w:cs="仿宋"/>
                      <w:color w:val="auto"/>
                      <w:sz w:val="21"/>
                      <w:szCs w:val="21"/>
                      <w:vertAlign w:val="subscript"/>
                    </w:rPr>
                    <w:t>TSP</w:t>
                  </w:r>
                  <w:r>
                    <w:rPr>
                      <w:rFonts w:hint="eastAsia"/>
                      <w:color w:val="auto"/>
                      <w:sz w:val="21"/>
                      <w:szCs w:val="21"/>
                    </w:rPr>
                    <w:t>2312141-1</w:t>
                  </w:r>
                </w:p>
              </w:tc>
              <w:tc>
                <w:tcPr>
                  <w:tcW w:w="1175" w:type="pct"/>
                  <w:noWrap w:val="0"/>
                  <w:vAlign w:val="center"/>
                </w:tcPr>
                <w:p>
                  <w:pPr>
                    <w:shd w:val="clear"/>
                    <w:spacing w:line="240" w:lineRule="auto"/>
                    <w:jc w:val="center"/>
                    <w:rPr>
                      <w:rFonts w:hint="eastAsia"/>
                      <w:color w:val="auto"/>
                      <w:sz w:val="21"/>
                      <w:szCs w:val="21"/>
                    </w:rPr>
                  </w:pPr>
                  <w:r>
                    <w:rPr>
                      <w:rFonts w:hint="eastAsia"/>
                      <w:color w:val="auto"/>
                      <w:sz w:val="21"/>
                      <w:szCs w:val="21"/>
                    </w:rPr>
                    <w:t>0.102</w:t>
                  </w:r>
                </w:p>
              </w:tc>
              <w:tc>
                <w:tcPr>
                  <w:tcW w:w="883" w:type="pct"/>
                  <w:noWrap w:val="0"/>
                  <w:vAlign w:val="center"/>
                </w:tcPr>
                <w:p>
                  <w:pPr>
                    <w:shd w:val="clear"/>
                    <w:spacing w:line="240" w:lineRule="auto"/>
                    <w:jc w:val="center"/>
                    <w:rPr>
                      <w:color w:val="auto"/>
                      <w:sz w:val="21"/>
                      <w:szCs w:val="21"/>
                    </w:rPr>
                  </w:pPr>
                  <w:r>
                    <w:rPr>
                      <w:color w:val="auto"/>
                      <w:sz w:val="21"/>
                      <w:szCs w:val="21"/>
                    </w:rPr>
                    <w:t>mg/m</w:t>
                  </w:r>
                  <w:r>
                    <w:rPr>
                      <w:color w:val="auto"/>
                      <w:sz w:val="21"/>
                      <w:szCs w:val="21"/>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12" w:type="pct"/>
                  <w:noWrap w:val="0"/>
                  <w:vAlign w:val="center"/>
                </w:tcPr>
                <w:p>
                  <w:pPr>
                    <w:shd w:val="clear"/>
                    <w:spacing w:line="240" w:lineRule="auto"/>
                    <w:jc w:val="center"/>
                    <w:rPr>
                      <w:rFonts w:ascii="宋体" w:hAnsi="宋体" w:cs="仿宋"/>
                      <w:color w:val="auto"/>
                      <w:sz w:val="21"/>
                      <w:szCs w:val="21"/>
                    </w:rPr>
                  </w:pPr>
                  <w:r>
                    <w:rPr>
                      <w:rFonts w:hint="eastAsia"/>
                      <w:color w:val="auto"/>
                      <w:sz w:val="21"/>
                      <w:szCs w:val="21"/>
                    </w:rPr>
                    <w:t>12</w:t>
                  </w:r>
                  <w:r>
                    <w:rPr>
                      <w:rFonts w:hint="eastAsia" w:ascii="宋体" w:hAnsi="宋体" w:cs="仿宋"/>
                      <w:color w:val="auto"/>
                      <w:sz w:val="21"/>
                      <w:szCs w:val="21"/>
                    </w:rPr>
                    <w:t>月</w:t>
                  </w:r>
                  <w:r>
                    <w:rPr>
                      <w:rFonts w:hint="eastAsia"/>
                      <w:color w:val="auto"/>
                      <w:sz w:val="21"/>
                      <w:szCs w:val="21"/>
                    </w:rPr>
                    <w:t>15</w:t>
                  </w:r>
                  <w:r>
                    <w:rPr>
                      <w:rFonts w:hint="eastAsia" w:ascii="宋体" w:hAnsi="宋体" w:cs="仿宋"/>
                      <w:color w:val="auto"/>
                      <w:sz w:val="21"/>
                      <w:szCs w:val="21"/>
                    </w:rPr>
                    <w:t>日</w:t>
                  </w:r>
                </w:p>
              </w:tc>
              <w:tc>
                <w:tcPr>
                  <w:tcW w:w="859" w:type="pct"/>
                  <w:noWrap w:val="0"/>
                  <w:vAlign w:val="center"/>
                </w:tcPr>
                <w:p>
                  <w:pPr>
                    <w:shd w:val="clear"/>
                    <w:spacing w:line="240" w:lineRule="auto"/>
                    <w:jc w:val="center"/>
                    <w:rPr>
                      <w:rFonts w:ascii="宋体" w:hAnsi="宋体" w:cs="仿宋"/>
                      <w:color w:val="auto"/>
                      <w:sz w:val="21"/>
                      <w:szCs w:val="21"/>
                    </w:rPr>
                  </w:pPr>
                  <w:r>
                    <w:rPr>
                      <w:rFonts w:hint="eastAsia" w:ascii="宋体" w:hAnsi="宋体" w:cs="仿宋"/>
                      <w:color w:val="auto"/>
                      <w:sz w:val="21"/>
                      <w:szCs w:val="21"/>
                    </w:rPr>
                    <w:t>日均值</w:t>
                  </w:r>
                </w:p>
              </w:tc>
              <w:tc>
                <w:tcPr>
                  <w:tcW w:w="1169" w:type="pct"/>
                  <w:noWrap w:val="0"/>
                  <w:vAlign w:val="center"/>
                </w:tcPr>
                <w:p>
                  <w:pPr>
                    <w:shd w:val="clear"/>
                    <w:spacing w:line="240" w:lineRule="auto"/>
                    <w:jc w:val="center"/>
                    <w:rPr>
                      <w:rFonts w:ascii="宋体" w:hAnsi="宋体" w:cs="仿宋"/>
                      <w:b/>
                      <w:color w:val="auto"/>
                      <w:sz w:val="21"/>
                      <w:szCs w:val="21"/>
                    </w:rPr>
                  </w:pPr>
                  <w:r>
                    <w:rPr>
                      <w:color w:val="auto"/>
                      <w:sz w:val="21"/>
                      <w:szCs w:val="21"/>
                    </w:rPr>
                    <w:t>K</w:t>
                  </w:r>
                  <w:r>
                    <w:rPr>
                      <w:rFonts w:hint="eastAsia"/>
                      <w:color w:val="auto"/>
                      <w:sz w:val="21"/>
                      <w:szCs w:val="21"/>
                      <w:vertAlign w:val="subscript"/>
                    </w:rPr>
                    <w:t>902</w:t>
                  </w:r>
                  <w:r>
                    <w:rPr>
                      <w:rFonts w:hint="eastAsia" w:ascii="宋体" w:hAnsi="宋体" w:cs="仿宋"/>
                      <w:color w:val="auto"/>
                      <w:sz w:val="21"/>
                      <w:szCs w:val="21"/>
                      <w:vertAlign w:val="subscript"/>
                    </w:rPr>
                    <w:t>TSP</w:t>
                  </w:r>
                  <w:r>
                    <w:rPr>
                      <w:rFonts w:hint="eastAsia"/>
                      <w:color w:val="auto"/>
                      <w:sz w:val="21"/>
                      <w:szCs w:val="21"/>
                    </w:rPr>
                    <w:t>2312151-1</w:t>
                  </w:r>
                </w:p>
              </w:tc>
              <w:tc>
                <w:tcPr>
                  <w:tcW w:w="1175" w:type="pct"/>
                  <w:noWrap w:val="0"/>
                  <w:vAlign w:val="center"/>
                </w:tcPr>
                <w:p>
                  <w:pPr>
                    <w:shd w:val="clear"/>
                    <w:spacing w:line="240" w:lineRule="auto"/>
                    <w:jc w:val="center"/>
                    <w:rPr>
                      <w:rFonts w:hint="eastAsia"/>
                      <w:color w:val="auto"/>
                      <w:sz w:val="21"/>
                      <w:szCs w:val="21"/>
                    </w:rPr>
                  </w:pPr>
                  <w:r>
                    <w:rPr>
                      <w:rFonts w:hint="eastAsia"/>
                      <w:color w:val="auto"/>
                      <w:sz w:val="21"/>
                      <w:szCs w:val="21"/>
                    </w:rPr>
                    <w:t>0.094</w:t>
                  </w:r>
                </w:p>
              </w:tc>
              <w:tc>
                <w:tcPr>
                  <w:tcW w:w="883" w:type="pct"/>
                  <w:noWrap w:val="0"/>
                  <w:vAlign w:val="center"/>
                </w:tcPr>
                <w:p>
                  <w:pPr>
                    <w:shd w:val="clear"/>
                    <w:spacing w:line="240" w:lineRule="auto"/>
                    <w:jc w:val="center"/>
                    <w:rPr>
                      <w:color w:val="auto"/>
                      <w:sz w:val="21"/>
                      <w:szCs w:val="21"/>
                    </w:rPr>
                  </w:pPr>
                  <w:r>
                    <w:rPr>
                      <w:color w:val="auto"/>
                      <w:sz w:val="21"/>
                      <w:szCs w:val="21"/>
                    </w:rPr>
                    <w:t>mg/m</w:t>
                  </w:r>
                  <w:r>
                    <w:rPr>
                      <w:color w:val="auto"/>
                      <w:sz w:val="21"/>
                      <w:szCs w:val="21"/>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12" w:type="pct"/>
                  <w:tcBorders>
                    <w:bottom w:val="single" w:color="000000" w:sz="12" w:space="0"/>
                  </w:tcBorders>
                  <w:noWrap w:val="0"/>
                  <w:vAlign w:val="center"/>
                </w:tcPr>
                <w:p>
                  <w:pPr>
                    <w:shd w:val="clear"/>
                    <w:spacing w:line="240" w:lineRule="auto"/>
                    <w:jc w:val="center"/>
                    <w:rPr>
                      <w:rFonts w:hint="eastAsia"/>
                      <w:color w:val="auto"/>
                      <w:sz w:val="21"/>
                      <w:szCs w:val="21"/>
                    </w:rPr>
                  </w:pPr>
                  <w:r>
                    <w:rPr>
                      <w:rFonts w:hint="eastAsia"/>
                      <w:color w:val="auto"/>
                      <w:sz w:val="21"/>
                      <w:szCs w:val="21"/>
                    </w:rPr>
                    <w:t>12</w:t>
                  </w:r>
                  <w:r>
                    <w:rPr>
                      <w:rFonts w:hint="eastAsia" w:ascii="宋体" w:hAnsi="宋体" w:cs="仿宋"/>
                      <w:color w:val="auto"/>
                      <w:sz w:val="21"/>
                      <w:szCs w:val="21"/>
                    </w:rPr>
                    <w:t>月</w:t>
                  </w:r>
                  <w:r>
                    <w:rPr>
                      <w:rFonts w:hint="eastAsia"/>
                      <w:color w:val="auto"/>
                      <w:sz w:val="21"/>
                      <w:szCs w:val="21"/>
                    </w:rPr>
                    <w:t>16</w:t>
                  </w:r>
                  <w:r>
                    <w:rPr>
                      <w:rFonts w:hint="eastAsia" w:ascii="宋体" w:hAnsi="宋体" w:cs="仿宋"/>
                      <w:color w:val="auto"/>
                      <w:sz w:val="21"/>
                      <w:szCs w:val="21"/>
                    </w:rPr>
                    <w:t>日</w:t>
                  </w:r>
                </w:p>
              </w:tc>
              <w:tc>
                <w:tcPr>
                  <w:tcW w:w="859" w:type="pct"/>
                  <w:tcBorders>
                    <w:bottom w:val="single" w:color="000000" w:sz="12" w:space="0"/>
                  </w:tcBorders>
                  <w:noWrap w:val="0"/>
                  <w:vAlign w:val="center"/>
                </w:tcPr>
                <w:p>
                  <w:pPr>
                    <w:shd w:val="clear"/>
                    <w:spacing w:line="240" w:lineRule="auto"/>
                    <w:jc w:val="center"/>
                    <w:rPr>
                      <w:rFonts w:hint="eastAsia" w:ascii="宋体" w:hAnsi="宋体" w:cs="仿宋"/>
                      <w:color w:val="auto"/>
                      <w:sz w:val="21"/>
                      <w:szCs w:val="21"/>
                    </w:rPr>
                  </w:pPr>
                  <w:r>
                    <w:rPr>
                      <w:rFonts w:hint="eastAsia" w:ascii="宋体" w:hAnsi="宋体" w:cs="仿宋"/>
                      <w:color w:val="auto"/>
                      <w:sz w:val="21"/>
                      <w:szCs w:val="21"/>
                    </w:rPr>
                    <w:t>日均值</w:t>
                  </w:r>
                </w:p>
              </w:tc>
              <w:tc>
                <w:tcPr>
                  <w:tcW w:w="1169" w:type="pct"/>
                  <w:tcBorders>
                    <w:bottom w:val="single" w:color="000000" w:sz="12" w:space="0"/>
                  </w:tcBorders>
                  <w:noWrap w:val="0"/>
                  <w:vAlign w:val="center"/>
                </w:tcPr>
                <w:p>
                  <w:pPr>
                    <w:shd w:val="clear"/>
                    <w:spacing w:line="240" w:lineRule="auto"/>
                    <w:jc w:val="center"/>
                    <w:rPr>
                      <w:color w:val="auto"/>
                      <w:sz w:val="21"/>
                      <w:szCs w:val="21"/>
                    </w:rPr>
                  </w:pPr>
                  <w:r>
                    <w:rPr>
                      <w:color w:val="auto"/>
                      <w:sz w:val="21"/>
                      <w:szCs w:val="21"/>
                    </w:rPr>
                    <w:t>K</w:t>
                  </w:r>
                  <w:r>
                    <w:rPr>
                      <w:rFonts w:hint="eastAsia"/>
                      <w:color w:val="auto"/>
                      <w:sz w:val="21"/>
                      <w:szCs w:val="21"/>
                      <w:vertAlign w:val="subscript"/>
                    </w:rPr>
                    <w:t>902</w:t>
                  </w:r>
                  <w:r>
                    <w:rPr>
                      <w:rFonts w:hint="eastAsia" w:ascii="宋体" w:hAnsi="宋体" w:cs="仿宋"/>
                      <w:color w:val="auto"/>
                      <w:sz w:val="21"/>
                      <w:szCs w:val="21"/>
                      <w:vertAlign w:val="subscript"/>
                    </w:rPr>
                    <w:t>TSP</w:t>
                  </w:r>
                  <w:r>
                    <w:rPr>
                      <w:rFonts w:hint="eastAsia"/>
                      <w:color w:val="auto"/>
                      <w:sz w:val="21"/>
                      <w:szCs w:val="21"/>
                    </w:rPr>
                    <w:t>2312161-1</w:t>
                  </w:r>
                </w:p>
              </w:tc>
              <w:tc>
                <w:tcPr>
                  <w:tcW w:w="1175" w:type="pct"/>
                  <w:tcBorders>
                    <w:bottom w:val="single" w:color="000000" w:sz="12" w:space="0"/>
                  </w:tcBorders>
                  <w:noWrap w:val="0"/>
                  <w:vAlign w:val="center"/>
                </w:tcPr>
                <w:p>
                  <w:pPr>
                    <w:shd w:val="clear"/>
                    <w:spacing w:line="240" w:lineRule="auto"/>
                    <w:jc w:val="center"/>
                    <w:rPr>
                      <w:color w:val="auto"/>
                      <w:sz w:val="21"/>
                      <w:szCs w:val="21"/>
                    </w:rPr>
                  </w:pPr>
                  <w:r>
                    <w:rPr>
                      <w:rFonts w:hint="eastAsia"/>
                      <w:color w:val="auto"/>
                      <w:sz w:val="21"/>
                      <w:szCs w:val="21"/>
                    </w:rPr>
                    <w:t>0.115</w:t>
                  </w:r>
                </w:p>
              </w:tc>
              <w:tc>
                <w:tcPr>
                  <w:tcW w:w="883" w:type="pct"/>
                  <w:tcBorders>
                    <w:bottom w:val="single" w:color="000000" w:sz="12" w:space="0"/>
                  </w:tcBorders>
                  <w:noWrap w:val="0"/>
                  <w:vAlign w:val="center"/>
                </w:tcPr>
                <w:p>
                  <w:pPr>
                    <w:shd w:val="clear"/>
                    <w:spacing w:line="240" w:lineRule="auto"/>
                    <w:jc w:val="center"/>
                    <w:rPr>
                      <w:color w:val="auto"/>
                      <w:sz w:val="21"/>
                      <w:szCs w:val="21"/>
                    </w:rPr>
                  </w:pPr>
                  <w:r>
                    <w:rPr>
                      <w:color w:val="auto"/>
                      <w:sz w:val="21"/>
                      <w:szCs w:val="21"/>
                    </w:rPr>
                    <w:t>mg/m</w:t>
                  </w:r>
                  <w:r>
                    <w:rPr>
                      <w:color w:val="auto"/>
                      <w:sz w:val="21"/>
                      <w:szCs w:val="21"/>
                      <w:vertAlign w:val="superscript"/>
                    </w:rPr>
                    <w:t>3</w:t>
                  </w:r>
                </w:p>
              </w:tc>
            </w:tr>
          </w:tbl>
          <w:p>
            <w:pPr>
              <w:keepNext w:val="0"/>
              <w:keepLines w:val="0"/>
              <w:pageBreakBefore w:val="0"/>
              <w:widowControl w:val="0"/>
              <w:shd w:val="clear"/>
              <w:kinsoku/>
              <w:wordWrap/>
              <w:overflowPunct/>
              <w:topLinePunct w:val="0"/>
              <w:autoSpaceDE/>
              <w:autoSpaceDN/>
              <w:bidi w:val="0"/>
              <w:spacing w:line="360" w:lineRule="auto"/>
              <w:ind w:firstLine="480"/>
              <w:textAlignment w:val="auto"/>
              <w:rPr>
                <w:rFonts w:hint="default"/>
                <w:color w:val="auto"/>
                <w:sz w:val="24"/>
                <w:szCs w:val="24"/>
                <w:highlight w:val="none"/>
              </w:rPr>
            </w:pPr>
            <w:r>
              <w:rPr>
                <w:rFonts w:hint="default"/>
                <w:color w:val="auto"/>
                <w:sz w:val="24"/>
                <w:szCs w:val="24"/>
                <w:highlight w:val="none"/>
              </w:rPr>
              <w:t>（6）评价标准</w:t>
            </w:r>
          </w:p>
          <w:p>
            <w:pPr>
              <w:keepNext w:val="0"/>
              <w:keepLines w:val="0"/>
              <w:pageBreakBefore w:val="0"/>
              <w:widowControl w:val="0"/>
              <w:shd w:val="clear"/>
              <w:kinsoku/>
              <w:wordWrap/>
              <w:overflowPunct/>
              <w:topLinePunct w:val="0"/>
              <w:autoSpaceDE/>
              <w:autoSpaceDN/>
              <w:bidi w:val="0"/>
              <w:spacing w:line="360" w:lineRule="auto"/>
              <w:ind w:firstLine="480" w:firstLineChars="200"/>
              <w:textAlignment w:val="auto"/>
              <w:rPr>
                <w:rFonts w:hint="default"/>
                <w:color w:val="auto"/>
                <w:sz w:val="24"/>
                <w:szCs w:val="24"/>
                <w:highlight w:val="none"/>
              </w:rPr>
            </w:pPr>
            <w:r>
              <w:rPr>
                <w:rFonts w:hint="default"/>
                <w:color w:val="auto"/>
                <w:sz w:val="24"/>
                <w:szCs w:val="24"/>
                <w:highlight w:val="none"/>
              </w:rPr>
              <w:t>颗粒物环境质量标准采用</w:t>
            </w:r>
            <w:r>
              <w:rPr>
                <w:rFonts w:hint="default"/>
                <w:color w:val="auto"/>
                <w:sz w:val="24"/>
                <w:highlight w:val="none"/>
              </w:rPr>
              <w:t>《环境空气质量标准》（GB3095-2012）二级标准300ug/m</w:t>
            </w:r>
            <w:r>
              <w:rPr>
                <w:rFonts w:hint="default"/>
                <w:color w:val="auto"/>
                <w:sz w:val="24"/>
                <w:highlight w:val="none"/>
                <w:vertAlign w:val="superscript"/>
              </w:rPr>
              <w:t>3</w:t>
            </w:r>
            <w:r>
              <w:rPr>
                <w:rFonts w:hint="default"/>
                <w:color w:val="auto"/>
                <w:sz w:val="24"/>
                <w:szCs w:val="24"/>
                <w:highlight w:val="none"/>
              </w:rPr>
              <w:t>进行评价。</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textAlignment w:val="auto"/>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（7）环境空气质量现状评价结论</w:t>
            </w:r>
          </w:p>
          <w:p>
            <w:pPr>
              <w:pStyle w:val="23"/>
              <w:keepNext w:val="0"/>
              <w:keepLines w:val="0"/>
              <w:pageBreakBefore w:val="0"/>
              <w:shd w:val="clear"/>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hint="eastAsia" w:ascii="Times New Roman" w:hAnsi="Times New Roman" w:eastAsia="宋体"/>
                <w:color w:val="auto"/>
                <w:sz w:val="24"/>
                <w:szCs w:val="24"/>
                <w:highlight w:val="none"/>
                <w:lang w:val="en-US" w:eastAsia="zh-CN"/>
              </w:rPr>
            </w:pPr>
            <w:r>
              <w:rPr>
                <w:rFonts w:hint="default" w:ascii="Times New Roman" w:hAnsi="Times New Roman"/>
                <w:color w:val="auto"/>
                <w:sz w:val="24"/>
                <w:szCs w:val="24"/>
                <w:highlight w:val="none"/>
              </w:rPr>
              <w:t>特征污染物现状监测结果表明监测期间本项目所在区域的颗粒物满足《</w:t>
            </w:r>
            <w:r>
              <w:rPr>
                <w:rFonts w:hint="default" w:ascii="Times New Roman" w:hAnsi="Times New Roman"/>
                <w:color w:val="auto"/>
                <w:sz w:val="24"/>
                <w:highlight w:val="none"/>
              </w:rPr>
              <w:t>环境空气质量标准》（GB3095-2012）二级标准</w:t>
            </w:r>
            <w:r>
              <w:rPr>
                <w:rFonts w:hint="eastAsia" w:ascii="Times New Roman" w:hAnsi="Times New Roman"/>
                <w:color w:val="auto"/>
                <w:sz w:val="24"/>
                <w:highlight w:val="none"/>
                <w:lang w:eastAsia="zh-CN"/>
              </w:rPr>
              <w:t>。</w:t>
            </w:r>
          </w:p>
          <w:p>
            <w:pPr>
              <w:pStyle w:val="44"/>
              <w:shd w:val="clear"/>
              <w:spacing w:line="360" w:lineRule="auto"/>
              <w:rPr>
                <w:rFonts w:ascii="Times New Roman" w:hAnsi="Times New Roman"/>
                <w:color w:val="auto"/>
                <w:sz w:val="24"/>
              </w:rPr>
            </w:pPr>
            <w:r>
              <w:rPr>
                <w:rFonts w:ascii="Times New Roman" w:hAnsi="Times New Roman"/>
                <w:color w:val="auto"/>
                <w:sz w:val="24"/>
              </w:rPr>
              <w:t>二、地表水环境</w:t>
            </w:r>
          </w:p>
          <w:p>
            <w:pPr>
              <w:widowControl/>
              <w:shd w:val="clear"/>
              <w:spacing w:line="360" w:lineRule="auto"/>
              <w:ind w:firstLine="480" w:firstLineChars="200"/>
              <w:jc w:val="left"/>
              <w:rPr>
                <w:color w:val="auto"/>
                <w:kern w:val="0"/>
                <w:sz w:val="24"/>
                <w:szCs w:val="20"/>
              </w:rPr>
            </w:pPr>
            <w:r>
              <w:rPr>
                <w:color w:val="auto"/>
                <w:sz w:val="24"/>
              </w:rPr>
              <w:t>本项目位于黑龙江省绥化市海伦市乐业乡青山村，</w:t>
            </w:r>
            <w:r>
              <w:rPr>
                <w:color w:val="auto"/>
                <w:kern w:val="0"/>
                <w:sz w:val="24"/>
              </w:rPr>
              <w:t>纳污水体为扎音河，最终汇入通肯河。通肯河执行《地表水环境质量标准》（GB3838-2002）中Ⅲ类水体标准。本次评价地表水环境质量现状监测数据引用《2022年黑龙江省生态环境质量状况》数据。</w:t>
            </w:r>
            <w:r>
              <w:rPr>
                <w:color w:val="auto"/>
                <w:kern w:val="0"/>
                <w:sz w:val="24"/>
                <w:szCs w:val="20"/>
              </w:rPr>
              <w:t>绥化市地表水国家考核断面共10个，I-Ⅲ类水质比例为70.0%，无劣V类水质断面。与上年同期相比，I-Ⅲ类水质比例上升30.0个百分点，劣V类水质比例下降10.0个百分点。</w:t>
            </w:r>
          </w:p>
          <w:p>
            <w:pPr>
              <w:pStyle w:val="9"/>
              <w:shd w:val="clear"/>
              <w:rPr>
                <w:color w:val="auto"/>
              </w:rPr>
            </w:pPr>
          </w:p>
          <w:p>
            <w:pPr>
              <w:pStyle w:val="44"/>
              <w:shd w:val="clear"/>
              <w:spacing w:line="360" w:lineRule="auto"/>
              <w:rPr>
                <w:rFonts w:ascii="Times New Roman" w:hAnsi="Times New Roman" w:eastAsia="宋体" w:cs="Times New Roman"/>
                <w:color w:val="auto"/>
                <w:kern w:val="0"/>
                <w:sz w:val="24"/>
                <w:szCs w:val="24"/>
                <w:lang w:val="en-US" w:eastAsia="zh-CN" w:bidi="ar-SA"/>
              </w:rPr>
            </w:pPr>
            <w:r>
              <w:rPr>
                <w:rFonts w:ascii="Times New Roman" w:hAnsi="Times New Roman" w:eastAsia="宋体" w:cs="Times New Roman"/>
                <w:color w:val="auto"/>
                <w:kern w:val="0"/>
                <w:sz w:val="24"/>
                <w:szCs w:val="24"/>
                <w:lang w:val="en-US" w:eastAsia="zh-CN" w:bidi="ar-SA"/>
              </w:rPr>
              <w:t>三、声环境</w:t>
            </w:r>
          </w:p>
          <w:p>
            <w:pPr>
              <w:keepNext w:val="0"/>
              <w:keepLines w:val="0"/>
              <w:pageBreakBefore w:val="0"/>
              <w:widowControl/>
              <w:numPr>
                <w:ilvl w:val="0"/>
                <w:numId w:val="0"/>
              </w:numPr>
              <w:suppressLineNumbers w:val="0"/>
              <w:shd w:val="clea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本项目位于黑龙江省绥化市海伦市长发镇长建村刘海山屯，厂界东侧为农田、南侧隔40米树林为猪场、西侧为绥北路、北侧紧邻黑龙江福仁农业发展有限公司，隔道为大豆精选机加工厂</w:t>
            </w:r>
            <w:r>
              <w:rPr>
                <w:rFonts w:hint="default" w:ascii="Times New Roman" w:hAnsi="Times New Roman" w:eastAsia="宋体" w:cs="Times New Roman"/>
                <w:color w:val="auto"/>
                <w:kern w:val="0"/>
                <w:sz w:val="24"/>
                <w:szCs w:val="24"/>
                <w:lang w:val="en-US" w:eastAsia="zh-CN" w:bidi="ar-SA"/>
              </w:rPr>
              <w:t>，</w:t>
            </w:r>
            <w:r>
              <w:rPr>
                <w:rFonts w:hint="eastAsia" w:ascii="Times New Roman" w:hAnsi="Times New Roman" w:eastAsia="宋体" w:cs="Times New Roman"/>
                <w:color w:val="auto"/>
                <w:kern w:val="0"/>
                <w:sz w:val="24"/>
                <w:szCs w:val="24"/>
                <w:lang w:val="en-US" w:eastAsia="zh-CN" w:bidi="ar-SA"/>
              </w:rPr>
              <w:t>厂界外周边50米范围内无声环境保护目标，</w:t>
            </w:r>
            <w:r>
              <w:rPr>
                <w:rFonts w:ascii="Times New Roman" w:hAnsi="Times New Roman" w:eastAsia="宋体" w:cs="Times New Roman"/>
                <w:color w:val="auto"/>
                <w:kern w:val="0"/>
                <w:sz w:val="24"/>
                <w:szCs w:val="24"/>
                <w:lang w:val="en-US" w:eastAsia="zh-CN" w:bidi="ar-SA"/>
              </w:rPr>
              <w:t>属于声环境功能区划</w:t>
            </w:r>
            <w:r>
              <w:rPr>
                <w:rFonts w:hint="eastAsia" w:ascii="Times New Roman" w:hAnsi="Times New Roman" w:eastAsia="宋体" w:cs="Times New Roman"/>
                <w:color w:val="auto"/>
                <w:kern w:val="0"/>
                <w:sz w:val="24"/>
                <w:szCs w:val="24"/>
                <w:lang w:val="en-US" w:eastAsia="zh-CN" w:bidi="ar-SA"/>
              </w:rPr>
              <w:t>2类</w:t>
            </w:r>
            <w:r>
              <w:rPr>
                <w:rFonts w:ascii="Times New Roman" w:hAnsi="Times New Roman" w:eastAsia="宋体" w:cs="Times New Roman"/>
                <w:color w:val="auto"/>
                <w:kern w:val="0"/>
                <w:sz w:val="24"/>
                <w:szCs w:val="24"/>
                <w:lang w:val="en-US" w:eastAsia="zh-CN" w:bidi="ar-SA"/>
              </w:rPr>
              <w:t>区，执行GB3096-2008《声环境质量标准》</w:t>
            </w:r>
            <w:r>
              <w:rPr>
                <w:rFonts w:hint="eastAsia" w:ascii="Times New Roman" w:hAnsi="Times New Roman" w:eastAsia="宋体" w:cs="Times New Roman"/>
                <w:color w:val="auto"/>
                <w:kern w:val="0"/>
                <w:sz w:val="24"/>
                <w:szCs w:val="24"/>
                <w:lang w:val="en-US" w:eastAsia="zh-CN" w:bidi="ar-SA"/>
              </w:rPr>
              <w:t>2类</w:t>
            </w:r>
            <w:r>
              <w:rPr>
                <w:rFonts w:ascii="Times New Roman" w:hAnsi="Times New Roman" w:eastAsia="宋体" w:cs="Times New Roman"/>
                <w:color w:val="auto"/>
                <w:kern w:val="0"/>
                <w:sz w:val="24"/>
                <w:szCs w:val="24"/>
                <w:lang w:val="en-US" w:eastAsia="zh-CN" w:bidi="ar-SA"/>
              </w:rPr>
              <w:t>（昼间6</w:t>
            </w:r>
            <w:r>
              <w:rPr>
                <w:rFonts w:hint="eastAsia" w:ascii="Times New Roman" w:hAnsi="Times New Roman" w:eastAsia="宋体" w:cs="Times New Roman"/>
                <w:color w:val="auto"/>
                <w:kern w:val="0"/>
                <w:sz w:val="24"/>
                <w:szCs w:val="24"/>
                <w:lang w:val="en-US" w:eastAsia="zh-CN" w:bidi="ar-SA"/>
              </w:rPr>
              <w:t>0</w:t>
            </w:r>
            <w:r>
              <w:rPr>
                <w:rFonts w:ascii="Times New Roman" w:hAnsi="Times New Roman" w:eastAsia="宋体" w:cs="Times New Roman"/>
                <w:color w:val="auto"/>
                <w:kern w:val="0"/>
                <w:sz w:val="24"/>
                <w:szCs w:val="24"/>
                <w:lang w:val="en-US" w:eastAsia="zh-CN" w:bidi="ar-SA"/>
              </w:rPr>
              <w:t>dB(A)，夜间5</w:t>
            </w:r>
            <w:r>
              <w:rPr>
                <w:rFonts w:hint="eastAsia" w:ascii="Times New Roman" w:hAnsi="Times New Roman" w:eastAsia="宋体" w:cs="Times New Roman"/>
                <w:color w:val="auto"/>
                <w:kern w:val="0"/>
                <w:sz w:val="24"/>
                <w:szCs w:val="24"/>
                <w:lang w:val="en-US" w:eastAsia="zh-CN" w:bidi="ar-SA"/>
              </w:rPr>
              <w:t>0</w:t>
            </w:r>
            <w:r>
              <w:rPr>
                <w:rFonts w:ascii="Times New Roman" w:hAnsi="Times New Roman" w:eastAsia="宋体" w:cs="Times New Roman"/>
                <w:color w:val="auto"/>
                <w:kern w:val="0"/>
                <w:sz w:val="24"/>
                <w:szCs w:val="24"/>
                <w:lang w:val="en-US" w:eastAsia="zh-CN" w:bidi="ar-SA"/>
              </w:rPr>
              <w:t>dB(A)）标准限值</w:t>
            </w:r>
            <w:r>
              <w:rPr>
                <w:rFonts w:hint="eastAsia" w:ascii="Times New Roman" w:hAnsi="Times New Roman" w:eastAsia="宋体" w:cs="Times New Roman"/>
                <w:color w:val="auto"/>
                <w:kern w:val="0"/>
                <w:sz w:val="24"/>
                <w:szCs w:val="24"/>
                <w:lang w:val="en-US" w:eastAsia="zh-CN" w:bidi="ar-SA"/>
              </w:rPr>
              <w:t>。项目西侧为绥北路，根据《声环境功能区划分技术规范》（GB/T 15190-2014），相邻区域为 2 类声环境功能区，距交通干线边界线外35m±5m距离内的区域为4a类声环境功能区</w:t>
            </w:r>
            <w:r>
              <w:rPr>
                <w:rFonts w:ascii="Times New Roman" w:hAnsi="Times New Roman" w:eastAsia="宋体" w:cs="Times New Roman"/>
                <w:color w:val="auto"/>
                <w:kern w:val="0"/>
                <w:sz w:val="24"/>
                <w:szCs w:val="24"/>
                <w:lang w:val="en-US" w:eastAsia="zh-CN" w:bidi="ar-SA"/>
              </w:rPr>
              <w:t>，</w:t>
            </w:r>
            <w:r>
              <w:rPr>
                <w:rFonts w:hint="eastAsia" w:ascii="Times New Roman" w:hAnsi="Times New Roman" w:eastAsia="宋体" w:cs="Times New Roman"/>
                <w:color w:val="auto"/>
                <w:kern w:val="0"/>
                <w:sz w:val="24"/>
                <w:szCs w:val="24"/>
                <w:lang w:val="en-US" w:eastAsia="zh-CN" w:bidi="ar-SA"/>
              </w:rPr>
              <w:t>因此本项目西侧厂界</w:t>
            </w:r>
            <w:r>
              <w:rPr>
                <w:rFonts w:ascii="Times New Roman" w:hAnsi="Times New Roman" w:eastAsia="宋体" w:cs="Times New Roman"/>
                <w:color w:val="auto"/>
                <w:kern w:val="0"/>
                <w:sz w:val="24"/>
                <w:szCs w:val="24"/>
                <w:lang w:val="en-US" w:eastAsia="zh-CN" w:bidi="ar-SA"/>
              </w:rPr>
              <w:t>执行GB3096-2008《声环境质量标准》</w:t>
            </w:r>
            <w:r>
              <w:rPr>
                <w:rFonts w:hint="eastAsia" w:ascii="Times New Roman" w:hAnsi="Times New Roman" w:eastAsia="宋体" w:cs="Times New Roman"/>
                <w:color w:val="auto"/>
                <w:kern w:val="0"/>
                <w:sz w:val="24"/>
                <w:szCs w:val="24"/>
                <w:lang w:val="en-US" w:eastAsia="zh-CN" w:bidi="ar-SA"/>
              </w:rPr>
              <w:t>4a类</w:t>
            </w:r>
            <w:r>
              <w:rPr>
                <w:rFonts w:ascii="Times New Roman" w:hAnsi="Times New Roman" w:eastAsia="宋体" w:cs="Times New Roman"/>
                <w:color w:val="auto"/>
                <w:kern w:val="0"/>
                <w:sz w:val="24"/>
                <w:szCs w:val="24"/>
                <w:lang w:val="en-US" w:eastAsia="zh-CN" w:bidi="ar-SA"/>
              </w:rPr>
              <w:t>（昼间</w:t>
            </w:r>
            <w:r>
              <w:rPr>
                <w:rFonts w:hint="eastAsia" w:ascii="Times New Roman" w:hAnsi="Times New Roman" w:eastAsia="宋体" w:cs="Times New Roman"/>
                <w:color w:val="auto"/>
                <w:kern w:val="0"/>
                <w:sz w:val="24"/>
                <w:szCs w:val="24"/>
                <w:lang w:val="en-US" w:eastAsia="zh-CN" w:bidi="ar-SA"/>
              </w:rPr>
              <w:t>70</w:t>
            </w:r>
            <w:r>
              <w:rPr>
                <w:rFonts w:ascii="Times New Roman" w:hAnsi="Times New Roman" w:eastAsia="宋体" w:cs="Times New Roman"/>
                <w:color w:val="auto"/>
                <w:kern w:val="0"/>
                <w:sz w:val="24"/>
                <w:szCs w:val="24"/>
                <w:lang w:val="en-US" w:eastAsia="zh-CN" w:bidi="ar-SA"/>
              </w:rPr>
              <w:t>dB(A)，夜间5</w:t>
            </w:r>
            <w:r>
              <w:rPr>
                <w:rFonts w:hint="eastAsia" w:ascii="Times New Roman" w:hAnsi="Times New Roman" w:eastAsia="宋体" w:cs="Times New Roman"/>
                <w:color w:val="auto"/>
                <w:kern w:val="0"/>
                <w:sz w:val="24"/>
                <w:szCs w:val="24"/>
                <w:lang w:val="en-US" w:eastAsia="zh-CN" w:bidi="ar-SA"/>
              </w:rPr>
              <w:t>5</w:t>
            </w:r>
            <w:r>
              <w:rPr>
                <w:rFonts w:ascii="Times New Roman" w:hAnsi="Times New Roman" w:eastAsia="宋体" w:cs="Times New Roman"/>
                <w:color w:val="auto"/>
                <w:kern w:val="0"/>
                <w:sz w:val="24"/>
                <w:szCs w:val="24"/>
                <w:lang w:val="en-US" w:eastAsia="zh-CN" w:bidi="ar-SA"/>
              </w:rPr>
              <w:t>dB(A)）标准限值。</w:t>
            </w:r>
            <w:r>
              <w:rPr>
                <w:rFonts w:hint="eastAsia" w:ascii="Times New Roman" w:hAnsi="Times New Roman" w:eastAsia="宋体" w:cs="Times New Roman"/>
                <w:color w:val="auto"/>
                <w:kern w:val="0"/>
                <w:sz w:val="24"/>
                <w:szCs w:val="24"/>
                <w:lang w:val="en-US" w:eastAsia="zh-CN" w:bidi="ar-SA"/>
              </w:rPr>
              <w:t>本次评价引用本项目北侧紧邻本项目</w:t>
            </w:r>
            <w:r>
              <w:rPr>
                <w:rFonts w:hint="eastAsia" w:cs="Times New Roman"/>
                <w:color w:val="auto"/>
                <w:kern w:val="0"/>
                <w:sz w:val="24"/>
                <w:szCs w:val="24"/>
                <w:lang w:val="en-US" w:eastAsia="zh-CN" w:bidi="ar-SA"/>
              </w:rPr>
              <w:t>厂址的</w:t>
            </w:r>
            <w:r>
              <w:rPr>
                <w:rFonts w:hint="eastAsia" w:ascii="Times New Roman" w:hAnsi="Times New Roman" w:eastAsia="宋体" w:cs="Times New Roman"/>
                <w:color w:val="auto"/>
                <w:kern w:val="0"/>
                <w:sz w:val="24"/>
                <w:szCs w:val="24"/>
                <w:lang w:val="en-US" w:eastAsia="zh-CN" w:bidi="ar-SA"/>
              </w:rPr>
              <w:t>《黑龙江福仁农业发展有限公司鲜食玉米建设项目》监测报告数据</w:t>
            </w:r>
            <w:r>
              <w:rPr>
                <w:rFonts w:ascii="Times New Roman" w:hAnsi="Times New Roman" w:eastAsia="宋体" w:cs="Times New Roman"/>
                <w:color w:val="auto"/>
                <w:kern w:val="0"/>
                <w:sz w:val="24"/>
                <w:szCs w:val="24"/>
                <w:lang w:val="en-US" w:eastAsia="zh-CN" w:bidi="ar-SA"/>
              </w:rPr>
              <w:t>，以实测数据来说明建设地块的噪声环境现状。监测报告见附件，监测数据统计结果见表</w:t>
            </w:r>
            <w:r>
              <w:rPr>
                <w:rFonts w:hint="eastAsia" w:ascii="Times New Roman" w:hAnsi="Times New Roman" w:eastAsia="宋体" w:cs="Times New Roman"/>
                <w:color w:val="auto"/>
                <w:kern w:val="0"/>
                <w:sz w:val="24"/>
                <w:szCs w:val="24"/>
                <w:lang w:val="en-US" w:eastAsia="zh-CN" w:bidi="ar-SA"/>
              </w:rPr>
              <w:t>3-5。</w:t>
            </w:r>
            <w:r>
              <w:rPr>
                <w:rFonts w:hint="eastAsia" w:cs="Times New Roman"/>
                <w:color w:val="auto"/>
                <w:kern w:val="0"/>
                <w:sz w:val="24"/>
                <w:szCs w:val="24"/>
                <w:lang w:val="en-US" w:eastAsia="zh-CN" w:bidi="ar-SA"/>
              </w:rPr>
              <w:t>监测布点图见图3-2。</w:t>
            </w:r>
          </w:p>
          <w:p>
            <w:pPr>
              <w:shd w:val="clear"/>
              <w:ind w:firstLine="482" w:firstLineChars="200"/>
              <w:jc w:val="center"/>
              <w:rPr>
                <w:b/>
                <w:bCs/>
                <w:color w:val="auto"/>
                <w:sz w:val="24"/>
                <w:szCs w:val="24"/>
                <w:highlight w:val="none"/>
              </w:rPr>
            </w:pPr>
            <w:r>
              <w:rPr>
                <w:b/>
                <w:bCs/>
                <w:color w:val="auto"/>
                <w:sz w:val="24"/>
                <w:szCs w:val="24"/>
                <w:highlight w:val="none"/>
              </w:rPr>
              <w:t>表3</w:t>
            </w:r>
            <w:r>
              <w:rPr>
                <w:rFonts w:hint="eastAsia"/>
                <w:b/>
                <w:bCs/>
                <w:color w:val="auto"/>
                <w:sz w:val="24"/>
                <w:szCs w:val="24"/>
                <w:highlight w:val="none"/>
                <w:lang w:val="en-US" w:eastAsia="zh-CN"/>
              </w:rPr>
              <w:t>-5</w:t>
            </w:r>
            <w:r>
              <w:rPr>
                <w:b/>
                <w:bCs/>
                <w:color w:val="auto"/>
                <w:sz w:val="24"/>
                <w:szCs w:val="24"/>
                <w:highlight w:val="none"/>
              </w:rPr>
              <w:t xml:space="preserve">  补充监测点位基本信息</w:t>
            </w:r>
          </w:p>
          <w:tbl>
            <w:tblPr>
              <w:tblStyle w:val="27"/>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1433"/>
              <w:gridCol w:w="1407"/>
              <w:gridCol w:w="849"/>
              <w:gridCol w:w="1454"/>
              <w:gridCol w:w="1001"/>
              <w:gridCol w:w="11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84" w:type="pct"/>
                  <w:vMerge w:val="restar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w:t>
                  </w:r>
                </w:p>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693" w:type="pct"/>
                  <w:gridSpan w:val="2"/>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监测点坐标/（度）</w:t>
                  </w:r>
                </w:p>
              </w:tc>
              <w:tc>
                <w:tcPr>
                  <w:tcW w:w="507" w:type="pct"/>
                  <w:vMerge w:val="restar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监测因子</w:t>
                  </w:r>
                </w:p>
              </w:tc>
              <w:tc>
                <w:tcPr>
                  <w:tcW w:w="843" w:type="pct"/>
                  <w:vMerge w:val="restar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监测时段</w:t>
                  </w:r>
                </w:p>
              </w:tc>
              <w:tc>
                <w:tcPr>
                  <w:tcW w:w="597" w:type="pct"/>
                  <w:vMerge w:val="restar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相对厂址方位</w:t>
                  </w:r>
                </w:p>
              </w:tc>
              <w:tc>
                <w:tcPr>
                  <w:tcW w:w="674" w:type="pct"/>
                  <w:vMerge w:val="restar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相对厂址距离/m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84" w:type="pct"/>
                  <w:vMerge w:val="continue"/>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p>
              </w:tc>
              <w:tc>
                <w:tcPr>
                  <w:tcW w:w="854" w:type="pc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839" w:type="pc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507" w:type="pct"/>
                  <w:vMerge w:val="continue"/>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p>
              </w:tc>
              <w:tc>
                <w:tcPr>
                  <w:tcW w:w="843" w:type="pct"/>
                  <w:vMerge w:val="continue"/>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p>
              </w:tc>
              <w:tc>
                <w:tcPr>
                  <w:tcW w:w="597" w:type="pct"/>
                  <w:vMerge w:val="continue"/>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p>
              </w:tc>
              <w:tc>
                <w:tcPr>
                  <w:tcW w:w="674" w:type="pct"/>
                  <w:vMerge w:val="continue"/>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84" w:type="pct"/>
                  <w:tcBorders>
                    <w:tl2br w:val="nil"/>
                    <w:tr2bl w:val="nil"/>
                  </w:tcBorders>
                  <w:vAlign w:val="center"/>
                </w:tcPr>
                <w:p>
                  <w:pPr>
                    <w:shd w:val="clear"/>
                    <w:spacing w:line="24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厂界东侧</w:t>
                  </w:r>
                </w:p>
              </w:tc>
              <w:tc>
                <w:tcPr>
                  <w:tcW w:w="854" w:type="pct"/>
                  <w:tcBorders>
                    <w:tl2br w:val="nil"/>
                    <w:tr2bl w:val="nil"/>
                  </w:tcBorders>
                  <w:vAlign w:val="center"/>
                </w:tcPr>
                <w:p>
                  <w:pPr>
                    <w:pStyle w:val="41"/>
                    <w:shd w:val="clear"/>
                    <w:adjustRightInd w:val="0"/>
                    <w:snapToGrid w:val="0"/>
                    <w:spacing w:beforeLines="0" w:afterLines="0"/>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126.93899632</w:t>
                  </w:r>
                </w:p>
              </w:tc>
              <w:tc>
                <w:tcPr>
                  <w:tcW w:w="839" w:type="pct"/>
                  <w:tcBorders>
                    <w:tl2br w:val="nil"/>
                    <w:tr2bl w:val="nil"/>
                  </w:tcBorders>
                  <w:vAlign w:val="center"/>
                </w:tcPr>
                <w:p>
                  <w:pPr>
                    <w:pStyle w:val="41"/>
                    <w:shd w:val="clear"/>
                    <w:adjustRightInd w:val="0"/>
                    <w:snapToGrid w:val="0"/>
                    <w:spacing w:beforeLines="0" w:afterLines="0"/>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47.55120927</w:t>
                  </w:r>
                </w:p>
              </w:tc>
              <w:tc>
                <w:tcPr>
                  <w:tcW w:w="507" w:type="pct"/>
                  <w:vMerge w:val="restar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Leq</w:t>
                  </w:r>
                </w:p>
              </w:tc>
              <w:tc>
                <w:tcPr>
                  <w:tcW w:w="843" w:type="pct"/>
                  <w:vMerge w:val="restar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2023/</w:t>
                  </w:r>
                  <w:r>
                    <w:rPr>
                      <w:rFonts w:hint="eastAsia" w:ascii="Times New Roman" w:hAnsi="Times New Roman" w:eastAsia="宋体"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14</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15</w:t>
                  </w:r>
                </w:p>
              </w:tc>
              <w:tc>
                <w:tcPr>
                  <w:tcW w:w="597" w:type="pc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E</w:t>
                  </w:r>
                </w:p>
              </w:tc>
              <w:tc>
                <w:tcPr>
                  <w:tcW w:w="674" w:type="pc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84" w:type="pct"/>
                  <w:tcBorders>
                    <w:tl2br w:val="nil"/>
                    <w:tr2bl w:val="nil"/>
                  </w:tcBorders>
                  <w:vAlign w:val="center"/>
                </w:tcPr>
                <w:p>
                  <w:pPr>
                    <w:shd w:val="clear"/>
                    <w:spacing w:line="24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厂界南侧</w:t>
                  </w:r>
                </w:p>
              </w:tc>
              <w:tc>
                <w:tcPr>
                  <w:tcW w:w="854" w:type="pct"/>
                  <w:tcBorders>
                    <w:tl2br w:val="nil"/>
                    <w:tr2bl w:val="nil"/>
                  </w:tcBorders>
                  <w:vAlign w:val="center"/>
                </w:tcPr>
                <w:p>
                  <w:pPr>
                    <w:pStyle w:val="41"/>
                    <w:shd w:val="clear"/>
                    <w:adjustRightInd w:val="0"/>
                    <w:snapToGrid w:val="0"/>
                    <w:spacing w:beforeLines="0" w:afterLines="0"/>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126.93740845</w:t>
                  </w:r>
                </w:p>
              </w:tc>
              <w:tc>
                <w:tcPr>
                  <w:tcW w:w="839" w:type="pct"/>
                  <w:tcBorders>
                    <w:tl2br w:val="nil"/>
                    <w:tr2bl w:val="nil"/>
                  </w:tcBorders>
                  <w:vAlign w:val="center"/>
                </w:tcPr>
                <w:p>
                  <w:pPr>
                    <w:pStyle w:val="41"/>
                    <w:shd w:val="clear"/>
                    <w:adjustRightInd w:val="0"/>
                    <w:snapToGrid w:val="0"/>
                    <w:spacing w:beforeLines="0" w:afterLines="0"/>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47.55067342</w:t>
                  </w:r>
                </w:p>
              </w:tc>
              <w:tc>
                <w:tcPr>
                  <w:tcW w:w="507" w:type="pct"/>
                  <w:vMerge w:val="continue"/>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p>
              </w:tc>
              <w:tc>
                <w:tcPr>
                  <w:tcW w:w="843" w:type="pct"/>
                  <w:vMerge w:val="continue"/>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p>
              </w:tc>
              <w:tc>
                <w:tcPr>
                  <w:tcW w:w="597" w:type="pc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w:t>
                  </w:r>
                </w:p>
              </w:tc>
              <w:tc>
                <w:tcPr>
                  <w:tcW w:w="674" w:type="pc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84" w:type="pct"/>
                  <w:tcBorders>
                    <w:tl2br w:val="nil"/>
                    <w:tr2bl w:val="nil"/>
                  </w:tcBorders>
                  <w:vAlign w:val="center"/>
                </w:tcPr>
                <w:p>
                  <w:pPr>
                    <w:shd w:val="clear"/>
                    <w:spacing w:line="24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厂界西侧</w:t>
                  </w:r>
                </w:p>
              </w:tc>
              <w:tc>
                <w:tcPr>
                  <w:tcW w:w="854" w:type="pct"/>
                  <w:tcBorders>
                    <w:tl2br w:val="nil"/>
                    <w:tr2bl w:val="nil"/>
                  </w:tcBorders>
                  <w:vAlign w:val="center"/>
                </w:tcPr>
                <w:p>
                  <w:pPr>
                    <w:pStyle w:val="41"/>
                    <w:shd w:val="clear"/>
                    <w:adjustRightInd w:val="0"/>
                    <w:snapToGrid w:val="0"/>
                    <w:spacing w:beforeLines="0" w:afterLines="0"/>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126.93568110</w:t>
                  </w:r>
                </w:p>
              </w:tc>
              <w:tc>
                <w:tcPr>
                  <w:tcW w:w="839" w:type="pct"/>
                  <w:tcBorders>
                    <w:tl2br w:val="nil"/>
                    <w:tr2bl w:val="nil"/>
                  </w:tcBorders>
                  <w:vAlign w:val="center"/>
                </w:tcPr>
                <w:p>
                  <w:pPr>
                    <w:pStyle w:val="41"/>
                    <w:shd w:val="clear"/>
                    <w:adjustRightInd w:val="0"/>
                    <w:snapToGrid w:val="0"/>
                    <w:spacing w:beforeLines="0" w:afterLines="0"/>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47.55089066</w:t>
                  </w:r>
                </w:p>
              </w:tc>
              <w:tc>
                <w:tcPr>
                  <w:tcW w:w="507" w:type="pct"/>
                  <w:vMerge w:val="continue"/>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p>
              </w:tc>
              <w:tc>
                <w:tcPr>
                  <w:tcW w:w="843" w:type="pct"/>
                  <w:vMerge w:val="continue"/>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p>
              </w:tc>
              <w:tc>
                <w:tcPr>
                  <w:tcW w:w="597" w:type="pc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w:t>
                  </w:r>
                </w:p>
              </w:tc>
              <w:tc>
                <w:tcPr>
                  <w:tcW w:w="674" w:type="pc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84" w:type="pct"/>
                  <w:tcBorders>
                    <w:tl2br w:val="nil"/>
                    <w:tr2bl w:val="nil"/>
                  </w:tcBorders>
                  <w:vAlign w:val="center"/>
                </w:tcPr>
                <w:p>
                  <w:pPr>
                    <w:shd w:val="clear"/>
                    <w:spacing w:line="24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厂界北侧</w:t>
                  </w:r>
                </w:p>
              </w:tc>
              <w:tc>
                <w:tcPr>
                  <w:tcW w:w="854" w:type="pct"/>
                  <w:tcBorders>
                    <w:tl2br w:val="nil"/>
                    <w:tr2bl w:val="nil"/>
                  </w:tcBorders>
                  <w:vAlign w:val="center"/>
                </w:tcPr>
                <w:p>
                  <w:pPr>
                    <w:pStyle w:val="41"/>
                    <w:shd w:val="clear"/>
                    <w:adjustRightInd w:val="0"/>
                    <w:snapToGrid w:val="0"/>
                    <w:spacing w:beforeLines="0" w:afterLines="0"/>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126.93721533</w:t>
                  </w:r>
                </w:p>
              </w:tc>
              <w:tc>
                <w:tcPr>
                  <w:tcW w:w="839" w:type="pct"/>
                  <w:tcBorders>
                    <w:tl2br w:val="nil"/>
                    <w:tr2bl w:val="nil"/>
                  </w:tcBorders>
                  <w:vAlign w:val="center"/>
                </w:tcPr>
                <w:p>
                  <w:pPr>
                    <w:pStyle w:val="41"/>
                    <w:shd w:val="clear"/>
                    <w:adjustRightInd w:val="0"/>
                    <w:snapToGrid w:val="0"/>
                    <w:spacing w:beforeLines="0" w:afterLines="0"/>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47.55148444</w:t>
                  </w:r>
                </w:p>
              </w:tc>
              <w:tc>
                <w:tcPr>
                  <w:tcW w:w="507" w:type="pct"/>
                  <w:vMerge w:val="continue"/>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p>
              </w:tc>
              <w:tc>
                <w:tcPr>
                  <w:tcW w:w="843" w:type="pct"/>
                  <w:vMerge w:val="continue"/>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p>
              </w:tc>
              <w:tc>
                <w:tcPr>
                  <w:tcW w:w="597" w:type="pc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w:t>
                  </w:r>
                </w:p>
              </w:tc>
              <w:tc>
                <w:tcPr>
                  <w:tcW w:w="674" w:type="pct"/>
                  <w:tcBorders>
                    <w:tl2br w:val="nil"/>
                    <w:tr2bl w:val="nil"/>
                  </w:tcBorders>
                  <w:vAlign w:val="center"/>
                </w:tcPr>
                <w:p>
                  <w:pPr>
                    <w:shd w:val="clea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r>
          </w:tbl>
          <w:p>
            <w:pPr>
              <w:shd w:val="clea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本项目声环境质量现状监测结果见表3-</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w:t>
            </w:r>
          </w:p>
          <w:p>
            <w:pPr>
              <w:pStyle w:val="15"/>
              <w:shd w:val="clear"/>
              <w:spacing w:after="0" w:line="240" w:lineRule="auto"/>
              <w:ind w:left="0" w:lef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表3-</w:t>
            </w:r>
            <w:r>
              <w:rPr>
                <w:rFonts w:hint="default" w:ascii="Times New Roman" w:hAnsi="Times New Roman" w:eastAsia="宋体"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rPr>
              <w:t xml:space="preserve">  本项目声环境质量评价结果</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193"/>
              <w:gridCol w:w="1083"/>
              <w:gridCol w:w="1088"/>
              <w:gridCol w:w="1083"/>
              <w:gridCol w:w="1088"/>
              <w:gridCol w:w="188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03" w:type="pct"/>
                  <w:vMerge w:val="restart"/>
                  <w:tcBorders>
                    <w:tl2br w:val="nil"/>
                    <w:tr2bl w:val="nil"/>
                  </w:tcBorders>
                  <w:noWrap w:val="0"/>
                  <w:vAlign w:val="center"/>
                </w:tcPr>
                <w:p>
                  <w:pPr>
                    <w:shd w:val="clear"/>
                    <w:jc w:val="center"/>
                    <w:rPr>
                      <w:rFonts w:ascii="宋体" w:hAnsi="宋体" w:cs="仿宋"/>
                      <w:b w:val="0"/>
                      <w:bCs/>
                      <w:color w:val="auto"/>
                      <w:sz w:val="21"/>
                      <w:szCs w:val="21"/>
                      <w:highlight w:val="none"/>
                    </w:rPr>
                  </w:pPr>
                  <w:r>
                    <w:rPr>
                      <w:rFonts w:hint="eastAsia" w:ascii="宋体" w:hAnsi="宋体" w:cs="仿宋"/>
                      <w:b w:val="0"/>
                      <w:bCs/>
                      <w:color w:val="auto"/>
                      <w:sz w:val="21"/>
                      <w:szCs w:val="21"/>
                      <w:highlight w:val="none"/>
                    </w:rPr>
                    <w:t>检测点位</w:t>
                  </w:r>
                </w:p>
              </w:tc>
              <w:tc>
                <w:tcPr>
                  <w:tcW w:w="1289" w:type="pct"/>
                  <w:gridSpan w:val="2"/>
                  <w:tcBorders>
                    <w:tl2br w:val="nil"/>
                    <w:tr2bl w:val="nil"/>
                  </w:tcBorders>
                  <w:noWrap w:val="0"/>
                  <w:vAlign w:val="center"/>
                </w:tcPr>
                <w:p>
                  <w:pPr>
                    <w:shd w:val="clear"/>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2023年12月14日</w:t>
                  </w:r>
                </w:p>
              </w:tc>
              <w:tc>
                <w:tcPr>
                  <w:tcW w:w="1289" w:type="pct"/>
                  <w:gridSpan w:val="2"/>
                  <w:tcBorders>
                    <w:tl2br w:val="nil"/>
                    <w:tr2bl w:val="nil"/>
                  </w:tcBorders>
                  <w:noWrap w:val="0"/>
                  <w:vAlign w:val="center"/>
                </w:tcPr>
                <w:p>
                  <w:pPr>
                    <w:shd w:val="clear"/>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2023年12月15日</w:t>
                  </w:r>
                </w:p>
              </w:tc>
              <w:tc>
                <w:tcPr>
                  <w:tcW w:w="1118" w:type="pct"/>
                  <w:vMerge w:val="restart"/>
                  <w:tcBorders>
                    <w:tl2br w:val="nil"/>
                    <w:tr2bl w:val="nil"/>
                  </w:tcBorders>
                  <w:noWrap w:val="0"/>
                  <w:vAlign w:val="center"/>
                </w:tcPr>
                <w:p>
                  <w:pPr>
                    <w:shd w:val="clear"/>
                    <w:jc w:val="center"/>
                    <w:rPr>
                      <w:rFonts w:hint="eastAsia" w:ascii="宋体" w:hAnsi="宋体" w:cs="仿宋"/>
                      <w:b w:val="0"/>
                      <w:bCs/>
                      <w:color w:val="auto"/>
                      <w:sz w:val="21"/>
                      <w:szCs w:val="21"/>
                      <w:highlight w:val="none"/>
                    </w:rPr>
                  </w:pPr>
                  <w:r>
                    <w:rPr>
                      <w:rFonts w:hint="eastAsia" w:ascii="宋体" w:hAnsi="宋体" w:cs="仿宋"/>
                      <w:b w:val="0"/>
                      <w:bCs/>
                      <w:color w:val="auto"/>
                      <w:sz w:val="21"/>
                      <w:szCs w:val="21"/>
                      <w:highlight w:val="none"/>
                    </w:rPr>
                    <w:t>单位</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03" w:type="pct"/>
                  <w:vMerge w:val="continue"/>
                  <w:tcBorders>
                    <w:tl2br w:val="nil"/>
                    <w:tr2bl w:val="nil"/>
                  </w:tcBorders>
                  <w:noWrap w:val="0"/>
                  <w:vAlign w:val="center"/>
                </w:tcPr>
                <w:p>
                  <w:pPr>
                    <w:shd w:val="clear"/>
                    <w:jc w:val="center"/>
                    <w:rPr>
                      <w:rFonts w:ascii="宋体" w:hAnsi="宋体" w:cs="仿宋"/>
                      <w:b w:val="0"/>
                      <w:bCs/>
                      <w:color w:val="auto"/>
                      <w:sz w:val="21"/>
                      <w:szCs w:val="21"/>
                      <w:highlight w:val="none"/>
                    </w:rPr>
                  </w:pPr>
                </w:p>
              </w:tc>
              <w:tc>
                <w:tcPr>
                  <w:tcW w:w="643" w:type="pct"/>
                  <w:tcBorders>
                    <w:tl2br w:val="nil"/>
                    <w:tr2bl w:val="nil"/>
                  </w:tcBorders>
                  <w:noWrap w:val="0"/>
                  <w:vAlign w:val="center"/>
                </w:tcPr>
                <w:p>
                  <w:pPr>
                    <w:shd w:val="clear"/>
                    <w:tabs>
                      <w:tab w:val="left" w:pos="179"/>
                    </w:tabs>
                    <w:jc w:val="center"/>
                    <w:rPr>
                      <w:rFonts w:hint="eastAsia" w:ascii="宋体" w:hAnsi="宋体" w:cs="仿宋"/>
                      <w:b w:val="0"/>
                      <w:bCs/>
                      <w:color w:val="auto"/>
                      <w:sz w:val="21"/>
                      <w:szCs w:val="21"/>
                      <w:highlight w:val="none"/>
                    </w:rPr>
                  </w:pPr>
                  <w:r>
                    <w:rPr>
                      <w:rFonts w:hint="eastAsia" w:ascii="宋体" w:hAnsi="宋体" w:cs="仿宋"/>
                      <w:b w:val="0"/>
                      <w:bCs/>
                      <w:color w:val="auto"/>
                      <w:sz w:val="21"/>
                      <w:szCs w:val="21"/>
                      <w:highlight w:val="none"/>
                    </w:rPr>
                    <w:t>昼间</w:t>
                  </w:r>
                </w:p>
              </w:tc>
              <w:tc>
                <w:tcPr>
                  <w:tcW w:w="645" w:type="pct"/>
                  <w:tcBorders>
                    <w:tl2br w:val="nil"/>
                    <w:tr2bl w:val="nil"/>
                  </w:tcBorders>
                  <w:noWrap w:val="0"/>
                  <w:vAlign w:val="center"/>
                </w:tcPr>
                <w:p>
                  <w:pPr>
                    <w:shd w:val="clear"/>
                    <w:tabs>
                      <w:tab w:val="left" w:pos="179"/>
                    </w:tabs>
                    <w:jc w:val="center"/>
                    <w:rPr>
                      <w:rFonts w:hint="eastAsia" w:ascii="宋体" w:hAnsi="宋体" w:cs="仿宋"/>
                      <w:b w:val="0"/>
                      <w:bCs/>
                      <w:color w:val="auto"/>
                      <w:sz w:val="21"/>
                      <w:szCs w:val="21"/>
                      <w:highlight w:val="none"/>
                    </w:rPr>
                  </w:pPr>
                  <w:r>
                    <w:rPr>
                      <w:rFonts w:hint="eastAsia" w:ascii="宋体" w:hAnsi="宋体" w:cs="仿宋"/>
                      <w:b w:val="0"/>
                      <w:bCs/>
                      <w:color w:val="auto"/>
                      <w:sz w:val="21"/>
                      <w:szCs w:val="21"/>
                      <w:highlight w:val="none"/>
                    </w:rPr>
                    <w:t>夜间</w:t>
                  </w:r>
                </w:p>
              </w:tc>
              <w:tc>
                <w:tcPr>
                  <w:tcW w:w="643" w:type="pct"/>
                  <w:tcBorders>
                    <w:tl2br w:val="nil"/>
                    <w:tr2bl w:val="nil"/>
                  </w:tcBorders>
                  <w:noWrap w:val="0"/>
                  <w:vAlign w:val="center"/>
                </w:tcPr>
                <w:p>
                  <w:pPr>
                    <w:shd w:val="clear"/>
                    <w:tabs>
                      <w:tab w:val="left" w:pos="179"/>
                    </w:tabs>
                    <w:jc w:val="center"/>
                    <w:rPr>
                      <w:rFonts w:hint="eastAsia" w:ascii="宋体" w:hAnsi="宋体" w:cs="仿宋"/>
                      <w:b w:val="0"/>
                      <w:bCs/>
                      <w:color w:val="auto"/>
                      <w:sz w:val="21"/>
                      <w:szCs w:val="21"/>
                      <w:highlight w:val="none"/>
                    </w:rPr>
                  </w:pPr>
                  <w:r>
                    <w:rPr>
                      <w:rFonts w:hint="eastAsia" w:ascii="宋体" w:hAnsi="宋体" w:cs="仿宋"/>
                      <w:b w:val="0"/>
                      <w:bCs/>
                      <w:color w:val="auto"/>
                      <w:sz w:val="21"/>
                      <w:szCs w:val="21"/>
                      <w:highlight w:val="none"/>
                    </w:rPr>
                    <w:t>昼间</w:t>
                  </w:r>
                </w:p>
              </w:tc>
              <w:tc>
                <w:tcPr>
                  <w:tcW w:w="645" w:type="pct"/>
                  <w:tcBorders>
                    <w:tl2br w:val="nil"/>
                    <w:tr2bl w:val="nil"/>
                  </w:tcBorders>
                  <w:noWrap w:val="0"/>
                  <w:vAlign w:val="center"/>
                </w:tcPr>
                <w:p>
                  <w:pPr>
                    <w:shd w:val="clear"/>
                    <w:tabs>
                      <w:tab w:val="left" w:pos="179"/>
                    </w:tabs>
                    <w:jc w:val="center"/>
                    <w:rPr>
                      <w:rFonts w:hint="eastAsia" w:ascii="宋体" w:hAnsi="宋体" w:cs="仿宋"/>
                      <w:b w:val="0"/>
                      <w:bCs/>
                      <w:color w:val="auto"/>
                      <w:sz w:val="21"/>
                      <w:szCs w:val="21"/>
                      <w:highlight w:val="none"/>
                    </w:rPr>
                  </w:pPr>
                  <w:r>
                    <w:rPr>
                      <w:rFonts w:hint="eastAsia" w:ascii="宋体" w:hAnsi="宋体" w:cs="仿宋"/>
                      <w:b w:val="0"/>
                      <w:bCs/>
                      <w:color w:val="auto"/>
                      <w:sz w:val="21"/>
                      <w:szCs w:val="21"/>
                      <w:highlight w:val="none"/>
                    </w:rPr>
                    <w:t>夜间</w:t>
                  </w:r>
                </w:p>
              </w:tc>
              <w:tc>
                <w:tcPr>
                  <w:tcW w:w="1118" w:type="pct"/>
                  <w:vMerge w:val="continue"/>
                  <w:tcBorders>
                    <w:tl2br w:val="nil"/>
                    <w:tr2bl w:val="nil"/>
                  </w:tcBorders>
                  <w:noWrap w:val="0"/>
                  <w:vAlign w:val="center"/>
                </w:tcPr>
                <w:p>
                  <w:pPr>
                    <w:shd w:val="clear"/>
                    <w:jc w:val="center"/>
                    <w:rPr>
                      <w:rFonts w:hint="eastAsia" w:ascii="宋体" w:hAnsi="宋体" w:cs="仿宋"/>
                      <w:b w:val="0"/>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03" w:type="pct"/>
                  <w:tcBorders>
                    <w:tl2br w:val="nil"/>
                    <w:tr2bl w:val="nil"/>
                  </w:tcBorders>
                  <w:noWrap w:val="0"/>
                  <w:vAlign w:val="center"/>
                </w:tcPr>
                <w:p>
                  <w:pPr>
                    <w:shd w:val="clear"/>
                    <w:spacing w:line="240" w:lineRule="exact"/>
                    <w:jc w:val="center"/>
                    <w:rPr>
                      <w:rFonts w:ascii="宋体" w:hAnsi="宋体" w:cs="宋体"/>
                      <w:b w:val="0"/>
                      <w:bCs/>
                      <w:color w:val="auto"/>
                      <w:sz w:val="21"/>
                      <w:szCs w:val="21"/>
                      <w:highlight w:val="none"/>
                    </w:rPr>
                  </w:pPr>
                  <w:r>
                    <w:rPr>
                      <w:rFonts w:hint="eastAsia" w:ascii="宋体" w:hAnsi="宋体" w:cs="宋体"/>
                      <w:b w:val="0"/>
                      <w:bCs/>
                      <w:color w:val="auto"/>
                      <w:sz w:val="21"/>
                      <w:szCs w:val="21"/>
                      <w:highlight w:val="none"/>
                    </w:rPr>
                    <w:t>厂界东侧</w:t>
                  </w:r>
                </w:p>
              </w:tc>
              <w:tc>
                <w:tcPr>
                  <w:tcW w:w="643" w:type="pct"/>
                  <w:tcBorders>
                    <w:tl2br w:val="nil"/>
                    <w:tr2bl w:val="nil"/>
                  </w:tcBorders>
                  <w:noWrap w:val="0"/>
                  <w:vAlign w:val="center"/>
                </w:tcPr>
                <w:p>
                  <w:pPr>
                    <w:shd w:val="clear"/>
                    <w:jc w:val="center"/>
                    <w:rPr>
                      <w:b w:val="0"/>
                      <w:bCs/>
                      <w:color w:val="auto"/>
                      <w:sz w:val="21"/>
                      <w:szCs w:val="21"/>
                      <w:highlight w:val="none"/>
                    </w:rPr>
                  </w:pPr>
                  <w:r>
                    <w:rPr>
                      <w:rFonts w:hint="eastAsia"/>
                      <w:b w:val="0"/>
                      <w:bCs/>
                      <w:color w:val="auto"/>
                      <w:sz w:val="21"/>
                      <w:szCs w:val="21"/>
                      <w:highlight w:val="none"/>
                    </w:rPr>
                    <w:t>52</w:t>
                  </w:r>
                </w:p>
              </w:tc>
              <w:tc>
                <w:tcPr>
                  <w:tcW w:w="645" w:type="pct"/>
                  <w:tcBorders>
                    <w:tl2br w:val="nil"/>
                    <w:tr2bl w:val="nil"/>
                  </w:tcBorders>
                  <w:noWrap w:val="0"/>
                  <w:vAlign w:val="center"/>
                </w:tcPr>
                <w:p>
                  <w:pPr>
                    <w:shd w:val="clear"/>
                    <w:jc w:val="center"/>
                    <w:rPr>
                      <w:b w:val="0"/>
                      <w:bCs/>
                      <w:color w:val="auto"/>
                      <w:sz w:val="21"/>
                      <w:szCs w:val="21"/>
                      <w:highlight w:val="none"/>
                    </w:rPr>
                  </w:pPr>
                  <w:r>
                    <w:rPr>
                      <w:rFonts w:hint="eastAsia"/>
                      <w:b w:val="0"/>
                      <w:bCs/>
                      <w:color w:val="auto"/>
                      <w:sz w:val="21"/>
                      <w:szCs w:val="21"/>
                      <w:highlight w:val="none"/>
                    </w:rPr>
                    <w:t>42</w:t>
                  </w:r>
                </w:p>
              </w:tc>
              <w:tc>
                <w:tcPr>
                  <w:tcW w:w="643" w:type="pct"/>
                  <w:tcBorders>
                    <w:tl2br w:val="nil"/>
                    <w:tr2bl w:val="nil"/>
                  </w:tcBorders>
                  <w:noWrap w:val="0"/>
                  <w:vAlign w:val="center"/>
                </w:tcPr>
                <w:p>
                  <w:pPr>
                    <w:shd w:val="clear"/>
                    <w:jc w:val="center"/>
                    <w:rPr>
                      <w:b w:val="0"/>
                      <w:bCs/>
                      <w:color w:val="auto"/>
                      <w:sz w:val="21"/>
                      <w:szCs w:val="21"/>
                      <w:highlight w:val="none"/>
                    </w:rPr>
                  </w:pPr>
                  <w:r>
                    <w:rPr>
                      <w:rFonts w:hint="eastAsia"/>
                      <w:b w:val="0"/>
                      <w:bCs/>
                      <w:color w:val="auto"/>
                      <w:sz w:val="21"/>
                      <w:szCs w:val="21"/>
                      <w:highlight w:val="none"/>
                    </w:rPr>
                    <w:t>53</w:t>
                  </w:r>
                </w:p>
              </w:tc>
              <w:tc>
                <w:tcPr>
                  <w:tcW w:w="645" w:type="pct"/>
                  <w:tcBorders>
                    <w:tl2br w:val="nil"/>
                    <w:tr2bl w:val="nil"/>
                  </w:tcBorders>
                  <w:noWrap w:val="0"/>
                  <w:vAlign w:val="center"/>
                </w:tcPr>
                <w:p>
                  <w:pPr>
                    <w:shd w:val="clear"/>
                    <w:jc w:val="center"/>
                    <w:rPr>
                      <w:b w:val="0"/>
                      <w:bCs/>
                      <w:color w:val="auto"/>
                      <w:sz w:val="21"/>
                      <w:szCs w:val="21"/>
                      <w:highlight w:val="none"/>
                    </w:rPr>
                  </w:pPr>
                  <w:r>
                    <w:rPr>
                      <w:rFonts w:hint="eastAsia"/>
                      <w:b w:val="0"/>
                      <w:bCs/>
                      <w:color w:val="auto"/>
                      <w:sz w:val="21"/>
                      <w:szCs w:val="21"/>
                      <w:highlight w:val="none"/>
                    </w:rPr>
                    <w:t>41</w:t>
                  </w:r>
                </w:p>
              </w:tc>
              <w:tc>
                <w:tcPr>
                  <w:tcW w:w="1118" w:type="pct"/>
                  <w:tcBorders>
                    <w:tl2br w:val="nil"/>
                    <w:tr2bl w:val="nil"/>
                  </w:tcBorders>
                  <w:noWrap w:val="0"/>
                  <w:vAlign w:val="center"/>
                </w:tcPr>
                <w:p>
                  <w:pPr>
                    <w:shd w:val="clear"/>
                    <w:jc w:val="center"/>
                    <w:rPr>
                      <w:b w:val="0"/>
                      <w:bCs/>
                      <w:color w:val="auto"/>
                      <w:sz w:val="21"/>
                      <w:szCs w:val="21"/>
                      <w:highlight w:val="none"/>
                    </w:rPr>
                  </w:pPr>
                  <w:r>
                    <w:rPr>
                      <w:b w:val="0"/>
                      <w:bCs/>
                      <w:color w:val="auto"/>
                      <w:sz w:val="21"/>
                      <w:szCs w:val="21"/>
                      <w:highlight w:val="none"/>
                    </w:rPr>
                    <w:t>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03" w:type="pct"/>
                  <w:tcBorders>
                    <w:tl2br w:val="nil"/>
                    <w:tr2bl w:val="nil"/>
                  </w:tcBorders>
                  <w:noWrap w:val="0"/>
                  <w:vAlign w:val="center"/>
                </w:tcPr>
                <w:p>
                  <w:pPr>
                    <w:shd w:val="clear"/>
                    <w:spacing w:line="240" w:lineRule="exact"/>
                    <w:jc w:val="center"/>
                    <w:rPr>
                      <w:rFonts w:ascii="宋体" w:hAnsi="宋体" w:cs="宋体"/>
                      <w:b w:val="0"/>
                      <w:bCs/>
                      <w:color w:val="auto"/>
                      <w:sz w:val="21"/>
                      <w:szCs w:val="21"/>
                      <w:highlight w:val="none"/>
                    </w:rPr>
                  </w:pPr>
                  <w:r>
                    <w:rPr>
                      <w:rFonts w:hint="eastAsia" w:ascii="宋体" w:hAnsi="宋体" w:cs="宋体"/>
                      <w:b w:val="0"/>
                      <w:bCs/>
                      <w:color w:val="auto"/>
                      <w:sz w:val="21"/>
                      <w:szCs w:val="21"/>
                      <w:highlight w:val="none"/>
                    </w:rPr>
                    <w:t>厂界南侧</w:t>
                  </w:r>
                </w:p>
              </w:tc>
              <w:tc>
                <w:tcPr>
                  <w:tcW w:w="643" w:type="pct"/>
                  <w:tcBorders>
                    <w:tl2br w:val="nil"/>
                    <w:tr2bl w:val="nil"/>
                  </w:tcBorders>
                  <w:noWrap w:val="0"/>
                  <w:vAlign w:val="center"/>
                </w:tcPr>
                <w:p>
                  <w:pPr>
                    <w:shd w:val="clear"/>
                    <w:jc w:val="center"/>
                    <w:rPr>
                      <w:rFonts w:hint="eastAsia"/>
                      <w:b w:val="0"/>
                      <w:bCs/>
                      <w:color w:val="auto"/>
                      <w:sz w:val="21"/>
                      <w:szCs w:val="21"/>
                      <w:highlight w:val="none"/>
                    </w:rPr>
                  </w:pPr>
                  <w:r>
                    <w:rPr>
                      <w:rFonts w:hint="eastAsia"/>
                      <w:b w:val="0"/>
                      <w:bCs/>
                      <w:color w:val="auto"/>
                      <w:sz w:val="21"/>
                      <w:szCs w:val="21"/>
                      <w:highlight w:val="none"/>
                    </w:rPr>
                    <w:t>53</w:t>
                  </w:r>
                </w:p>
              </w:tc>
              <w:tc>
                <w:tcPr>
                  <w:tcW w:w="645" w:type="pct"/>
                  <w:tcBorders>
                    <w:tl2br w:val="nil"/>
                    <w:tr2bl w:val="nil"/>
                  </w:tcBorders>
                  <w:noWrap w:val="0"/>
                  <w:vAlign w:val="center"/>
                </w:tcPr>
                <w:p>
                  <w:pPr>
                    <w:shd w:val="clear"/>
                    <w:jc w:val="center"/>
                    <w:rPr>
                      <w:rFonts w:hint="eastAsia"/>
                      <w:b w:val="0"/>
                      <w:bCs/>
                      <w:color w:val="auto"/>
                      <w:sz w:val="21"/>
                      <w:szCs w:val="21"/>
                      <w:highlight w:val="none"/>
                    </w:rPr>
                  </w:pPr>
                  <w:r>
                    <w:rPr>
                      <w:rFonts w:hint="eastAsia"/>
                      <w:b w:val="0"/>
                      <w:bCs/>
                      <w:color w:val="auto"/>
                      <w:sz w:val="21"/>
                      <w:szCs w:val="21"/>
                      <w:highlight w:val="none"/>
                    </w:rPr>
                    <w:t>43</w:t>
                  </w:r>
                </w:p>
              </w:tc>
              <w:tc>
                <w:tcPr>
                  <w:tcW w:w="643" w:type="pct"/>
                  <w:tcBorders>
                    <w:tl2br w:val="nil"/>
                    <w:tr2bl w:val="nil"/>
                  </w:tcBorders>
                  <w:noWrap w:val="0"/>
                  <w:vAlign w:val="center"/>
                </w:tcPr>
                <w:p>
                  <w:pPr>
                    <w:shd w:val="clear"/>
                    <w:jc w:val="center"/>
                    <w:rPr>
                      <w:rFonts w:hint="eastAsia"/>
                      <w:b w:val="0"/>
                      <w:bCs/>
                      <w:color w:val="auto"/>
                      <w:sz w:val="21"/>
                      <w:szCs w:val="21"/>
                      <w:highlight w:val="none"/>
                    </w:rPr>
                  </w:pPr>
                  <w:r>
                    <w:rPr>
                      <w:rFonts w:hint="eastAsia"/>
                      <w:b w:val="0"/>
                      <w:bCs/>
                      <w:color w:val="auto"/>
                      <w:sz w:val="21"/>
                      <w:szCs w:val="21"/>
                      <w:highlight w:val="none"/>
                    </w:rPr>
                    <w:t>52</w:t>
                  </w:r>
                </w:p>
              </w:tc>
              <w:tc>
                <w:tcPr>
                  <w:tcW w:w="645" w:type="pct"/>
                  <w:tcBorders>
                    <w:tl2br w:val="nil"/>
                    <w:tr2bl w:val="nil"/>
                  </w:tcBorders>
                  <w:noWrap w:val="0"/>
                  <w:vAlign w:val="center"/>
                </w:tcPr>
                <w:p>
                  <w:pPr>
                    <w:shd w:val="clear"/>
                    <w:jc w:val="center"/>
                    <w:rPr>
                      <w:rFonts w:hint="eastAsia"/>
                      <w:b w:val="0"/>
                      <w:bCs/>
                      <w:color w:val="auto"/>
                      <w:sz w:val="21"/>
                      <w:szCs w:val="21"/>
                      <w:highlight w:val="none"/>
                    </w:rPr>
                  </w:pPr>
                  <w:r>
                    <w:rPr>
                      <w:rFonts w:hint="eastAsia"/>
                      <w:b w:val="0"/>
                      <w:bCs/>
                      <w:color w:val="auto"/>
                      <w:sz w:val="21"/>
                      <w:szCs w:val="21"/>
                      <w:highlight w:val="none"/>
                    </w:rPr>
                    <w:t>42</w:t>
                  </w:r>
                </w:p>
              </w:tc>
              <w:tc>
                <w:tcPr>
                  <w:tcW w:w="1118" w:type="pct"/>
                  <w:tcBorders>
                    <w:tl2br w:val="nil"/>
                    <w:tr2bl w:val="nil"/>
                  </w:tcBorders>
                  <w:noWrap w:val="0"/>
                  <w:vAlign w:val="center"/>
                </w:tcPr>
                <w:p>
                  <w:pPr>
                    <w:shd w:val="clear"/>
                    <w:jc w:val="center"/>
                    <w:rPr>
                      <w:b w:val="0"/>
                      <w:bCs/>
                      <w:color w:val="auto"/>
                      <w:sz w:val="21"/>
                      <w:szCs w:val="21"/>
                      <w:highlight w:val="none"/>
                    </w:rPr>
                  </w:pPr>
                  <w:r>
                    <w:rPr>
                      <w:b w:val="0"/>
                      <w:bCs/>
                      <w:color w:val="auto"/>
                      <w:sz w:val="21"/>
                      <w:szCs w:val="21"/>
                      <w:highlight w:val="none"/>
                    </w:rPr>
                    <w:t>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03" w:type="pct"/>
                  <w:tcBorders>
                    <w:tl2br w:val="nil"/>
                    <w:tr2bl w:val="nil"/>
                  </w:tcBorders>
                  <w:noWrap w:val="0"/>
                  <w:vAlign w:val="center"/>
                </w:tcPr>
                <w:p>
                  <w:pPr>
                    <w:shd w:val="clear"/>
                    <w:spacing w:line="240" w:lineRule="exact"/>
                    <w:jc w:val="center"/>
                    <w:rPr>
                      <w:rFonts w:ascii="宋体" w:hAnsi="宋体" w:cs="宋体"/>
                      <w:b w:val="0"/>
                      <w:bCs/>
                      <w:color w:val="auto"/>
                      <w:sz w:val="21"/>
                      <w:szCs w:val="21"/>
                      <w:highlight w:val="none"/>
                    </w:rPr>
                  </w:pPr>
                  <w:r>
                    <w:rPr>
                      <w:rFonts w:hint="eastAsia" w:ascii="宋体" w:hAnsi="宋体" w:cs="宋体"/>
                      <w:b w:val="0"/>
                      <w:bCs/>
                      <w:color w:val="auto"/>
                      <w:sz w:val="21"/>
                      <w:szCs w:val="21"/>
                      <w:highlight w:val="none"/>
                    </w:rPr>
                    <w:t>厂界西侧</w:t>
                  </w:r>
                </w:p>
              </w:tc>
              <w:tc>
                <w:tcPr>
                  <w:tcW w:w="643" w:type="pct"/>
                  <w:tcBorders>
                    <w:tl2br w:val="nil"/>
                    <w:tr2bl w:val="nil"/>
                  </w:tcBorders>
                  <w:noWrap w:val="0"/>
                  <w:vAlign w:val="center"/>
                </w:tcPr>
                <w:p>
                  <w:pPr>
                    <w:shd w:val="clear"/>
                    <w:jc w:val="center"/>
                    <w:rPr>
                      <w:rFonts w:hint="eastAsia"/>
                      <w:b w:val="0"/>
                      <w:bCs/>
                      <w:color w:val="auto"/>
                      <w:sz w:val="21"/>
                      <w:szCs w:val="21"/>
                      <w:highlight w:val="none"/>
                    </w:rPr>
                  </w:pPr>
                  <w:r>
                    <w:rPr>
                      <w:rFonts w:hint="eastAsia"/>
                      <w:b w:val="0"/>
                      <w:bCs/>
                      <w:color w:val="auto"/>
                      <w:sz w:val="21"/>
                      <w:szCs w:val="21"/>
                      <w:highlight w:val="none"/>
                    </w:rPr>
                    <w:t>55</w:t>
                  </w:r>
                </w:p>
              </w:tc>
              <w:tc>
                <w:tcPr>
                  <w:tcW w:w="645" w:type="pct"/>
                  <w:tcBorders>
                    <w:tl2br w:val="nil"/>
                    <w:tr2bl w:val="nil"/>
                  </w:tcBorders>
                  <w:noWrap w:val="0"/>
                  <w:vAlign w:val="center"/>
                </w:tcPr>
                <w:p>
                  <w:pPr>
                    <w:shd w:val="clear"/>
                    <w:jc w:val="center"/>
                    <w:rPr>
                      <w:rFonts w:hint="eastAsia"/>
                      <w:b w:val="0"/>
                      <w:bCs/>
                      <w:color w:val="auto"/>
                      <w:sz w:val="21"/>
                      <w:szCs w:val="21"/>
                      <w:highlight w:val="none"/>
                    </w:rPr>
                  </w:pPr>
                  <w:r>
                    <w:rPr>
                      <w:rFonts w:hint="eastAsia"/>
                      <w:b w:val="0"/>
                      <w:bCs/>
                      <w:color w:val="auto"/>
                      <w:sz w:val="21"/>
                      <w:szCs w:val="21"/>
                      <w:highlight w:val="none"/>
                    </w:rPr>
                    <w:t>42</w:t>
                  </w:r>
                </w:p>
              </w:tc>
              <w:tc>
                <w:tcPr>
                  <w:tcW w:w="643" w:type="pct"/>
                  <w:tcBorders>
                    <w:tl2br w:val="nil"/>
                    <w:tr2bl w:val="nil"/>
                  </w:tcBorders>
                  <w:noWrap w:val="0"/>
                  <w:vAlign w:val="center"/>
                </w:tcPr>
                <w:p>
                  <w:pPr>
                    <w:shd w:val="clear"/>
                    <w:jc w:val="center"/>
                    <w:rPr>
                      <w:rFonts w:hint="eastAsia"/>
                      <w:b w:val="0"/>
                      <w:bCs/>
                      <w:color w:val="auto"/>
                      <w:sz w:val="21"/>
                      <w:szCs w:val="21"/>
                      <w:highlight w:val="none"/>
                    </w:rPr>
                  </w:pPr>
                  <w:r>
                    <w:rPr>
                      <w:rFonts w:hint="eastAsia"/>
                      <w:b w:val="0"/>
                      <w:bCs/>
                      <w:color w:val="auto"/>
                      <w:sz w:val="21"/>
                      <w:szCs w:val="21"/>
                      <w:highlight w:val="none"/>
                    </w:rPr>
                    <w:t>53</w:t>
                  </w:r>
                </w:p>
              </w:tc>
              <w:tc>
                <w:tcPr>
                  <w:tcW w:w="645" w:type="pct"/>
                  <w:tcBorders>
                    <w:tl2br w:val="nil"/>
                    <w:tr2bl w:val="nil"/>
                  </w:tcBorders>
                  <w:noWrap w:val="0"/>
                  <w:vAlign w:val="center"/>
                </w:tcPr>
                <w:p>
                  <w:pPr>
                    <w:shd w:val="clear"/>
                    <w:jc w:val="center"/>
                    <w:rPr>
                      <w:rFonts w:hint="eastAsia"/>
                      <w:b w:val="0"/>
                      <w:bCs/>
                      <w:color w:val="auto"/>
                      <w:sz w:val="21"/>
                      <w:szCs w:val="21"/>
                      <w:highlight w:val="none"/>
                    </w:rPr>
                  </w:pPr>
                  <w:r>
                    <w:rPr>
                      <w:rFonts w:hint="eastAsia"/>
                      <w:b w:val="0"/>
                      <w:bCs/>
                      <w:color w:val="auto"/>
                      <w:sz w:val="21"/>
                      <w:szCs w:val="21"/>
                      <w:highlight w:val="none"/>
                    </w:rPr>
                    <w:t>44</w:t>
                  </w:r>
                </w:p>
              </w:tc>
              <w:tc>
                <w:tcPr>
                  <w:tcW w:w="1118" w:type="pct"/>
                  <w:tcBorders>
                    <w:tl2br w:val="nil"/>
                    <w:tr2bl w:val="nil"/>
                  </w:tcBorders>
                  <w:noWrap w:val="0"/>
                  <w:vAlign w:val="center"/>
                </w:tcPr>
                <w:p>
                  <w:pPr>
                    <w:shd w:val="clear"/>
                    <w:jc w:val="center"/>
                    <w:rPr>
                      <w:b w:val="0"/>
                      <w:bCs/>
                      <w:color w:val="auto"/>
                      <w:sz w:val="21"/>
                      <w:szCs w:val="21"/>
                      <w:highlight w:val="none"/>
                    </w:rPr>
                  </w:pPr>
                  <w:r>
                    <w:rPr>
                      <w:b w:val="0"/>
                      <w:bCs/>
                      <w:color w:val="auto"/>
                      <w:sz w:val="21"/>
                      <w:szCs w:val="21"/>
                      <w:highlight w:val="none"/>
                    </w:rPr>
                    <w:t>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03" w:type="pct"/>
                  <w:tcBorders>
                    <w:tl2br w:val="nil"/>
                    <w:tr2bl w:val="nil"/>
                  </w:tcBorders>
                  <w:noWrap w:val="0"/>
                  <w:vAlign w:val="center"/>
                </w:tcPr>
                <w:p>
                  <w:pPr>
                    <w:shd w:val="clear"/>
                    <w:spacing w:line="240" w:lineRule="exact"/>
                    <w:jc w:val="center"/>
                    <w:rPr>
                      <w:rFonts w:ascii="宋体" w:hAnsi="宋体" w:cs="宋体"/>
                      <w:b w:val="0"/>
                      <w:bCs/>
                      <w:color w:val="auto"/>
                      <w:sz w:val="21"/>
                      <w:szCs w:val="21"/>
                      <w:highlight w:val="none"/>
                    </w:rPr>
                  </w:pPr>
                  <w:r>
                    <w:rPr>
                      <w:rFonts w:hint="eastAsia" w:ascii="宋体" w:hAnsi="宋体" w:cs="宋体"/>
                      <w:b w:val="0"/>
                      <w:bCs/>
                      <w:color w:val="auto"/>
                      <w:sz w:val="21"/>
                      <w:szCs w:val="21"/>
                      <w:highlight w:val="none"/>
                    </w:rPr>
                    <w:t>厂界北侧</w:t>
                  </w:r>
                </w:p>
              </w:tc>
              <w:tc>
                <w:tcPr>
                  <w:tcW w:w="643" w:type="pct"/>
                  <w:tcBorders>
                    <w:tl2br w:val="nil"/>
                    <w:tr2bl w:val="nil"/>
                  </w:tcBorders>
                  <w:noWrap w:val="0"/>
                  <w:vAlign w:val="center"/>
                </w:tcPr>
                <w:p>
                  <w:pPr>
                    <w:shd w:val="clear"/>
                    <w:jc w:val="center"/>
                    <w:rPr>
                      <w:rFonts w:hint="eastAsia"/>
                      <w:b w:val="0"/>
                      <w:bCs/>
                      <w:color w:val="auto"/>
                      <w:sz w:val="21"/>
                      <w:szCs w:val="21"/>
                      <w:highlight w:val="none"/>
                    </w:rPr>
                  </w:pPr>
                  <w:r>
                    <w:rPr>
                      <w:rFonts w:hint="eastAsia"/>
                      <w:b w:val="0"/>
                      <w:bCs/>
                      <w:color w:val="auto"/>
                      <w:sz w:val="21"/>
                      <w:szCs w:val="21"/>
                      <w:highlight w:val="none"/>
                    </w:rPr>
                    <w:t>53</w:t>
                  </w:r>
                </w:p>
              </w:tc>
              <w:tc>
                <w:tcPr>
                  <w:tcW w:w="645" w:type="pct"/>
                  <w:tcBorders>
                    <w:tl2br w:val="nil"/>
                    <w:tr2bl w:val="nil"/>
                  </w:tcBorders>
                  <w:noWrap w:val="0"/>
                  <w:vAlign w:val="center"/>
                </w:tcPr>
                <w:p>
                  <w:pPr>
                    <w:shd w:val="clear"/>
                    <w:jc w:val="center"/>
                    <w:rPr>
                      <w:rFonts w:hint="eastAsia"/>
                      <w:b w:val="0"/>
                      <w:bCs/>
                      <w:color w:val="auto"/>
                      <w:sz w:val="21"/>
                      <w:szCs w:val="21"/>
                      <w:highlight w:val="none"/>
                    </w:rPr>
                  </w:pPr>
                  <w:r>
                    <w:rPr>
                      <w:rFonts w:hint="eastAsia"/>
                      <w:b w:val="0"/>
                      <w:bCs/>
                      <w:color w:val="auto"/>
                      <w:sz w:val="21"/>
                      <w:szCs w:val="21"/>
                      <w:highlight w:val="none"/>
                    </w:rPr>
                    <w:t>42</w:t>
                  </w:r>
                </w:p>
              </w:tc>
              <w:tc>
                <w:tcPr>
                  <w:tcW w:w="643" w:type="pct"/>
                  <w:tcBorders>
                    <w:tl2br w:val="nil"/>
                    <w:tr2bl w:val="nil"/>
                  </w:tcBorders>
                  <w:noWrap w:val="0"/>
                  <w:vAlign w:val="center"/>
                </w:tcPr>
                <w:p>
                  <w:pPr>
                    <w:shd w:val="clear"/>
                    <w:jc w:val="center"/>
                    <w:rPr>
                      <w:rFonts w:hint="eastAsia"/>
                      <w:b w:val="0"/>
                      <w:bCs/>
                      <w:color w:val="auto"/>
                      <w:sz w:val="21"/>
                      <w:szCs w:val="21"/>
                      <w:highlight w:val="none"/>
                    </w:rPr>
                  </w:pPr>
                  <w:r>
                    <w:rPr>
                      <w:rFonts w:hint="eastAsia"/>
                      <w:b w:val="0"/>
                      <w:bCs/>
                      <w:color w:val="auto"/>
                      <w:sz w:val="21"/>
                      <w:szCs w:val="21"/>
                      <w:highlight w:val="none"/>
                    </w:rPr>
                    <w:t>51</w:t>
                  </w:r>
                </w:p>
              </w:tc>
              <w:tc>
                <w:tcPr>
                  <w:tcW w:w="645" w:type="pct"/>
                  <w:tcBorders>
                    <w:tl2br w:val="nil"/>
                    <w:tr2bl w:val="nil"/>
                  </w:tcBorders>
                  <w:noWrap w:val="0"/>
                  <w:vAlign w:val="center"/>
                </w:tcPr>
                <w:p>
                  <w:pPr>
                    <w:shd w:val="clear"/>
                    <w:jc w:val="center"/>
                    <w:rPr>
                      <w:rFonts w:hint="eastAsia"/>
                      <w:b w:val="0"/>
                      <w:bCs/>
                      <w:color w:val="auto"/>
                      <w:sz w:val="21"/>
                      <w:szCs w:val="21"/>
                      <w:highlight w:val="none"/>
                    </w:rPr>
                  </w:pPr>
                  <w:r>
                    <w:rPr>
                      <w:rFonts w:hint="eastAsia"/>
                      <w:b w:val="0"/>
                      <w:bCs/>
                      <w:color w:val="auto"/>
                      <w:sz w:val="21"/>
                      <w:szCs w:val="21"/>
                      <w:highlight w:val="none"/>
                    </w:rPr>
                    <w:t>43</w:t>
                  </w:r>
                </w:p>
              </w:tc>
              <w:tc>
                <w:tcPr>
                  <w:tcW w:w="1118" w:type="pct"/>
                  <w:tcBorders>
                    <w:tl2br w:val="nil"/>
                    <w:tr2bl w:val="nil"/>
                  </w:tcBorders>
                  <w:noWrap w:val="0"/>
                  <w:vAlign w:val="center"/>
                </w:tcPr>
                <w:p>
                  <w:pPr>
                    <w:shd w:val="clear"/>
                    <w:jc w:val="center"/>
                    <w:rPr>
                      <w:b w:val="0"/>
                      <w:bCs/>
                      <w:color w:val="auto"/>
                      <w:sz w:val="21"/>
                      <w:szCs w:val="21"/>
                      <w:highlight w:val="none"/>
                    </w:rPr>
                  </w:pPr>
                  <w:r>
                    <w:rPr>
                      <w:b w:val="0"/>
                      <w:bCs/>
                      <w:color w:val="auto"/>
                      <w:sz w:val="21"/>
                      <w:szCs w:val="21"/>
                      <w:highlight w:val="none"/>
                    </w:rPr>
                    <w:t>dB(A)</w:t>
                  </w:r>
                </w:p>
              </w:tc>
            </w:tr>
          </w:tbl>
          <w:p>
            <w:pPr>
              <w:widowControl/>
              <w:shd w:val="clear"/>
              <w:snapToGrid w:val="0"/>
              <w:spacing w:line="360" w:lineRule="auto"/>
              <w:ind w:firstLine="480" w:firstLineChars="200"/>
              <w:rPr>
                <w:color w:val="auto"/>
                <w:kern w:val="0"/>
                <w:sz w:val="24"/>
                <w:highlight w:val="none"/>
              </w:rPr>
            </w:pPr>
            <w:r>
              <w:rPr>
                <w:rFonts w:hint="eastAsia"/>
                <w:color w:val="auto"/>
                <w:kern w:val="0"/>
                <w:sz w:val="24"/>
                <w:highlight w:val="none"/>
                <w:lang w:val="en-US" w:eastAsia="zh-CN"/>
              </w:rPr>
              <w:t>本项目</w:t>
            </w:r>
            <w:r>
              <w:rPr>
                <w:color w:val="auto"/>
                <w:kern w:val="0"/>
                <w:sz w:val="24"/>
                <w:highlight w:val="none"/>
              </w:rPr>
              <w:t>声环境噪声监测点昼间、夜间监测结果均满足《声环境质量标准》</w:t>
            </w:r>
            <w:r>
              <w:rPr>
                <w:rFonts w:hint="eastAsia"/>
                <w:color w:val="auto"/>
                <w:kern w:val="0"/>
                <w:sz w:val="24"/>
                <w:highlight w:val="none"/>
              </w:rPr>
              <w:t>（</w:t>
            </w:r>
            <w:r>
              <w:rPr>
                <w:color w:val="auto"/>
                <w:kern w:val="0"/>
                <w:sz w:val="24"/>
                <w:highlight w:val="none"/>
              </w:rPr>
              <w:t>GB3096-2008）中的2类区</w:t>
            </w:r>
            <w:r>
              <w:rPr>
                <w:rFonts w:hint="eastAsia"/>
                <w:color w:val="auto"/>
                <w:kern w:val="0"/>
                <w:sz w:val="24"/>
                <w:highlight w:val="none"/>
                <w:lang w:eastAsia="zh-CN"/>
              </w:rPr>
              <w:t>、</w:t>
            </w:r>
            <w:r>
              <w:rPr>
                <w:rFonts w:hint="eastAsia"/>
                <w:color w:val="auto"/>
                <w:kern w:val="0"/>
                <w:sz w:val="24"/>
                <w:highlight w:val="none"/>
                <w:lang w:val="en-US" w:eastAsia="zh-CN"/>
              </w:rPr>
              <w:t>4a类区</w:t>
            </w:r>
            <w:r>
              <w:rPr>
                <w:color w:val="auto"/>
                <w:kern w:val="0"/>
                <w:sz w:val="24"/>
                <w:highlight w:val="none"/>
              </w:rPr>
              <w:t>标准限值，项目所在区域声环境质量良好。</w:t>
            </w:r>
          </w:p>
          <w:p>
            <w:pPr>
              <w:shd w:val="clear"/>
              <w:spacing w:line="360" w:lineRule="auto"/>
              <w:ind w:firstLine="482" w:firstLineChars="200"/>
              <w:contextualSpacing/>
              <w:rPr>
                <w:b/>
                <w:color w:val="auto"/>
                <w:sz w:val="24"/>
              </w:rPr>
            </w:pPr>
            <w:r>
              <w:rPr>
                <w:rFonts w:hint="eastAsia"/>
                <w:b/>
                <w:color w:val="auto"/>
                <w:sz w:val="24"/>
                <w:lang w:val="en-US" w:eastAsia="zh-CN"/>
              </w:rPr>
              <w:t>四</w:t>
            </w:r>
            <w:r>
              <w:rPr>
                <w:b/>
                <w:color w:val="auto"/>
                <w:sz w:val="24"/>
              </w:rPr>
              <w:t>、</w:t>
            </w:r>
            <w:r>
              <w:rPr>
                <w:rFonts w:hint="eastAsia"/>
                <w:b/>
                <w:color w:val="auto"/>
                <w:sz w:val="24"/>
              </w:rPr>
              <w:t>生态环境</w:t>
            </w:r>
          </w:p>
          <w:p>
            <w:pPr>
              <w:shd w:val="clear"/>
              <w:spacing w:line="360" w:lineRule="auto"/>
              <w:ind w:firstLine="480" w:firstLineChars="200"/>
              <w:contextualSpacing/>
              <w:jc w:val="left"/>
              <w:rPr>
                <w:color w:val="auto"/>
                <w:kern w:val="0"/>
                <w:sz w:val="24"/>
              </w:rPr>
            </w:pPr>
            <w:r>
              <w:rPr>
                <w:rFonts w:hint="eastAsia"/>
                <w:bCs/>
                <w:snapToGrid w:val="0"/>
                <w:color w:val="auto"/>
                <w:sz w:val="24"/>
              </w:rPr>
              <w:t>本项目用</w:t>
            </w:r>
            <w:r>
              <w:rPr>
                <w:rFonts w:hint="eastAsia"/>
                <w:bCs/>
                <w:snapToGrid w:val="0"/>
                <w:color w:val="auto"/>
                <w:sz w:val="24"/>
                <w:shd w:val="clear"/>
              </w:rPr>
              <w:t>地为</w:t>
            </w:r>
            <w:r>
              <w:rPr>
                <w:rFonts w:hint="eastAsia"/>
                <w:bCs/>
                <w:snapToGrid w:val="0"/>
                <w:color w:val="auto"/>
                <w:sz w:val="24"/>
                <w:shd w:val="clear"/>
                <w:lang w:val="en-US" w:eastAsia="zh-CN"/>
              </w:rPr>
              <w:t>建设</w:t>
            </w:r>
            <w:r>
              <w:rPr>
                <w:rFonts w:hint="eastAsia"/>
                <w:bCs/>
                <w:snapToGrid w:val="0"/>
                <w:color w:val="auto"/>
                <w:sz w:val="24"/>
                <w:shd w:val="clear"/>
              </w:rPr>
              <w:t>用地，</w:t>
            </w:r>
            <w:r>
              <w:rPr>
                <w:rFonts w:hint="eastAsia"/>
                <w:bCs/>
                <w:snapToGrid w:val="0"/>
                <w:color w:val="auto"/>
                <w:sz w:val="24"/>
              </w:rPr>
              <w:t>用地范围内无生态环境保护目标，因此不进行生态现状调查。</w:t>
            </w:r>
          </w:p>
          <w:p>
            <w:pPr>
              <w:shd w:val="clear"/>
              <w:spacing w:line="360" w:lineRule="auto"/>
              <w:ind w:firstLine="482" w:firstLineChars="200"/>
              <w:contextualSpacing/>
              <w:rPr>
                <w:b/>
                <w:color w:val="auto"/>
                <w:sz w:val="24"/>
              </w:rPr>
            </w:pPr>
            <w:r>
              <w:rPr>
                <w:rFonts w:hint="eastAsia"/>
                <w:b/>
                <w:color w:val="auto"/>
                <w:sz w:val="24"/>
                <w:lang w:val="en-US" w:eastAsia="zh-CN"/>
              </w:rPr>
              <w:t>五</w:t>
            </w:r>
            <w:r>
              <w:rPr>
                <w:b/>
                <w:color w:val="auto"/>
                <w:sz w:val="24"/>
              </w:rPr>
              <w:t>、</w:t>
            </w:r>
            <w:r>
              <w:rPr>
                <w:rFonts w:hint="eastAsia"/>
                <w:b/>
                <w:color w:val="auto"/>
                <w:sz w:val="24"/>
              </w:rPr>
              <w:t>土壤环境</w:t>
            </w:r>
          </w:p>
          <w:p>
            <w:pPr>
              <w:shd w:val="clear"/>
              <w:spacing w:line="360" w:lineRule="auto"/>
              <w:ind w:firstLine="480" w:firstLineChars="200"/>
              <w:rPr>
                <w:rFonts w:cs="宋体"/>
                <w:color w:val="auto"/>
                <w:sz w:val="24"/>
              </w:rPr>
            </w:pPr>
            <w:r>
              <w:rPr>
                <w:rFonts w:hint="eastAsia"/>
                <w:bCs/>
                <w:snapToGrid w:val="0"/>
                <w:color w:val="auto"/>
                <w:sz w:val="24"/>
              </w:rPr>
              <w:t>本项目属于农产品初加工项目，不存在土壤污染途径，因此，不进行土壤环境质量现状监测。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77" w:hRule="atLeast"/>
          <w:jc w:val="center"/>
        </w:trPr>
        <w:tc>
          <w:tcPr>
            <w:tcW w:w="505" w:type="dxa"/>
            <w:vAlign w:val="center"/>
          </w:tcPr>
          <w:p>
            <w:pPr>
              <w:shd w:val="clear"/>
              <w:adjustRightInd w:val="0"/>
              <w:snapToGrid w:val="0"/>
              <w:jc w:val="center"/>
              <w:rPr>
                <w:color w:val="auto"/>
                <w:kern w:val="0"/>
                <w:szCs w:val="21"/>
              </w:rPr>
            </w:pPr>
            <w:r>
              <w:rPr>
                <w:color w:val="auto"/>
                <w:kern w:val="0"/>
                <w:szCs w:val="21"/>
              </w:rPr>
              <w:t>环境</w:t>
            </w:r>
          </w:p>
          <w:p>
            <w:pPr>
              <w:shd w:val="clear"/>
              <w:adjustRightInd w:val="0"/>
              <w:snapToGrid w:val="0"/>
              <w:jc w:val="center"/>
              <w:rPr>
                <w:color w:val="auto"/>
                <w:kern w:val="0"/>
                <w:szCs w:val="21"/>
              </w:rPr>
            </w:pPr>
            <w:r>
              <w:rPr>
                <w:color w:val="auto"/>
                <w:kern w:val="0"/>
                <w:szCs w:val="21"/>
              </w:rPr>
              <w:t>保护</w:t>
            </w:r>
          </w:p>
          <w:p>
            <w:pPr>
              <w:shd w:val="clear"/>
              <w:adjustRightInd w:val="0"/>
              <w:snapToGrid w:val="0"/>
              <w:jc w:val="center"/>
              <w:rPr>
                <w:color w:val="auto"/>
                <w:kern w:val="0"/>
                <w:szCs w:val="21"/>
              </w:rPr>
            </w:pPr>
            <w:r>
              <w:rPr>
                <w:color w:val="auto"/>
                <w:kern w:val="0"/>
                <w:szCs w:val="21"/>
              </w:rPr>
              <w:t>目标</w:t>
            </w:r>
          </w:p>
        </w:tc>
        <w:tc>
          <w:tcPr>
            <w:tcW w:w="8556" w:type="dxa"/>
            <w:vAlign w:val="center"/>
          </w:tcPr>
          <w:p>
            <w:pPr>
              <w:pStyle w:val="39"/>
              <w:keepNext w:val="0"/>
              <w:keepLines w:val="0"/>
              <w:pageBreakBefore w:val="0"/>
              <w:widowControl w:val="0"/>
              <w:shd w:val="clear"/>
              <w:kinsoku/>
              <w:wordWrap/>
              <w:overflowPunct/>
              <w:topLinePunct w:val="0"/>
              <w:autoSpaceDE/>
              <w:autoSpaceDN/>
              <w:bidi w:val="0"/>
              <w:adjustRightInd w:val="0"/>
              <w:snapToGrid w:val="0"/>
              <w:spacing w:line="360" w:lineRule="auto"/>
              <w:ind w:firstLine="482" w:firstLineChars="200"/>
              <w:textAlignment w:val="auto"/>
              <w:rPr>
                <w:rFonts w:eastAsia="宋体"/>
                <w:b/>
                <w:bCs/>
                <w:color w:val="auto"/>
                <w:highlight w:val="none"/>
              </w:rPr>
            </w:pPr>
            <w:r>
              <w:rPr>
                <w:rFonts w:hint="eastAsia" w:eastAsia="宋体"/>
                <w:b/>
                <w:bCs/>
                <w:color w:val="auto"/>
                <w:highlight w:val="none"/>
              </w:rPr>
              <w:t>一、</w:t>
            </w:r>
            <w:r>
              <w:rPr>
                <w:rFonts w:eastAsia="宋体"/>
                <w:b/>
                <w:bCs/>
                <w:color w:val="auto"/>
                <w:highlight w:val="none"/>
              </w:rPr>
              <w:t>大气环境保护目标</w:t>
            </w:r>
          </w:p>
          <w:p>
            <w:pPr>
              <w:pStyle w:val="36"/>
              <w:shd w:val="clear"/>
              <w:spacing w:line="360" w:lineRule="auto"/>
              <w:ind w:firstLine="480" w:firstLineChars="200"/>
              <w:jc w:val="both"/>
              <w:rPr>
                <w:rFonts w:ascii="Times New Roman" w:hAnsi="Times New Roman" w:eastAsia="宋体"/>
                <w:snapToGrid w:val="0"/>
                <w:color w:val="auto"/>
                <w:sz w:val="24"/>
                <w:highlight w:val="none"/>
                <w:lang w:val="en-GB"/>
              </w:rPr>
            </w:pPr>
            <w:r>
              <w:rPr>
                <w:rFonts w:hint="eastAsia" w:ascii="Times New Roman" w:hAnsi="Times New Roman" w:eastAsia="宋体"/>
                <w:snapToGrid w:val="0"/>
                <w:color w:val="auto"/>
                <w:sz w:val="24"/>
                <w:highlight w:val="none"/>
                <w:lang w:val="en-GB"/>
              </w:rPr>
              <w:t>根据《建设项目环境影响评价报告表编制技术指南》（污染影响类）及现状调查结果，本项目选址厂界外500m范围内无大气环境保护目标。</w:t>
            </w:r>
          </w:p>
          <w:p>
            <w:pPr>
              <w:pStyle w:val="56"/>
              <w:shd w:val="clear"/>
              <w:ind w:left="0" w:leftChars="0" w:firstLine="482" w:firstLineChars="200"/>
              <w:rPr>
                <w:rFonts w:hint="default"/>
                <w:b/>
                <w:bCs/>
                <w:color w:val="auto"/>
                <w:highlight w:val="none"/>
              </w:rPr>
            </w:pPr>
            <w:r>
              <w:rPr>
                <w:rFonts w:hint="eastAsia"/>
                <w:b/>
                <w:bCs/>
                <w:color w:val="auto"/>
                <w:highlight w:val="none"/>
                <w:lang w:val="en-US" w:eastAsia="zh-CN"/>
              </w:rPr>
              <w:t>二</w:t>
            </w:r>
            <w:r>
              <w:rPr>
                <w:rFonts w:hint="default"/>
                <w:b/>
                <w:bCs/>
                <w:color w:val="auto"/>
                <w:highlight w:val="none"/>
              </w:rPr>
              <w:t>、声环境保护目标</w:t>
            </w:r>
          </w:p>
          <w:p>
            <w:pPr>
              <w:pStyle w:val="56"/>
              <w:shd w:val="clear"/>
              <w:ind w:firstLine="480"/>
              <w:rPr>
                <w:rFonts w:hint="default" w:ascii="Times New Roman" w:hAnsi="Times New Roman"/>
                <w:color w:val="auto"/>
                <w:sz w:val="24"/>
                <w:highlight w:val="none"/>
                <w:shd w:val="clear" w:color="auto" w:fill="auto"/>
              </w:rPr>
            </w:pPr>
            <w:r>
              <w:rPr>
                <w:rFonts w:hint="default" w:ascii="Times New Roman" w:hAnsi="Times New Roman"/>
                <w:color w:val="auto"/>
                <w:sz w:val="24"/>
                <w:highlight w:val="none"/>
                <w:shd w:val="clear" w:color="auto" w:fill="auto"/>
              </w:rPr>
              <w:t>根据《建设项目环境影响评价报告表编制技术指南》（污染影响类）及现状调查结果，厂界外50m范围内无声环境保护目标</w:t>
            </w:r>
            <w:r>
              <w:rPr>
                <w:rFonts w:ascii="Times New Roman" w:hAnsi="Times New Roman"/>
                <w:color w:val="auto"/>
                <w:sz w:val="24"/>
                <w:highlight w:val="none"/>
                <w:shd w:val="clear" w:color="auto" w:fill="auto"/>
              </w:rPr>
              <w:t>。</w:t>
            </w:r>
          </w:p>
          <w:p>
            <w:pPr>
              <w:pStyle w:val="56"/>
              <w:shd w:val="clear"/>
              <w:ind w:left="0" w:leftChars="0" w:firstLine="482" w:firstLineChars="200"/>
              <w:rPr>
                <w:rFonts w:hint="default" w:ascii="Times New Roman" w:hAnsi="Times New Roman"/>
                <w:color w:val="auto"/>
                <w:sz w:val="24"/>
                <w:highlight w:val="none"/>
              </w:rPr>
            </w:pPr>
            <w:r>
              <w:rPr>
                <w:rFonts w:hint="eastAsia" w:ascii="Times New Roman" w:hAnsi="Times New Roman"/>
                <w:b/>
                <w:bCs/>
                <w:color w:val="auto"/>
                <w:sz w:val="24"/>
                <w:highlight w:val="none"/>
                <w:lang w:val="en-US" w:eastAsia="zh-CN"/>
              </w:rPr>
              <w:t>三</w:t>
            </w:r>
            <w:r>
              <w:rPr>
                <w:rFonts w:hint="default" w:ascii="Times New Roman" w:hAnsi="Times New Roman"/>
                <w:b/>
                <w:bCs/>
                <w:color w:val="auto"/>
                <w:sz w:val="24"/>
                <w:highlight w:val="none"/>
              </w:rPr>
              <w:t>、地下水环境保护目标</w:t>
            </w:r>
          </w:p>
          <w:p>
            <w:pPr>
              <w:pStyle w:val="56"/>
              <w:shd w:val="clear"/>
              <w:ind w:firstLine="480"/>
              <w:rPr>
                <w:rFonts w:hint="default" w:ascii="Times New Roman" w:hAnsi="Times New Roman"/>
                <w:color w:val="auto"/>
                <w:sz w:val="24"/>
                <w:highlight w:val="none"/>
              </w:rPr>
            </w:pPr>
            <w:r>
              <w:rPr>
                <w:rFonts w:hint="default" w:ascii="Times New Roman" w:hAnsi="Times New Roman"/>
                <w:color w:val="auto"/>
                <w:sz w:val="24"/>
                <w:highlight w:val="none"/>
              </w:rPr>
              <w:t>根据《建设项目环境影响评价报告表编制技术指南》（污染影响类）及现状调查结果，厂界外500m范围内无地下水集中式饮用水水源和热水、矿泉水、温泉等特殊地下水资源，无地下水环境保护目标。</w:t>
            </w:r>
          </w:p>
          <w:p>
            <w:pPr>
              <w:pStyle w:val="56"/>
              <w:shd w:val="clear"/>
              <w:ind w:left="0" w:leftChars="0" w:firstLine="482" w:firstLineChars="200"/>
              <w:rPr>
                <w:rFonts w:hint="default" w:ascii="Times New Roman" w:hAnsi="Times New Roman"/>
                <w:color w:val="auto"/>
                <w:sz w:val="24"/>
                <w:highlight w:val="none"/>
              </w:rPr>
            </w:pPr>
            <w:r>
              <w:rPr>
                <w:rFonts w:hint="eastAsia" w:ascii="Times New Roman" w:hAnsi="Times New Roman"/>
                <w:b/>
                <w:bCs/>
                <w:color w:val="auto"/>
                <w:sz w:val="24"/>
                <w:highlight w:val="none"/>
                <w:lang w:val="en-US" w:eastAsia="zh-CN"/>
              </w:rPr>
              <w:t>四</w:t>
            </w:r>
            <w:r>
              <w:rPr>
                <w:rFonts w:ascii="Times New Roman" w:hAnsi="Times New Roman"/>
                <w:b/>
                <w:bCs/>
                <w:color w:val="auto"/>
                <w:sz w:val="24"/>
                <w:highlight w:val="none"/>
              </w:rPr>
              <w:t>、</w:t>
            </w:r>
            <w:r>
              <w:rPr>
                <w:rFonts w:hint="default" w:ascii="Times New Roman" w:hAnsi="Times New Roman"/>
                <w:b/>
                <w:bCs/>
                <w:color w:val="auto"/>
                <w:sz w:val="24"/>
                <w:highlight w:val="none"/>
              </w:rPr>
              <w:t>生态环境保护目标</w:t>
            </w:r>
          </w:p>
          <w:p>
            <w:pPr>
              <w:pStyle w:val="36"/>
              <w:shd w:val="clear"/>
              <w:spacing w:line="360" w:lineRule="auto"/>
              <w:ind w:firstLine="480" w:firstLineChars="200"/>
              <w:jc w:val="both"/>
              <w:rPr>
                <w:rFonts w:ascii="Times New Roman" w:hAnsi="Times New Roman" w:eastAsia="宋体" w:cs="Times New Roman"/>
                <w:color w:val="auto"/>
                <w:szCs w:val="21"/>
              </w:rPr>
            </w:pPr>
            <w:r>
              <w:rPr>
                <w:rFonts w:hint="default" w:ascii="Times New Roman" w:hAnsi="Times New Roman" w:eastAsia="宋体" w:cs="Times New Roman"/>
                <w:color w:val="auto"/>
                <w:kern w:val="0"/>
                <w:sz w:val="24"/>
                <w:szCs w:val="22"/>
                <w:highlight w:val="none"/>
                <w:lang w:val="zh-CN" w:eastAsia="zh-CN" w:bidi="ar-SA"/>
              </w:rPr>
              <w:t>根据《建设项目环境影响评价报告表编制技术指南》（污染影响类）及现状调查结果，本项目占地范围内土地类别为</w:t>
            </w:r>
            <w:r>
              <w:rPr>
                <w:rFonts w:hint="eastAsia" w:ascii="Times New Roman" w:hAnsi="Times New Roman" w:eastAsia="宋体" w:cs="Times New Roman"/>
                <w:color w:val="auto"/>
                <w:kern w:val="0"/>
                <w:sz w:val="24"/>
                <w:szCs w:val="22"/>
                <w:highlight w:val="none"/>
                <w:lang w:val="en-US" w:eastAsia="zh-CN" w:bidi="ar-SA"/>
              </w:rPr>
              <w:t>建设</w:t>
            </w:r>
            <w:r>
              <w:rPr>
                <w:rFonts w:hint="default" w:ascii="Times New Roman" w:hAnsi="Times New Roman" w:eastAsia="宋体" w:cs="Times New Roman"/>
                <w:color w:val="auto"/>
                <w:kern w:val="0"/>
                <w:sz w:val="24"/>
                <w:szCs w:val="22"/>
                <w:highlight w:val="none"/>
                <w:lang w:val="zh-CN" w:eastAsia="zh-CN" w:bidi="ar-SA"/>
              </w:rPr>
              <w:t>用地，无主要生态影响，无生态环境保护目标。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93" w:hRule="atLeast"/>
          <w:jc w:val="center"/>
        </w:trPr>
        <w:tc>
          <w:tcPr>
            <w:tcW w:w="505" w:type="dxa"/>
            <w:tcMar>
              <w:left w:w="28" w:type="dxa"/>
              <w:right w:w="28" w:type="dxa"/>
            </w:tcMar>
            <w:vAlign w:val="center"/>
          </w:tcPr>
          <w:p>
            <w:pPr>
              <w:shd w:val="clear"/>
              <w:adjustRightInd w:val="0"/>
              <w:snapToGrid w:val="0"/>
              <w:jc w:val="center"/>
              <w:rPr>
                <w:color w:val="auto"/>
                <w:kern w:val="0"/>
                <w:szCs w:val="21"/>
              </w:rPr>
            </w:pPr>
            <w:r>
              <w:rPr>
                <w:color w:val="auto"/>
                <w:kern w:val="0"/>
                <w:szCs w:val="21"/>
              </w:rPr>
              <w:t>污染</w:t>
            </w:r>
          </w:p>
          <w:p>
            <w:pPr>
              <w:shd w:val="clear"/>
              <w:adjustRightInd w:val="0"/>
              <w:snapToGrid w:val="0"/>
              <w:jc w:val="center"/>
              <w:rPr>
                <w:color w:val="auto"/>
                <w:kern w:val="0"/>
                <w:szCs w:val="21"/>
              </w:rPr>
            </w:pPr>
            <w:r>
              <w:rPr>
                <w:color w:val="auto"/>
                <w:kern w:val="0"/>
                <w:szCs w:val="21"/>
              </w:rPr>
              <w:t>物排</w:t>
            </w:r>
          </w:p>
          <w:p>
            <w:pPr>
              <w:shd w:val="clear"/>
              <w:adjustRightInd w:val="0"/>
              <w:snapToGrid w:val="0"/>
              <w:jc w:val="center"/>
              <w:rPr>
                <w:color w:val="auto"/>
                <w:kern w:val="0"/>
                <w:szCs w:val="21"/>
              </w:rPr>
            </w:pPr>
            <w:r>
              <w:rPr>
                <w:color w:val="auto"/>
                <w:kern w:val="0"/>
                <w:szCs w:val="21"/>
              </w:rPr>
              <w:t>放控</w:t>
            </w:r>
          </w:p>
          <w:p>
            <w:pPr>
              <w:shd w:val="clear"/>
              <w:adjustRightInd w:val="0"/>
              <w:snapToGrid w:val="0"/>
              <w:jc w:val="center"/>
              <w:rPr>
                <w:color w:val="auto"/>
                <w:kern w:val="0"/>
                <w:szCs w:val="21"/>
              </w:rPr>
            </w:pPr>
            <w:r>
              <w:rPr>
                <w:color w:val="auto"/>
                <w:kern w:val="0"/>
                <w:szCs w:val="21"/>
              </w:rPr>
              <w:t>制标</w:t>
            </w:r>
          </w:p>
          <w:p>
            <w:pPr>
              <w:shd w:val="clear"/>
              <w:adjustRightInd w:val="0"/>
              <w:snapToGrid w:val="0"/>
              <w:jc w:val="center"/>
              <w:rPr>
                <w:color w:val="auto"/>
                <w:kern w:val="0"/>
                <w:szCs w:val="21"/>
              </w:rPr>
            </w:pPr>
            <w:r>
              <w:rPr>
                <w:color w:val="auto"/>
                <w:kern w:val="0"/>
                <w:szCs w:val="21"/>
              </w:rPr>
              <w:t>准</w:t>
            </w:r>
          </w:p>
        </w:tc>
        <w:tc>
          <w:tcPr>
            <w:tcW w:w="8556" w:type="dxa"/>
            <w:vAlign w:val="center"/>
          </w:tcPr>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contextualSpacing/>
              <w:textAlignment w:val="auto"/>
              <w:rPr>
                <w:rFonts w:hint="default" w:ascii="Times New Roman" w:hAnsi="Times New Roman" w:cs="Times New Roman"/>
                <w:b w:val="0"/>
                <w:bCs/>
                <w:color w:val="auto"/>
                <w:kern w:val="0"/>
                <w:sz w:val="24"/>
                <w:szCs w:val="24"/>
              </w:rPr>
            </w:pPr>
            <w:r>
              <w:rPr>
                <w:rFonts w:hint="default" w:ascii="Times New Roman" w:hAnsi="Times New Roman" w:cs="Times New Roman"/>
                <w:b w:val="0"/>
                <w:bCs/>
                <w:color w:val="auto"/>
                <w:kern w:val="0"/>
                <w:sz w:val="24"/>
                <w:szCs w:val="24"/>
              </w:rPr>
              <w:t>1、废气</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cs="Times New Roman"/>
                <w:b w:val="0"/>
                <w:bCs/>
                <w:color w:val="auto"/>
                <w:sz w:val="24"/>
                <w:szCs w:val="24"/>
                <w:highlight w:val="none"/>
                <w:lang w:eastAsia="zh-CN"/>
              </w:rPr>
              <w:t>（</w:t>
            </w:r>
            <w:r>
              <w:rPr>
                <w:rFonts w:hint="default" w:ascii="Times New Roman" w:hAnsi="Times New Roman" w:cs="Times New Roman"/>
                <w:b w:val="0"/>
                <w:bCs/>
                <w:color w:val="auto"/>
                <w:sz w:val="24"/>
                <w:szCs w:val="24"/>
                <w:highlight w:val="none"/>
                <w:lang w:val="en-US" w:eastAsia="zh-CN"/>
              </w:rPr>
              <w:t>1</w:t>
            </w:r>
            <w:r>
              <w:rPr>
                <w:rFonts w:hint="default" w:ascii="Times New Roman" w:hAnsi="Times New Roman" w:cs="Times New Roman"/>
                <w:b w:val="0"/>
                <w:bCs/>
                <w:color w:val="auto"/>
                <w:sz w:val="24"/>
                <w:szCs w:val="24"/>
                <w:highlight w:val="none"/>
                <w:lang w:eastAsia="zh-CN"/>
              </w:rPr>
              <w:t>）</w:t>
            </w:r>
            <w:r>
              <w:rPr>
                <w:rFonts w:hint="default" w:ascii="Times New Roman" w:hAnsi="Times New Roman" w:cs="Times New Roman"/>
                <w:b w:val="0"/>
                <w:bCs/>
                <w:color w:val="auto"/>
                <w:sz w:val="24"/>
                <w:szCs w:val="24"/>
                <w:highlight w:val="none"/>
                <w:lang w:val="en-US" w:eastAsia="zh-CN"/>
              </w:rPr>
              <w:t>施工期</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b w:val="0"/>
                <w:bCs/>
                <w:color w:val="auto"/>
                <w:sz w:val="24"/>
                <w:szCs w:val="24"/>
                <w:highlight w:val="none"/>
                <w:lang w:eastAsia="zh-CN"/>
              </w:rPr>
            </w:pPr>
            <w:r>
              <w:rPr>
                <w:rFonts w:hint="default" w:ascii="Times New Roman" w:hAnsi="Times New Roman" w:cs="Times New Roman"/>
                <w:b w:val="0"/>
                <w:bCs/>
                <w:color w:val="auto"/>
                <w:sz w:val="24"/>
                <w:szCs w:val="24"/>
                <w:highlight w:val="none"/>
              </w:rPr>
              <w:t>施工期扬尘执行《大气污染物综合排放标准》（GB16297-1996）表2</w:t>
            </w:r>
            <w:r>
              <w:rPr>
                <w:rFonts w:hint="default" w:ascii="Times New Roman" w:hAnsi="Times New Roman" w:cs="Times New Roman"/>
                <w:b w:val="0"/>
                <w:bCs/>
                <w:color w:val="auto"/>
                <w:sz w:val="24"/>
                <w:szCs w:val="24"/>
                <w:highlight w:val="none"/>
                <w:lang w:val="en-US" w:eastAsia="zh-CN"/>
              </w:rPr>
              <w:t>新污染源大气污染物排放限值</w:t>
            </w:r>
            <w:r>
              <w:rPr>
                <w:rFonts w:hint="default" w:ascii="Times New Roman" w:hAnsi="Times New Roman" w:cs="Times New Roman"/>
                <w:b w:val="0"/>
                <w:bCs/>
                <w:color w:val="auto"/>
                <w:sz w:val="24"/>
                <w:szCs w:val="24"/>
                <w:highlight w:val="none"/>
              </w:rPr>
              <w:t>中无组织排放监控浓度限值</w:t>
            </w:r>
            <w:r>
              <w:rPr>
                <w:rFonts w:hint="default" w:ascii="Times New Roman" w:hAnsi="Times New Roman" w:cs="Times New Roman"/>
                <w:b w:val="0"/>
                <w:bCs/>
                <w:color w:val="auto"/>
                <w:sz w:val="24"/>
                <w:szCs w:val="24"/>
                <w:highlight w:val="none"/>
                <w:lang w:eastAsia="zh-CN"/>
              </w:rPr>
              <w:t>。</w:t>
            </w:r>
          </w:p>
          <w:p>
            <w:pPr>
              <w:numPr>
                <w:ilvl w:val="0"/>
                <w:numId w:val="0"/>
              </w:numPr>
              <w:shd w:val="clear"/>
              <w:spacing w:line="360" w:lineRule="auto"/>
              <w:ind w:leftChars="200"/>
              <w:rPr>
                <w:rFonts w:hint="eastAsia"/>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rPr>
              <w:t>运营期</w:t>
            </w:r>
          </w:p>
          <w:p>
            <w:pPr>
              <w:shd w:val="clear"/>
              <w:spacing w:line="360" w:lineRule="auto"/>
              <w:ind w:firstLine="480" w:firstLineChars="200"/>
              <w:rPr>
                <w:rFonts w:hint="default" w:ascii="Times New Roman" w:hAnsi="Times New Roman" w:cs="Times New Roman"/>
                <w:b w:val="0"/>
                <w:bCs/>
                <w:color w:val="auto"/>
                <w:sz w:val="24"/>
                <w:szCs w:val="24"/>
                <w:shd w:val="clear"/>
              </w:rPr>
            </w:pPr>
            <w:r>
              <w:rPr>
                <w:rFonts w:hint="default" w:ascii="Times New Roman" w:hAnsi="Times New Roman" w:eastAsia="宋体" w:cs="Times New Roman"/>
                <w:b w:val="0"/>
                <w:bCs/>
                <w:color w:val="auto"/>
                <w:kern w:val="0"/>
                <w:sz w:val="24"/>
                <w:szCs w:val="24"/>
              </w:rPr>
              <w:t>本项目运营期锅炉烟气执行《锅炉大气污染物排放标准》（GB13271-2014）</w:t>
            </w:r>
            <w:r>
              <w:rPr>
                <w:rFonts w:hint="eastAsia" w:ascii="Times New Roman" w:hAnsi="Times New Roman" w:eastAsia="宋体" w:cs="Times New Roman"/>
                <w:b w:val="0"/>
                <w:bCs/>
                <w:color w:val="auto"/>
                <w:kern w:val="0"/>
                <w:sz w:val="24"/>
                <w:szCs w:val="24"/>
              </w:rPr>
              <w:t>表2新建锅炉大气污染物排放浓度限值中燃煤锅炉</w:t>
            </w:r>
            <w:r>
              <w:rPr>
                <w:rFonts w:hint="default" w:ascii="Times New Roman" w:hAnsi="Times New Roman" w:eastAsia="宋体" w:cs="Times New Roman"/>
                <w:b w:val="0"/>
                <w:bCs/>
                <w:color w:val="auto"/>
                <w:kern w:val="0"/>
                <w:sz w:val="24"/>
                <w:szCs w:val="24"/>
              </w:rPr>
              <w:t>标准</w:t>
            </w:r>
            <w:r>
              <w:rPr>
                <w:rFonts w:hint="default" w:ascii="Times New Roman" w:hAnsi="Times New Roman" w:eastAsia="宋体" w:cs="Times New Roman"/>
                <w:b w:val="0"/>
                <w:bCs/>
                <w:color w:val="auto"/>
                <w:kern w:val="0"/>
                <w:sz w:val="24"/>
                <w:szCs w:val="24"/>
                <w:lang w:eastAsia="zh-CN"/>
              </w:rPr>
              <w:t>；厂界颗粒物执行《大气污染物综合排放标准》（GB16297-1996）</w:t>
            </w:r>
            <w:r>
              <w:rPr>
                <w:rFonts w:hint="default" w:ascii="Times New Roman" w:hAnsi="Times New Roman" w:eastAsia="宋体" w:cs="Times New Roman"/>
                <w:b w:val="0"/>
                <w:bCs/>
                <w:color w:val="auto"/>
                <w:kern w:val="0"/>
                <w:sz w:val="24"/>
                <w:szCs w:val="24"/>
              </w:rPr>
              <w:t>表2</w:t>
            </w:r>
            <w:r>
              <w:rPr>
                <w:rFonts w:hint="default" w:ascii="Times New Roman" w:hAnsi="Times New Roman" w:eastAsia="宋体" w:cs="Times New Roman"/>
                <w:b w:val="0"/>
                <w:bCs/>
                <w:color w:val="auto"/>
                <w:kern w:val="0"/>
                <w:sz w:val="24"/>
                <w:szCs w:val="24"/>
                <w:lang w:val="en-US" w:eastAsia="zh-CN"/>
              </w:rPr>
              <w:t>新污染源大气污染</w:t>
            </w:r>
            <w:r>
              <w:rPr>
                <w:rFonts w:hint="default" w:ascii="Times New Roman" w:hAnsi="Times New Roman" w:cs="Times New Roman"/>
                <w:b w:val="0"/>
                <w:bCs/>
                <w:color w:val="auto"/>
                <w:sz w:val="24"/>
                <w:szCs w:val="24"/>
                <w:highlight w:val="none"/>
                <w:lang w:val="en-US" w:eastAsia="zh-CN"/>
              </w:rPr>
              <w:t>物排放限值</w:t>
            </w:r>
            <w:r>
              <w:rPr>
                <w:rFonts w:hint="default" w:ascii="Times New Roman" w:hAnsi="Times New Roman" w:cs="Times New Roman"/>
                <w:b w:val="0"/>
                <w:bCs/>
                <w:color w:val="auto"/>
                <w:sz w:val="24"/>
                <w:szCs w:val="24"/>
                <w:highlight w:val="none"/>
              </w:rPr>
              <w:t>中无组织排放监控浓度限值</w:t>
            </w:r>
            <w:r>
              <w:rPr>
                <w:rFonts w:hint="default" w:ascii="Times New Roman" w:hAnsi="Times New Roman" w:eastAsia="宋体" w:cs="Times New Roman"/>
                <w:b w:val="0"/>
                <w:bCs/>
                <w:color w:val="auto"/>
                <w:sz w:val="24"/>
                <w:szCs w:val="24"/>
                <w:lang w:eastAsia="zh-CN"/>
              </w:rPr>
              <w:t>；</w:t>
            </w:r>
            <w:r>
              <w:rPr>
                <w:rFonts w:hint="default" w:ascii="Times New Roman" w:hAnsi="Times New Roman" w:cs="Times New Roman"/>
                <w:b w:val="0"/>
                <w:bCs/>
                <w:color w:val="auto"/>
                <w:sz w:val="24"/>
                <w:szCs w:val="24"/>
              </w:rPr>
              <w:t>厂界恶臭执行《恶臭污染物排放标准》（GB14554-93）表1标准</w:t>
            </w:r>
            <w:r>
              <w:rPr>
                <w:rFonts w:hint="default" w:ascii="Times New Roman" w:hAnsi="Times New Roman" w:eastAsia="宋体" w:cs="Times New Roman"/>
                <w:b w:val="0"/>
                <w:bCs/>
                <w:color w:val="auto"/>
                <w:kern w:val="0"/>
                <w:sz w:val="24"/>
                <w:szCs w:val="24"/>
              </w:rPr>
              <w:t>，</w:t>
            </w:r>
            <w:r>
              <w:rPr>
                <w:rFonts w:hint="default" w:ascii="Times New Roman" w:hAnsi="Times New Roman" w:cs="Times New Roman"/>
                <w:color w:val="auto"/>
                <w:sz w:val="24"/>
                <w:szCs w:val="32"/>
              </w:rPr>
              <w:t>油烟废气</w:t>
            </w:r>
            <w:r>
              <w:rPr>
                <w:rFonts w:hint="eastAsia" w:ascii="Times New Roman" w:hAnsi="Times New Roman" w:cs="Times New Roman"/>
                <w:color w:val="auto"/>
                <w:sz w:val="24"/>
                <w:szCs w:val="32"/>
                <w:lang w:val="en-US" w:eastAsia="zh-CN"/>
              </w:rPr>
              <w:t>执行</w:t>
            </w:r>
            <w:r>
              <w:rPr>
                <w:rFonts w:hint="default" w:ascii="Times New Roman" w:hAnsi="Times New Roman" w:cs="Times New Roman"/>
                <w:color w:val="auto"/>
                <w:sz w:val="24"/>
                <w:szCs w:val="32"/>
              </w:rPr>
              <w:t>《饮食业油烟排放标准</w:t>
            </w:r>
            <w:r>
              <w:rPr>
                <w:rFonts w:hint="default" w:ascii="Times New Roman" w:hAnsi="Times New Roman" w:cs="Times New Roman"/>
                <w:color w:val="auto"/>
                <w:sz w:val="24"/>
                <w:szCs w:val="32"/>
                <w:shd w:val="clear"/>
              </w:rPr>
              <w:t>（试行）》（GB18483-2001）</w:t>
            </w:r>
            <w:r>
              <w:rPr>
                <w:rFonts w:hint="eastAsia" w:ascii="Times New Roman" w:hAnsi="Times New Roman" w:cs="Times New Roman"/>
                <w:color w:val="auto"/>
                <w:sz w:val="24"/>
                <w:szCs w:val="32"/>
                <w:shd w:val="clear"/>
                <w:lang w:eastAsia="zh-CN"/>
              </w:rPr>
              <w:t>。</w:t>
            </w:r>
            <w:r>
              <w:rPr>
                <w:rFonts w:hint="default" w:ascii="Times New Roman" w:hAnsi="Times New Roman" w:eastAsia="宋体" w:cs="Times New Roman"/>
                <w:b w:val="0"/>
                <w:bCs/>
                <w:color w:val="auto"/>
                <w:kern w:val="0"/>
                <w:sz w:val="24"/>
                <w:szCs w:val="24"/>
                <w:shd w:val="clear"/>
              </w:rPr>
              <w:t>见表3-</w:t>
            </w:r>
            <w:r>
              <w:rPr>
                <w:rFonts w:hint="eastAsia" w:cs="Times New Roman"/>
                <w:b w:val="0"/>
                <w:bCs/>
                <w:color w:val="auto"/>
                <w:kern w:val="0"/>
                <w:sz w:val="24"/>
                <w:szCs w:val="24"/>
                <w:shd w:val="clear"/>
                <w:lang w:val="en-US" w:eastAsia="zh-CN"/>
              </w:rPr>
              <w:t>5</w:t>
            </w:r>
            <w:r>
              <w:rPr>
                <w:rFonts w:hint="default" w:ascii="Times New Roman" w:hAnsi="Times New Roman" w:eastAsia="宋体" w:cs="Times New Roman"/>
                <w:b w:val="0"/>
                <w:bCs/>
                <w:color w:val="auto"/>
                <w:kern w:val="0"/>
                <w:sz w:val="24"/>
                <w:szCs w:val="24"/>
                <w:shd w:val="clear"/>
                <w:lang w:eastAsia="zh-CN"/>
              </w:rPr>
              <w:t>、</w:t>
            </w:r>
            <w:r>
              <w:rPr>
                <w:rFonts w:hint="default" w:ascii="Times New Roman" w:hAnsi="Times New Roman" w:eastAsia="宋体" w:cs="Times New Roman"/>
                <w:b w:val="0"/>
                <w:bCs/>
                <w:color w:val="auto"/>
                <w:kern w:val="0"/>
                <w:sz w:val="24"/>
                <w:szCs w:val="24"/>
                <w:shd w:val="clear"/>
                <w:lang w:val="en-US" w:eastAsia="zh-CN"/>
              </w:rPr>
              <w:t>3-</w:t>
            </w:r>
            <w:r>
              <w:rPr>
                <w:rFonts w:hint="eastAsia" w:cs="Times New Roman"/>
                <w:b w:val="0"/>
                <w:bCs/>
                <w:color w:val="auto"/>
                <w:kern w:val="0"/>
                <w:sz w:val="24"/>
                <w:szCs w:val="24"/>
                <w:shd w:val="clear"/>
                <w:lang w:val="en-US" w:eastAsia="zh-CN"/>
              </w:rPr>
              <w:t>6</w:t>
            </w:r>
            <w:r>
              <w:rPr>
                <w:rFonts w:hint="default" w:ascii="Times New Roman" w:hAnsi="Times New Roman" w:eastAsia="宋体" w:cs="Times New Roman"/>
                <w:b w:val="0"/>
                <w:bCs/>
                <w:color w:val="auto"/>
                <w:kern w:val="0"/>
                <w:sz w:val="24"/>
                <w:szCs w:val="24"/>
                <w:shd w:val="clear"/>
                <w:lang w:val="en-US" w:eastAsia="zh-CN"/>
              </w:rPr>
              <w:t>、3-</w:t>
            </w:r>
            <w:r>
              <w:rPr>
                <w:rFonts w:hint="eastAsia" w:cs="Times New Roman"/>
                <w:b w:val="0"/>
                <w:bCs/>
                <w:color w:val="auto"/>
                <w:kern w:val="0"/>
                <w:sz w:val="24"/>
                <w:szCs w:val="24"/>
                <w:shd w:val="clear"/>
                <w:lang w:val="en-US" w:eastAsia="zh-CN"/>
              </w:rPr>
              <w:t>7、3-8</w:t>
            </w:r>
            <w:r>
              <w:rPr>
                <w:rFonts w:hint="default" w:ascii="Times New Roman" w:hAnsi="Times New Roman" w:cs="Times New Roman"/>
                <w:b w:val="0"/>
                <w:bCs/>
                <w:color w:val="auto"/>
                <w:sz w:val="24"/>
                <w:szCs w:val="24"/>
                <w:shd w:val="clear"/>
              </w:rPr>
              <w:t>。</w:t>
            </w:r>
          </w:p>
          <w:p>
            <w:pPr>
              <w:pStyle w:val="93"/>
              <w:shd w:val="clear"/>
              <w:spacing w:line="240" w:lineRule="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表3-</w:t>
            </w:r>
            <w:r>
              <w:rPr>
                <w:rFonts w:hint="eastAsia" w:ascii="Times New Roman" w:hAnsi="Times New Roman" w:cs="Times New Roman" w:eastAsiaTheme="minorEastAsia"/>
                <w:b/>
                <w:bCs/>
                <w:color w:val="auto"/>
                <w:sz w:val="24"/>
                <w:szCs w:val="24"/>
                <w:lang w:val="en-US" w:eastAsia="zh-CN"/>
              </w:rPr>
              <w:t>5</w:t>
            </w:r>
            <w:r>
              <w:rPr>
                <w:rFonts w:hint="default"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rPr>
              <w:t xml:space="preserve"> 锅炉大气污染物排放标准（GB13271-2014）</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9"/>
              <w:gridCol w:w="2726"/>
              <w:gridCol w:w="2654"/>
              <w:gridCol w:w="19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1" w:type="pct"/>
                  <w:vMerge w:val="restar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燃煤锅炉</w:t>
                  </w:r>
                </w:p>
              </w:tc>
              <w:tc>
                <w:tcPr>
                  <w:tcW w:w="1619" w:type="pc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控制项目</w:t>
                  </w:r>
                </w:p>
              </w:tc>
              <w:tc>
                <w:tcPr>
                  <w:tcW w:w="1576" w:type="pc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大气污染物排放浓度限值</w:t>
                  </w:r>
                </w:p>
              </w:tc>
              <w:tc>
                <w:tcPr>
                  <w:tcW w:w="1162" w:type="pc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1" w:type="pct"/>
                  <w:vMerge w:val="continue"/>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p>
              </w:tc>
              <w:tc>
                <w:tcPr>
                  <w:tcW w:w="1619" w:type="pc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p>
              </w:tc>
              <w:tc>
                <w:tcPr>
                  <w:tcW w:w="1576" w:type="pc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5</w:t>
                  </w:r>
                  <w:r>
                    <w:rPr>
                      <w:rFonts w:hint="default" w:ascii="Times New Roman" w:hAnsi="Times New Roman" w:cs="Times New Roman"/>
                      <w:color w:val="auto"/>
                      <w:sz w:val="21"/>
                      <w:szCs w:val="21"/>
                    </w:rPr>
                    <w:t>0mg/m</w:t>
                  </w:r>
                  <w:r>
                    <w:rPr>
                      <w:rFonts w:hint="default" w:ascii="Times New Roman" w:hAnsi="Times New Roman" w:cs="Times New Roman"/>
                      <w:color w:val="auto"/>
                      <w:sz w:val="21"/>
                      <w:szCs w:val="21"/>
                      <w:vertAlign w:val="superscript"/>
                    </w:rPr>
                    <w:t>3</w:t>
                  </w:r>
                </w:p>
              </w:tc>
              <w:tc>
                <w:tcPr>
                  <w:tcW w:w="1162" w:type="pct"/>
                  <w:vMerge w:val="restar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《锅炉大气污染物排放标准》（GB13271-2014）</w:t>
                  </w:r>
                  <w:r>
                    <w:rPr>
                      <w:rFonts w:hint="eastAsia"/>
                      <w:color w:val="auto"/>
                      <w:szCs w:val="21"/>
                      <w:highlight w:val="none"/>
                    </w:rPr>
                    <w:t>表2新建锅炉大气污染物排放浓度限值中燃煤锅炉</w:t>
                  </w:r>
                  <w:r>
                    <w:rPr>
                      <w:rFonts w:hint="default" w:ascii="Times New Roman" w:hAnsi="Times New Roman" w:eastAsia="宋体" w:cs="Times New Roman"/>
                      <w:color w:val="auto"/>
                      <w:sz w:val="21"/>
                      <w:szCs w:val="21"/>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1" w:type="pct"/>
                  <w:vMerge w:val="continue"/>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p>
              </w:tc>
              <w:tc>
                <w:tcPr>
                  <w:tcW w:w="1619" w:type="pc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二氧化硫</w:t>
                  </w:r>
                </w:p>
              </w:tc>
              <w:tc>
                <w:tcPr>
                  <w:tcW w:w="1576" w:type="pc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3</w:t>
                  </w:r>
                  <w:r>
                    <w:rPr>
                      <w:rFonts w:hint="default" w:ascii="Times New Roman" w:hAnsi="Times New Roman" w:cs="Times New Roman"/>
                      <w:color w:val="auto"/>
                      <w:sz w:val="21"/>
                      <w:szCs w:val="21"/>
                    </w:rPr>
                    <w:t>00mg/m</w:t>
                  </w:r>
                  <w:r>
                    <w:rPr>
                      <w:rFonts w:hint="default" w:ascii="Times New Roman" w:hAnsi="Times New Roman" w:cs="Times New Roman"/>
                      <w:color w:val="auto"/>
                      <w:sz w:val="21"/>
                      <w:szCs w:val="21"/>
                      <w:vertAlign w:val="superscript"/>
                    </w:rPr>
                    <w:t>3</w:t>
                  </w:r>
                </w:p>
              </w:tc>
              <w:tc>
                <w:tcPr>
                  <w:tcW w:w="1162" w:type="pct"/>
                  <w:vMerge w:val="continue"/>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1" w:type="pct"/>
                  <w:vMerge w:val="continue"/>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p>
              </w:tc>
              <w:tc>
                <w:tcPr>
                  <w:tcW w:w="1619" w:type="pc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氮氧化物</w:t>
                  </w:r>
                </w:p>
              </w:tc>
              <w:tc>
                <w:tcPr>
                  <w:tcW w:w="1576" w:type="pc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3</w:t>
                  </w:r>
                  <w:r>
                    <w:rPr>
                      <w:rFonts w:hint="default" w:ascii="Times New Roman" w:hAnsi="Times New Roman" w:cs="Times New Roman"/>
                      <w:color w:val="auto"/>
                      <w:sz w:val="21"/>
                      <w:szCs w:val="21"/>
                    </w:rPr>
                    <w:t>00mg/m</w:t>
                  </w:r>
                  <w:r>
                    <w:rPr>
                      <w:rFonts w:hint="default" w:ascii="Times New Roman" w:hAnsi="Times New Roman" w:cs="Times New Roman"/>
                      <w:color w:val="auto"/>
                      <w:sz w:val="21"/>
                      <w:szCs w:val="21"/>
                      <w:vertAlign w:val="superscript"/>
                    </w:rPr>
                    <w:t>3</w:t>
                  </w:r>
                </w:p>
              </w:tc>
              <w:tc>
                <w:tcPr>
                  <w:tcW w:w="1162" w:type="pct"/>
                  <w:vMerge w:val="continue"/>
                  <w:tcBorders>
                    <w:tl2br w:val="nil"/>
                    <w:tr2bl w:val="nil"/>
                  </w:tcBorders>
                  <w:noWrap w:val="0"/>
                  <w:vAlign w:val="center"/>
                </w:tcPr>
                <w:p>
                  <w:pPr>
                    <w:shd w:val="clear"/>
                    <w:spacing w:line="240" w:lineRule="auto"/>
                    <w:ind w:firstLine="0" w:firstLineChars="0"/>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1" w:type="pct"/>
                  <w:vMerge w:val="continue"/>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p>
              </w:tc>
              <w:tc>
                <w:tcPr>
                  <w:tcW w:w="1619" w:type="pct"/>
                  <w:tcBorders>
                    <w:tl2br w:val="nil"/>
                    <w:tr2bl w:val="nil"/>
                  </w:tcBorders>
                  <w:noWrap w:val="0"/>
                  <w:vAlign w:val="center"/>
                </w:tcPr>
                <w:p>
                  <w:pPr>
                    <w:pStyle w:val="23"/>
                    <w:widowControl w:val="0"/>
                    <w:shd w:val="clear"/>
                    <w:spacing w:before="0" w:beforeAutospacing="0" w:after="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汞及其化合物</w:t>
                  </w:r>
                </w:p>
              </w:tc>
              <w:tc>
                <w:tcPr>
                  <w:tcW w:w="1576" w:type="pct"/>
                  <w:tcBorders>
                    <w:tl2br w:val="nil"/>
                    <w:tr2bl w:val="nil"/>
                  </w:tcBorders>
                  <w:noWrap w:val="0"/>
                  <w:vAlign w:val="center"/>
                </w:tcPr>
                <w:p>
                  <w:pPr>
                    <w:pStyle w:val="23"/>
                    <w:widowControl w:val="0"/>
                    <w:shd w:val="clear"/>
                    <w:spacing w:before="0" w:beforeAutospacing="0" w:after="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0.05mg/m</w:t>
                  </w:r>
                  <w:r>
                    <w:rPr>
                      <w:rFonts w:hint="default" w:ascii="Times New Roman" w:hAnsi="Times New Roman" w:cs="Times New Roman"/>
                      <w:color w:val="auto"/>
                      <w:sz w:val="21"/>
                      <w:szCs w:val="21"/>
                      <w:vertAlign w:val="superscript"/>
                    </w:rPr>
                    <w:t>3</w:t>
                  </w:r>
                </w:p>
              </w:tc>
              <w:tc>
                <w:tcPr>
                  <w:tcW w:w="1162" w:type="pct"/>
                  <w:vMerge w:val="continue"/>
                  <w:tcBorders>
                    <w:tl2br w:val="nil"/>
                    <w:tr2bl w:val="nil"/>
                  </w:tcBorders>
                  <w:noWrap w:val="0"/>
                  <w:vAlign w:val="center"/>
                </w:tcPr>
                <w:p>
                  <w:pPr>
                    <w:shd w:val="clear"/>
                    <w:spacing w:line="240" w:lineRule="auto"/>
                    <w:ind w:firstLine="0" w:firstLineChars="0"/>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1" w:type="pct"/>
                  <w:vMerge w:val="continue"/>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p>
              </w:tc>
              <w:tc>
                <w:tcPr>
                  <w:tcW w:w="1619" w:type="pc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烟气黑度（林格曼黑度，级）</w:t>
                  </w:r>
                </w:p>
              </w:tc>
              <w:tc>
                <w:tcPr>
                  <w:tcW w:w="1576" w:type="pct"/>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162" w:type="pct"/>
                  <w:vMerge w:val="continue"/>
                  <w:tcBorders>
                    <w:tl2br w:val="nil"/>
                    <w:tr2bl w:val="nil"/>
                  </w:tcBorders>
                  <w:noWrap w:val="0"/>
                  <w:vAlign w:val="center"/>
                </w:tcPr>
                <w:p>
                  <w:pPr>
                    <w:shd w:val="clear"/>
                    <w:spacing w:line="240" w:lineRule="auto"/>
                    <w:ind w:firstLine="0" w:firstLineChars="0"/>
                    <w:jc w:val="center"/>
                    <w:rPr>
                      <w:rFonts w:hint="default" w:ascii="Times New Roman" w:hAnsi="Times New Roman" w:cs="Times New Roman"/>
                      <w:color w:val="auto"/>
                      <w:sz w:val="21"/>
                      <w:szCs w:val="21"/>
                    </w:rPr>
                  </w:pPr>
                </w:p>
              </w:tc>
            </w:tr>
          </w:tbl>
          <w:p>
            <w:pPr>
              <w:pStyle w:val="93"/>
              <w:shd w:val="clear"/>
              <w:spacing w:line="240" w:lineRule="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表3-</w:t>
            </w:r>
            <w:r>
              <w:rPr>
                <w:rFonts w:hint="eastAsia" w:ascii="Times New Roman" w:hAnsi="Times New Roman" w:cs="Times New Roman" w:eastAsiaTheme="minorEastAsia"/>
                <w:b/>
                <w:bCs/>
                <w:color w:val="auto"/>
                <w:sz w:val="24"/>
                <w:szCs w:val="24"/>
                <w:lang w:val="en-US" w:eastAsia="zh-CN"/>
              </w:rPr>
              <w:t>6</w:t>
            </w:r>
            <w:r>
              <w:rPr>
                <w:rFonts w:hint="default"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rPr>
              <w:t>大气污染物综合排放标准</w:t>
            </w:r>
            <w:r>
              <w:rPr>
                <w:rFonts w:hint="default" w:ascii="Times New Roman" w:hAnsi="Times New Roman" w:cs="Times New Roman" w:eastAsiaTheme="minorEastAsia"/>
                <w:b/>
                <w:bCs/>
                <w:color w:val="auto"/>
                <w:sz w:val="24"/>
                <w:szCs w:val="24"/>
                <w:lang w:eastAsia="zh-CN"/>
              </w:rPr>
              <w:t>（GB16297-1996）</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6" w:type="dxa"/>
                <w:bottom w:w="0" w:type="dxa"/>
                <w:right w:w="56" w:type="dxa"/>
              </w:tblCellMar>
            </w:tblPr>
            <w:tblGrid>
              <w:gridCol w:w="972"/>
              <w:gridCol w:w="1258"/>
              <w:gridCol w:w="3164"/>
              <w:gridCol w:w="30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trHeight w:val="23" w:hRule="atLeast"/>
                <w:jc w:val="center"/>
              </w:trPr>
              <w:tc>
                <w:tcPr>
                  <w:tcW w:w="577" w:type="pct"/>
                  <w:tcBorders>
                    <w:tl2br w:val="nil"/>
                    <w:tr2bl w:val="nil"/>
                  </w:tcBorders>
                  <w:noWrap w:val="0"/>
                  <w:vAlign w:val="center"/>
                </w:tcPr>
                <w:p>
                  <w:pPr>
                    <w:pStyle w:val="94"/>
                    <w:shd w:val="clear"/>
                    <w:adjustRightInd w:val="0"/>
                    <w:snapToGrid w:val="0"/>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污染物</w:t>
                  </w:r>
                </w:p>
              </w:tc>
              <w:tc>
                <w:tcPr>
                  <w:tcW w:w="747" w:type="pct"/>
                  <w:tcBorders>
                    <w:tl2br w:val="nil"/>
                    <w:tr2bl w:val="nil"/>
                  </w:tcBorders>
                  <w:noWrap w:val="0"/>
                  <w:vAlign w:val="center"/>
                </w:tcPr>
                <w:p>
                  <w:pPr>
                    <w:pStyle w:val="94"/>
                    <w:shd w:val="clear"/>
                    <w:adjustRightInd w:val="0"/>
                    <w:snapToGrid w:val="0"/>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排放源</w:t>
                  </w:r>
                </w:p>
              </w:tc>
              <w:tc>
                <w:tcPr>
                  <w:tcW w:w="1879" w:type="pct"/>
                  <w:tcBorders>
                    <w:tl2br w:val="nil"/>
                    <w:tr2bl w:val="nil"/>
                  </w:tcBorders>
                  <w:noWrap w:val="0"/>
                  <w:vAlign w:val="center"/>
                </w:tcPr>
                <w:p>
                  <w:pPr>
                    <w:pStyle w:val="94"/>
                    <w:shd w:val="clear"/>
                    <w:adjustRightInd w:val="0"/>
                    <w:snapToGrid w:val="0"/>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无组织排放监控浓度限值</w:t>
                  </w:r>
                </w:p>
              </w:tc>
              <w:tc>
                <w:tcPr>
                  <w:tcW w:w="1795" w:type="pct"/>
                  <w:tcBorders>
                    <w:tl2br w:val="nil"/>
                    <w:tr2bl w:val="nil"/>
                  </w:tcBorders>
                  <w:noWrap w:val="0"/>
                  <w:vAlign w:val="center"/>
                </w:tcPr>
                <w:p>
                  <w:pPr>
                    <w:pStyle w:val="94"/>
                    <w:shd w:val="clear"/>
                    <w:adjustRightInd w:val="0"/>
                    <w:snapToGrid w:val="0"/>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trHeight w:val="23" w:hRule="atLeast"/>
                <w:jc w:val="center"/>
              </w:trPr>
              <w:tc>
                <w:tcPr>
                  <w:tcW w:w="577" w:type="pct"/>
                  <w:tcBorders>
                    <w:tl2br w:val="nil"/>
                    <w:tr2bl w:val="nil"/>
                  </w:tcBorders>
                  <w:noWrap w:val="0"/>
                  <w:vAlign w:val="center"/>
                </w:tcPr>
                <w:p>
                  <w:pPr>
                    <w:pStyle w:val="94"/>
                    <w:shd w:val="clear"/>
                    <w:adjustRightInd w:val="0"/>
                    <w:snapToGrid w:val="0"/>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颗粒物</w:t>
                  </w:r>
                </w:p>
              </w:tc>
              <w:tc>
                <w:tcPr>
                  <w:tcW w:w="747" w:type="pct"/>
                  <w:tcBorders>
                    <w:tl2br w:val="nil"/>
                    <w:tr2bl w:val="nil"/>
                  </w:tcBorders>
                  <w:noWrap w:val="0"/>
                  <w:vAlign w:val="center"/>
                </w:tcPr>
                <w:p>
                  <w:pPr>
                    <w:pStyle w:val="94"/>
                    <w:shd w:val="clear"/>
                    <w:adjustRightInd w:val="0"/>
                    <w:snapToGrid w:val="0"/>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无组织</w:t>
                  </w:r>
                </w:p>
              </w:tc>
              <w:tc>
                <w:tcPr>
                  <w:tcW w:w="1879" w:type="pct"/>
                  <w:tcBorders>
                    <w:tl2br w:val="nil"/>
                    <w:tr2bl w:val="nil"/>
                  </w:tcBorders>
                  <w:noWrap w:val="0"/>
                  <w:vAlign w:val="center"/>
                </w:tcPr>
                <w:p>
                  <w:pPr>
                    <w:pStyle w:val="94"/>
                    <w:shd w:val="clear"/>
                    <w:adjustRightInd w:val="0"/>
                    <w:snapToGrid w:val="0"/>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周界外浓度最高点：</w:t>
                  </w:r>
                  <w:r>
                    <w:rPr>
                      <w:rFonts w:hint="default"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lang w:eastAsia="zh-CN"/>
                    </w:rPr>
                    <w:t>mg/m</w:t>
                  </w:r>
                  <w:r>
                    <w:rPr>
                      <w:rFonts w:hint="default" w:ascii="Times New Roman" w:hAnsi="Times New Roman" w:eastAsia="宋体" w:cs="Times New Roman"/>
                      <w:color w:val="auto"/>
                      <w:sz w:val="21"/>
                      <w:szCs w:val="21"/>
                      <w:vertAlign w:val="superscript"/>
                      <w:lang w:eastAsia="zh-CN"/>
                    </w:rPr>
                    <w:t>3</w:t>
                  </w:r>
                </w:p>
              </w:tc>
              <w:tc>
                <w:tcPr>
                  <w:tcW w:w="1795" w:type="pct"/>
                  <w:tcBorders>
                    <w:tl2br w:val="nil"/>
                    <w:tr2bl w:val="nil"/>
                  </w:tcBorders>
                  <w:noWrap w:val="0"/>
                  <w:vAlign w:val="center"/>
                </w:tcPr>
                <w:p>
                  <w:pPr>
                    <w:pStyle w:val="94"/>
                    <w:shd w:val="clear"/>
                    <w:adjustRightInd w:val="0"/>
                    <w:snapToGrid w:val="0"/>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《大气污染物综合排放标准》（GB16297-1996）</w:t>
                  </w:r>
                </w:p>
              </w:tc>
            </w:tr>
          </w:tbl>
          <w:p>
            <w:pPr>
              <w:shd w:val="clear"/>
              <w:spacing w:before="120" w:beforeLines="50" w:line="240" w:lineRule="auto"/>
              <w:ind w:firstLine="482" w:firstLineChars="200"/>
              <w:jc w:val="center"/>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表3-</w:t>
            </w:r>
            <w:r>
              <w:rPr>
                <w:rFonts w:hint="eastAsia" w:cs="Times New Roman" w:eastAsiaTheme="minorEastAsia"/>
                <w:b/>
                <w:bCs/>
                <w:color w:val="auto"/>
                <w:kern w:val="2"/>
                <w:sz w:val="24"/>
                <w:szCs w:val="24"/>
                <w:lang w:val="en-US" w:eastAsia="zh-CN" w:bidi="ar-SA"/>
              </w:rPr>
              <w:t>7</w:t>
            </w:r>
            <w:r>
              <w:rPr>
                <w:rFonts w:hint="default" w:ascii="Times New Roman" w:hAnsi="Times New Roman" w:cs="Times New Roman" w:eastAsiaTheme="minorEastAsia"/>
                <w:b/>
                <w:bCs/>
                <w:color w:val="auto"/>
                <w:kern w:val="2"/>
                <w:sz w:val="24"/>
                <w:szCs w:val="24"/>
                <w:lang w:val="en-US" w:eastAsia="zh-CN" w:bidi="ar-SA"/>
              </w:rPr>
              <w:t xml:space="preserve">  恶臭污染物排放标准排放限值（GB14554-93）  </w:t>
            </w:r>
          </w:p>
          <w:tbl>
            <w:tblPr>
              <w:tblStyle w:val="27"/>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2"/>
              <w:gridCol w:w="1521"/>
              <w:gridCol w:w="2004"/>
              <w:gridCol w:w="39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583" w:type="pct"/>
                  <w:tcBorders>
                    <w:tl2br w:val="nil"/>
                    <w:tr2bl w:val="nil"/>
                  </w:tcBorders>
                  <w:vAlign w:val="center"/>
                </w:tcPr>
                <w:p>
                  <w:pPr>
                    <w:shd w:val="clear"/>
                    <w:jc w:val="center"/>
                    <w:rPr>
                      <w:rFonts w:hint="default" w:ascii="Times New Roman" w:hAnsi="Times New Roman" w:cs="Times New Roman"/>
                      <w:color w:val="auto"/>
                      <w:szCs w:val="21"/>
                    </w:rPr>
                  </w:pPr>
                  <w:r>
                    <w:rPr>
                      <w:rFonts w:hint="default" w:ascii="Times New Roman" w:hAnsi="Times New Roman" w:cs="Times New Roman"/>
                      <w:color w:val="auto"/>
                      <w:szCs w:val="21"/>
                    </w:rPr>
                    <w:t>污染源</w:t>
                  </w:r>
                </w:p>
              </w:tc>
              <w:tc>
                <w:tcPr>
                  <w:tcW w:w="903" w:type="pct"/>
                  <w:tcBorders>
                    <w:tl2br w:val="nil"/>
                    <w:tr2bl w:val="nil"/>
                  </w:tcBorders>
                  <w:vAlign w:val="center"/>
                </w:tcPr>
                <w:p>
                  <w:pPr>
                    <w:shd w:val="clear"/>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w:t>
                  </w:r>
                </w:p>
              </w:tc>
              <w:tc>
                <w:tcPr>
                  <w:tcW w:w="1190" w:type="pct"/>
                  <w:tcBorders>
                    <w:tl2br w:val="nil"/>
                    <w:tr2bl w:val="nil"/>
                  </w:tcBorders>
                  <w:vAlign w:val="center"/>
                </w:tcPr>
                <w:p>
                  <w:pPr>
                    <w:shd w:val="clear"/>
                    <w:jc w:val="center"/>
                    <w:rPr>
                      <w:rFonts w:hint="default" w:ascii="Times New Roman" w:hAnsi="Times New Roman" w:cs="Times New Roman"/>
                      <w:color w:val="auto"/>
                      <w:szCs w:val="21"/>
                    </w:rPr>
                  </w:pPr>
                  <w:r>
                    <w:rPr>
                      <w:rFonts w:hint="default" w:ascii="Times New Roman" w:hAnsi="Times New Roman" w:cs="Times New Roman"/>
                      <w:color w:val="auto"/>
                      <w:szCs w:val="21"/>
                    </w:rPr>
                    <w:t>厂界浓度限值</w:t>
                  </w:r>
                </w:p>
              </w:tc>
              <w:tc>
                <w:tcPr>
                  <w:tcW w:w="2321" w:type="pct"/>
                  <w:tcBorders>
                    <w:tl2br w:val="nil"/>
                    <w:tr2bl w:val="nil"/>
                  </w:tcBorders>
                  <w:vAlign w:val="center"/>
                </w:tcPr>
                <w:p>
                  <w:pPr>
                    <w:shd w:val="clear"/>
                    <w:jc w:val="center"/>
                    <w:rPr>
                      <w:rFonts w:hint="default" w:ascii="Times New Roman" w:hAnsi="Times New Roman" w:cs="Times New Roman"/>
                      <w:color w:val="auto"/>
                      <w:szCs w:val="21"/>
                    </w:rPr>
                  </w:pPr>
                  <w:r>
                    <w:rPr>
                      <w:rFonts w:hint="default" w:ascii="Times New Roman" w:hAnsi="Times New Roman" w:eastAsia="宋体" w:cs="Times New Roman"/>
                      <w:color w:val="auto"/>
                      <w:sz w:val="21"/>
                      <w:szCs w:val="21"/>
                      <w:lang w:eastAsia="zh-CN"/>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583" w:type="pct"/>
                  <w:tcBorders>
                    <w:tl2br w:val="nil"/>
                    <w:tr2bl w:val="nil"/>
                  </w:tcBorders>
                  <w:vAlign w:val="center"/>
                </w:tcPr>
                <w:p>
                  <w:pPr>
                    <w:shd w:val="clear"/>
                    <w:jc w:val="center"/>
                    <w:rPr>
                      <w:rFonts w:hint="default" w:ascii="Times New Roman" w:hAnsi="Times New Roman" w:cs="Times New Roman"/>
                      <w:color w:val="auto"/>
                      <w:szCs w:val="21"/>
                    </w:rPr>
                  </w:pPr>
                  <w:r>
                    <w:rPr>
                      <w:rFonts w:hint="default" w:ascii="Times New Roman" w:hAnsi="Times New Roman" w:cs="Times New Roman"/>
                      <w:color w:val="auto"/>
                      <w:szCs w:val="21"/>
                    </w:rPr>
                    <w:t>厂界</w:t>
                  </w:r>
                </w:p>
              </w:tc>
              <w:tc>
                <w:tcPr>
                  <w:tcW w:w="903" w:type="pct"/>
                  <w:tcBorders>
                    <w:tl2br w:val="nil"/>
                    <w:tr2bl w:val="nil"/>
                  </w:tcBorders>
                  <w:vAlign w:val="center"/>
                </w:tcPr>
                <w:p>
                  <w:pPr>
                    <w:shd w:val="clear"/>
                    <w:jc w:val="center"/>
                    <w:rPr>
                      <w:rFonts w:hint="default" w:ascii="Times New Roman" w:hAnsi="Times New Roman" w:cs="Times New Roman"/>
                      <w:color w:val="auto"/>
                      <w:szCs w:val="21"/>
                    </w:rPr>
                  </w:pPr>
                  <w:r>
                    <w:rPr>
                      <w:rFonts w:hint="default" w:ascii="Times New Roman" w:hAnsi="Times New Roman" w:cs="Times New Roman"/>
                      <w:color w:val="auto"/>
                      <w:szCs w:val="21"/>
                    </w:rPr>
                    <w:t>臭气浓度</w:t>
                  </w:r>
                </w:p>
              </w:tc>
              <w:tc>
                <w:tcPr>
                  <w:tcW w:w="1190" w:type="pct"/>
                  <w:tcBorders>
                    <w:tl2br w:val="nil"/>
                    <w:tr2bl w:val="nil"/>
                  </w:tcBorders>
                  <w:vAlign w:val="center"/>
                </w:tcPr>
                <w:p>
                  <w:pPr>
                    <w:shd w:val="clear"/>
                    <w:jc w:val="center"/>
                    <w:rPr>
                      <w:rFonts w:hint="default" w:ascii="Times New Roman" w:hAnsi="Times New Roman" w:cs="Times New Roman"/>
                      <w:color w:val="auto"/>
                      <w:szCs w:val="21"/>
                    </w:rPr>
                  </w:pPr>
                  <w:r>
                    <w:rPr>
                      <w:rFonts w:hint="default" w:ascii="Times New Roman" w:hAnsi="Times New Roman" w:cs="Times New Roman"/>
                      <w:color w:val="auto"/>
                      <w:szCs w:val="21"/>
                    </w:rPr>
                    <w:t>20（无纲量）</w:t>
                  </w:r>
                </w:p>
              </w:tc>
              <w:tc>
                <w:tcPr>
                  <w:tcW w:w="2321" w:type="pct"/>
                  <w:tcBorders>
                    <w:tl2br w:val="nil"/>
                    <w:tr2bl w:val="nil"/>
                  </w:tcBorders>
                  <w:vAlign w:val="center"/>
                </w:tcPr>
                <w:p>
                  <w:pPr>
                    <w:shd w:val="clear"/>
                    <w:jc w:val="center"/>
                    <w:rPr>
                      <w:rFonts w:hint="default" w:ascii="Times New Roman" w:hAnsi="Times New Roman" w:cs="Times New Roman"/>
                      <w:color w:val="auto"/>
                      <w:szCs w:val="21"/>
                    </w:rPr>
                  </w:pPr>
                  <w:r>
                    <w:rPr>
                      <w:rFonts w:hint="default" w:ascii="Times New Roman" w:hAnsi="Times New Roman" w:cs="Times New Roman"/>
                      <w:color w:val="auto"/>
                      <w:szCs w:val="21"/>
                    </w:rPr>
                    <w:t>《恶臭污染物排放标准》（GB14554-93）表1中二级标准要求</w:t>
                  </w:r>
                </w:p>
              </w:tc>
            </w:tr>
          </w:tbl>
          <w:p>
            <w:pPr>
              <w:shd w:val="clear"/>
              <w:adjustRightInd w:val="0"/>
              <w:snapToGrid w:val="0"/>
              <w:jc w:val="center"/>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表3-</w:t>
            </w:r>
            <w:r>
              <w:rPr>
                <w:rFonts w:hint="eastAsia" w:cs="Times New Roman" w:eastAsiaTheme="minorEastAsia"/>
                <w:b/>
                <w:bCs/>
                <w:color w:val="auto"/>
                <w:kern w:val="2"/>
                <w:sz w:val="24"/>
                <w:szCs w:val="24"/>
                <w:lang w:val="en-US" w:eastAsia="zh-CN" w:bidi="ar-SA"/>
              </w:rPr>
              <w:t>8</w:t>
            </w:r>
            <w:r>
              <w:rPr>
                <w:rFonts w:hint="default" w:ascii="Times New Roman" w:hAnsi="Times New Roman" w:cs="Times New Roman" w:eastAsiaTheme="minorEastAsia"/>
                <w:b/>
                <w:bCs/>
                <w:color w:val="auto"/>
                <w:kern w:val="2"/>
                <w:sz w:val="24"/>
                <w:szCs w:val="24"/>
                <w:lang w:val="en-US" w:eastAsia="zh-CN" w:bidi="ar-SA"/>
              </w:rPr>
              <w:t xml:space="preserve"> </w:t>
            </w:r>
            <w:r>
              <w:rPr>
                <w:rFonts w:hint="eastAsia" w:ascii="Times New Roman" w:hAnsi="Times New Roman" w:cs="Times New Roman" w:eastAsiaTheme="minorEastAsia"/>
                <w:b/>
                <w:bCs/>
                <w:color w:val="auto"/>
                <w:kern w:val="2"/>
                <w:sz w:val="24"/>
                <w:szCs w:val="24"/>
                <w:lang w:val="en-US" w:eastAsia="zh-CN" w:bidi="ar-SA"/>
              </w:rPr>
              <w:t xml:space="preserve"> </w:t>
            </w:r>
            <w:r>
              <w:rPr>
                <w:rFonts w:hint="default" w:ascii="Times New Roman" w:hAnsi="Times New Roman" w:cs="Times New Roman" w:eastAsiaTheme="minorEastAsia"/>
                <w:b/>
                <w:bCs/>
                <w:color w:val="auto"/>
                <w:kern w:val="2"/>
                <w:sz w:val="24"/>
                <w:szCs w:val="24"/>
                <w:lang w:val="en-US" w:eastAsia="zh-CN" w:bidi="ar-SA"/>
              </w:rPr>
              <w:t>饮食业油烟排放标准（试行）（GB18483-2001）</w:t>
            </w:r>
          </w:p>
          <w:tbl>
            <w:tblPr>
              <w:tblStyle w:val="27"/>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4213"/>
              <w:gridCol w:w="4205"/>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2502" w:type="pct"/>
                  <w:tcBorders>
                    <w:tl2br w:val="nil"/>
                    <w:tr2bl w:val="nil"/>
                  </w:tcBorders>
                  <w:noWrap w:val="0"/>
                  <w:vAlign w:val="center"/>
                </w:tcPr>
                <w:p>
                  <w:pPr>
                    <w:shd w:val="clear"/>
                    <w:jc w:val="center"/>
                    <w:rPr>
                      <w:rFonts w:ascii="Times New Roman" w:hAnsi="Times New Roman"/>
                      <w:color w:val="auto"/>
                      <w:szCs w:val="21"/>
                      <w:highlight w:val="none"/>
                    </w:rPr>
                  </w:pPr>
                  <w:r>
                    <w:rPr>
                      <w:rFonts w:ascii="Times New Roman" w:hAnsi="Times New Roman"/>
                      <w:color w:val="auto"/>
                      <w:szCs w:val="21"/>
                      <w:highlight w:val="none"/>
                    </w:rPr>
                    <w:t>规模</w:t>
                  </w:r>
                </w:p>
              </w:tc>
              <w:tc>
                <w:tcPr>
                  <w:tcW w:w="2497" w:type="pct"/>
                  <w:tcBorders>
                    <w:tl2br w:val="nil"/>
                    <w:tr2bl w:val="nil"/>
                  </w:tcBorders>
                  <w:noWrap w:val="0"/>
                  <w:vAlign w:val="center"/>
                </w:tcPr>
                <w:p>
                  <w:pPr>
                    <w:shd w:val="clear"/>
                    <w:jc w:val="center"/>
                    <w:rPr>
                      <w:rFonts w:ascii="Times New Roman" w:hAnsi="Times New Roman"/>
                      <w:color w:val="auto"/>
                      <w:szCs w:val="21"/>
                      <w:highlight w:val="none"/>
                    </w:rPr>
                  </w:pPr>
                  <w:r>
                    <w:rPr>
                      <w:rFonts w:hint="eastAsia" w:ascii="Times New Roman" w:hAnsi="Times New Roman"/>
                      <w:color w:val="auto"/>
                      <w:szCs w:val="21"/>
                      <w:highlight w:val="none"/>
                      <w:lang w:val="en-US" w:eastAsia="zh-CN"/>
                    </w:rPr>
                    <w:t>中</w:t>
                  </w:r>
                  <w:r>
                    <w:rPr>
                      <w:rFonts w:ascii="Times New Roman" w:hAnsi="Times New Roman"/>
                      <w:color w:val="auto"/>
                      <w:szCs w:val="21"/>
                      <w:highlight w:val="none"/>
                    </w:rPr>
                    <w:t>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2502" w:type="pct"/>
                  <w:tcBorders>
                    <w:tl2br w:val="nil"/>
                    <w:tr2bl w:val="nil"/>
                  </w:tcBorders>
                  <w:noWrap w:val="0"/>
                  <w:vAlign w:val="center"/>
                </w:tcPr>
                <w:p>
                  <w:pPr>
                    <w:shd w:val="clear"/>
                    <w:jc w:val="center"/>
                    <w:rPr>
                      <w:rFonts w:ascii="Times New Roman" w:hAnsi="Times New Roman"/>
                      <w:color w:val="auto"/>
                      <w:szCs w:val="21"/>
                      <w:highlight w:val="none"/>
                    </w:rPr>
                  </w:pPr>
                  <w:r>
                    <w:rPr>
                      <w:rFonts w:ascii="Times New Roman" w:hAnsi="Times New Roman"/>
                      <w:color w:val="auto"/>
                      <w:szCs w:val="21"/>
                      <w:highlight w:val="none"/>
                    </w:rPr>
                    <w:t>最高允许排放浓度（mg/m</w:t>
                  </w:r>
                  <w:r>
                    <w:rPr>
                      <w:rFonts w:ascii="Times New Roman" w:hAnsi="Times New Roman"/>
                      <w:color w:val="auto"/>
                      <w:szCs w:val="21"/>
                      <w:highlight w:val="none"/>
                      <w:vertAlign w:val="superscript"/>
                    </w:rPr>
                    <w:t>3</w:t>
                  </w:r>
                  <w:r>
                    <w:rPr>
                      <w:rFonts w:ascii="Times New Roman" w:hAnsi="Times New Roman"/>
                      <w:color w:val="auto"/>
                      <w:szCs w:val="21"/>
                      <w:highlight w:val="none"/>
                    </w:rPr>
                    <w:t>）</w:t>
                  </w:r>
                </w:p>
              </w:tc>
              <w:tc>
                <w:tcPr>
                  <w:tcW w:w="2497" w:type="pct"/>
                  <w:tcBorders>
                    <w:tl2br w:val="nil"/>
                    <w:tr2bl w:val="nil"/>
                  </w:tcBorders>
                  <w:noWrap w:val="0"/>
                  <w:vAlign w:val="center"/>
                </w:tcPr>
                <w:p>
                  <w:pPr>
                    <w:shd w:val="clear"/>
                    <w:jc w:val="center"/>
                    <w:rPr>
                      <w:rFonts w:ascii="Times New Roman" w:hAnsi="Times New Roman"/>
                      <w:color w:val="auto"/>
                      <w:szCs w:val="21"/>
                      <w:highlight w:val="none"/>
                    </w:rPr>
                  </w:pPr>
                  <w:r>
                    <w:rPr>
                      <w:rFonts w:ascii="Times New Roman" w:hAnsi="Times New Roman"/>
                      <w:color w:val="auto"/>
                      <w:szCs w:val="21"/>
                      <w:highlight w:val="non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2502" w:type="pct"/>
                  <w:tcBorders>
                    <w:tl2br w:val="nil"/>
                    <w:tr2bl w:val="nil"/>
                  </w:tcBorders>
                  <w:noWrap w:val="0"/>
                  <w:vAlign w:val="center"/>
                </w:tcPr>
                <w:p>
                  <w:pPr>
                    <w:shd w:val="clear"/>
                    <w:jc w:val="center"/>
                    <w:rPr>
                      <w:rFonts w:ascii="Times New Roman" w:hAnsi="Times New Roman"/>
                      <w:color w:val="auto"/>
                      <w:szCs w:val="21"/>
                      <w:highlight w:val="none"/>
                    </w:rPr>
                  </w:pPr>
                  <w:r>
                    <w:rPr>
                      <w:rFonts w:ascii="Times New Roman" w:hAnsi="Times New Roman"/>
                      <w:color w:val="auto"/>
                      <w:szCs w:val="21"/>
                      <w:highlight w:val="none"/>
                    </w:rPr>
                    <w:t>净化设施最低去除效率（%）</w:t>
                  </w:r>
                </w:p>
              </w:tc>
              <w:tc>
                <w:tcPr>
                  <w:tcW w:w="2497" w:type="pct"/>
                  <w:tcBorders>
                    <w:tl2br w:val="nil"/>
                    <w:tr2bl w:val="nil"/>
                  </w:tcBorders>
                  <w:noWrap w:val="0"/>
                  <w:vAlign w:val="center"/>
                </w:tcPr>
                <w:p>
                  <w:pPr>
                    <w:shd w:val="clear"/>
                    <w:jc w:val="center"/>
                    <w:rPr>
                      <w:rFonts w:hint="default" w:ascii="Times New Roman" w:hAnsi="Times New Roman" w:eastAsia="宋体"/>
                      <w:color w:val="auto"/>
                      <w:szCs w:val="21"/>
                      <w:highlight w:val="none"/>
                      <w:lang w:val="en-US" w:eastAsia="zh-CN"/>
                    </w:rPr>
                  </w:pPr>
                  <w:r>
                    <w:rPr>
                      <w:rFonts w:hint="eastAsia" w:ascii="Times New Roman" w:hAnsi="Times New Roman"/>
                      <w:color w:val="auto"/>
                      <w:szCs w:val="21"/>
                      <w:highlight w:val="none"/>
                      <w:lang w:val="en-US" w:eastAsia="zh-CN"/>
                    </w:rPr>
                    <w:t>75</w:t>
                  </w:r>
                </w:p>
              </w:tc>
            </w:tr>
          </w:tbl>
          <w:p>
            <w:pPr>
              <w:pStyle w:val="49"/>
              <w:shd w:val="clear"/>
              <w:snapToGrid w:val="0"/>
              <w:spacing w:line="360" w:lineRule="auto"/>
              <w:ind w:firstLine="482" w:firstLineChars="200"/>
              <w:jc w:val="left"/>
              <w:rPr>
                <w:b/>
                <w:bCs/>
                <w:color w:val="auto"/>
                <w:szCs w:val="21"/>
              </w:rPr>
            </w:pPr>
            <w:r>
              <w:rPr>
                <w:rFonts w:hint="eastAsia"/>
                <w:b/>
                <w:bCs/>
                <w:color w:val="auto"/>
                <w:szCs w:val="21"/>
              </w:rPr>
              <w:t>2.废水</w:t>
            </w:r>
          </w:p>
          <w:p>
            <w:pPr>
              <w:pStyle w:val="36"/>
              <w:shd w:val="clear"/>
              <w:spacing w:line="360" w:lineRule="auto"/>
              <w:ind w:firstLine="480" w:firstLineChars="200"/>
              <w:jc w:val="both"/>
              <w:rPr>
                <w:rFonts w:hint="default" w:ascii="Times New Roman" w:hAnsi="Times New Roman" w:eastAsia="宋体" w:cs="Times New Roman"/>
                <w:color w:val="auto"/>
                <w:lang w:val="en-US" w:eastAsia="zh-CN"/>
              </w:rPr>
            </w:pPr>
            <w:r>
              <w:rPr>
                <w:rFonts w:ascii="Times New Roman" w:hAnsi="Times New Roman" w:eastAsia="宋体" w:cs="Times New Roman"/>
                <w:color w:val="auto"/>
                <w:kern w:val="2"/>
              </w:rPr>
              <w:t>本项目</w:t>
            </w:r>
            <w:r>
              <w:rPr>
                <w:rFonts w:hint="eastAsia" w:ascii="Times New Roman" w:hAnsi="Times New Roman" w:eastAsia="宋体" w:cs="Times New Roman"/>
                <w:color w:val="auto"/>
              </w:rPr>
              <w:t>清洗及</w:t>
            </w:r>
            <w:r>
              <w:rPr>
                <w:rFonts w:hint="eastAsia" w:ascii="Times New Roman" w:hAnsi="Times New Roman" w:eastAsia="宋体" w:cs="Times New Roman"/>
                <w:color w:val="auto"/>
                <w:lang w:eastAsia="zh-CN"/>
              </w:rPr>
              <w:t>蒸煮冷凝水</w:t>
            </w:r>
            <w:r>
              <w:rPr>
                <w:rFonts w:hint="eastAsia" w:ascii="Times New Roman" w:hAnsi="Times New Roman" w:eastAsia="宋体" w:cs="Times New Roman"/>
                <w:color w:val="auto"/>
                <w:kern w:val="2"/>
              </w:rPr>
              <w:t>，</w:t>
            </w:r>
            <w:r>
              <w:rPr>
                <w:rFonts w:hint="eastAsia" w:ascii="Times New Roman" w:hAnsi="Times New Roman" w:eastAsia="宋体" w:cs="Times New Roman"/>
                <w:color w:val="auto"/>
              </w:rPr>
              <w:t>与车间地面冲洗废水、锅炉排污水及软化废水暂存密闭储罐，由专用罐车拉运至海伦市污水处理厂处理。</w:t>
            </w:r>
            <w:r>
              <w:rPr>
                <w:rFonts w:hint="eastAsia" w:ascii="Times New Roman" w:hAnsi="Times New Roman" w:eastAsia="宋体" w:cs="Times New Roman"/>
                <w:color w:val="auto"/>
                <w:lang w:val="en-US" w:eastAsia="zh-CN"/>
              </w:rPr>
              <w:t>本项目废水排放执行</w:t>
            </w:r>
            <w:r>
              <w:rPr>
                <w:rFonts w:hint="eastAsia" w:ascii="Times New Roman" w:hAnsi="Times New Roman" w:eastAsia="宋体" w:cs="Times New Roman"/>
                <w:color w:val="auto"/>
              </w:rPr>
              <w:t>海伦市污水处理厂进水</w:t>
            </w:r>
            <w:r>
              <w:rPr>
                <w:rFonts w:hint="eastAsia" w:ascii="Times New Roman" w:hAnsi="Times New Roman" w:eastAsia="宋体" w:cs="Times New Roman"/>
                <w:color w:val="auto"/>
                <w:lang w:val="en-US" w:eastAsia="zh-CN"/>
              </w:rPr>
              <w:t>水质</w:t>
            </w:r>
            <w:r>
              <w:rPr>
                <w:rFonts w:hint="eastAsia" w:ascii="Times New Roman" w:hAnsi="Times New Roman" w:eastAsia="宋体" w:cs="Times New Roman"/>
                <w:color w:val="auto"/>
              </w:rPr>
              <w:t>标准</w:t>
            </w:r>
            <w:r>
              <w:rPr>
                <w:rFonts w:hint="eastAsia" w:ascii="Times New Roman" w:hAnsi="Times New Roman" w:eastAsia="宋体" w:cs="Times New Roman"/>
                <w:color w:val="auto"/>
                <w:lang w:val="en-US" w:eastAsia="zh-CN"/>
              </w:rPr>
              <w:t>及</w:t>
            </w:r>
            <w:r>
              <w:rPr>
                <w:rFonts w:hint="eastAsia" w:ascii="Times New Roman" w:hAnsi="Times New Roman" w:eastAsia="宋体" w:cs="Times New Roman"/>
                <w:color w:val="auto"/>
              </w:rPr>
              <w:t>《污水综合排放标准》（GB8978-1996）三级标准</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详见表3-9。</w:t>
            </w:r>
          </w:p>
          <w:p>
            <w:pPr>
              <w:pStyle w:val="36"/>
              <w:shd w:val="clear"/>
              <w:spacing w:line="240" w:lineRule="auto"/>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表</w:t>
            </w:r>
            <w:r>
              <w:rPr>
                <w:rFonts w:hint="eastAsia" w:ascii="Times New Roman" w:hAnsi="Times New Roman" w:cs="Times New Roman" w:eastAsiaTheme="minorEastAsia"/>
                <w:b/>
                <w:bCs/>
                <w:color w:val="auto"/>
                <w:kern w:val="2"/>
                <w:sz w:val="24"/>
                <w:szCs w:val="24"/>
                <w:lang w:val="en-US" w:eastAsia="zh-CN" w:bidi="ar-SA"/>
              </w:rPr>
              <w:t>3-9</w:t>
            </w:r>
            <w:r>
              <w:rPr>
                <w:rFonts w:hint="default" w:ascii="Times New Roman" w:hAnsi="Times New Roman" w:cs="Times New Roman" w:eastAsiaTheme="minorEastAsia"/>
                <w:b/>
                <w:bCs/>
                <w:color w:val="auto"/>
                <w:kern w:val="2"/>
                <w:sz w:val="24"/>
                <w:szCs w:val="24"/>
                <w:lang w:val="en-US" w:eastAsia="zh-CN" w:bidi="ar-SA"/>
              </w:rPr>
              <w:t xml:space="preserve"> </w:t>
            </w:r>
            <w:r>
              <w:rPr>
                <w:rFonts w:hint="eastAsia" w:ascii="Times New Roman" w:hAnsi="Times New Roman" w:cs="Times New Roman" w:eastAsiaTheme="minorEastAsia"/>
                <w:b/>
                <w:bCs/>
                <w:color w:val="auto"/>
                <w:kern w:val="2"/>
                <w:sz w:val="24"/>
                <w:szCs w:val="24"/>
                <w:lang w:val="en-US" w:eastAsia="zh-CN" w:bidi="ar-SA"/>
              </w:rPr>
              <w:t xml:space="preserve"> 《污水综合排放标准》（GB8978-1996）三级标准</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0"/>
              <w:gridCol w:w="4050"/>
              <w:gridCol w:w="31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8"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序号</w:t>
                  </w:r>
                </w:p>
              </w:tc>
              <w:tc>
                <w:tcPr>
                  <w:tcW w:w="2405"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控制项目</w:t>
                  </w:r>
                </w:p>
              </w:tc>
              <w:tc>
                <w:tcPr>
                  <w:tcW w:w="1847"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8"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1</w:t>
                  </w:r>
                </w:p>
              </w:tc>
              <w:tc>
                <w:tcPr>
                  <w:tcW w:w="2405"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pH</w:t>
                  </w:r>
                  <w:r>
                    <w:rPr>
                      <w:rFonts w:hint="eastAsia"/>
                      <w:snapToGrid w:val="0"/>
                      <w:color w:val="auto"/>
                      <w:kern w:val="0"/>
                    </w:rPr>
                    <w:t>（无量纲)</w:t>
                  </w:r>
                </w:p>
              </w:tc>
              <w:tc>
                <w:tcPr>
                  <w:tcW w:w="1847"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8"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2</w:t>
                  </w:r>
                </w:p>
              </w:tc>
              <w:tc>
                <w:tcPr>
                  <w:tcW w:w="2405"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COD</w:t>
                  </w:r>
                </w:p>
              </w:tc>
              <w:tc>
                <w:tcPr>
                  <w:tcW w:w="1847"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8"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3</w:t>
                  </w:r>
                </w:p>
              </w:tc>
              <w:tc>
                <w:tcPr>
                  <w:tcW w:w="2405"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SS</w:t>
                  </w:r>
                </w:p>
              </w:tc>
              <w:tc>
                <w:tcPr>
                  <w:tcW w:w="1847"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8"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4</w:t>
                  </w:r>
                </w:p>
              </w:tc>
              <w:tc>
                <w:tcPr>
                  <w:tcW w:w="2405"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氨氮</w:t>
                  </w:r>
                </w:p>
              </w:tc>
              <w:tc>
                <w:tcPr>
                  <w:tcW w:w="1847"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8"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5</w:t>
                  </w:r>
                </w:p>
              </w:tc>
              <w:tc>
                <w:tcPr>
                  <w:tcW w:w="2405"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总磷</w:t>
                  </w:r>
                </w:p>
              </w:tc>
              <w:tc>
                <w:tcPr>
                  <w:tcW w:w="1847"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8"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6</w:t>
                  </w:r>
                </w:p>
              </w:tc>
              <w:tc>
                <w:tcPr>
                  <w:tcW w:w="2405"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总氮</w:t>
                  </w:r>
                </w:p>
              </w:tc>
              <w:tc>
                <w:tcPr>
                  <w:tcW w:w="1847"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w:t>
                  </w:r>
                </w:p>
              </w:tc>
            </w:tr>
          </w:tbl>
          <w:p>
            <w:pPr>
              <w:pStyle w:val="36"/>
              <w:shd w:val="clear"/>
              <w:spacing w:before="120" w:beforeLines="50" w:line="240" w:lineRule="auto"/>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表</w:t>
            </w:r>
            <w:r>
              <w:rPr>
                <w:rFonts w:hint="eastAsia" w:ascii="Times New Roman" w:hAnsi="Times New Roman" w:cs="Times New Roman" w:eastAsiaTheme="minorEastAsia"/>
                <w:b/>
                <w:bCs/>
                <w:color w:val="auto"/>
                <w:kern w:val="2"/>
                <w:sz w:val="24"/>
                <w:szCs w:val="24"/>
                <w:lang w:val="en-US" w:eastAsia="zh-CN" w:bidi="ar-SA"/>
              </w:rPr>
              <w:t>3-10</w:t>
            </w:r>
            <w:r>
              <w:rPr>
                <w:rFonts w:hint="default" w:ascii="Times New Roman" w:hAnsi="Times New Roman" w:cs="Times New Roman" w:eastAsiaTheme="minorEastAsia"/>
                <w:b/>
                <w:bCs/>
                <w:color w:val="auto"/>
                <w:kern w:val="2"/>
                <w:sz w:val="24"/>
                <w:szCs w:val="24"/>
                <w:lang w:val="en-US" w:eastAsia="zh-CN" w:bidi="ar-SA"/>
              </w:rPr>
              <w:t xml:space="preserve"> </w:t>
            </w:r>
            <w:r>
              <w:rPr>
                <w:rFonts w:hint="eastAsia" w:ascii="Times New Roman" w:hAnsi="Times New Roman" w:cs="Times New Roman" w:eastAsiaTheme="minorEastAsia"/>
                <w:b/>
                <w:bCs/>
                <w:color w:val="auto"/>
                <w:kern w:val="2"/>
                <w:sz w:val="24"/>
                <w:szCs w:val="24"/>
                <w:lang w:val="en-US" w:eastAsia="zh-CN" w:bidi="ar-SA"/>
              </w:rPr>
              <w:t xml:space="preserve"> 海伦市污水处理厂进水水质标准</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8"/>
              <w:gridCol w:w="4049"/>
              <w:gridCol w:w="31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47"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序号</w:t>
                  </w:r>
                </w:p>
              </w:tc>
              <w:tc>
                <w:tcPr>
                  <w:tcW w:w="2404"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控制项目</w:t>
                  </w:r>
                </w:p>
              </w:tc>
              <w:tc>
                <w:tcPr>
                  <w:tcW w:w="1848"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747"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1</w:t>
                  </w:r>
                </w:p>
              </w:tc>
              <w:tc>
                <w:tcPr>
                  <w:tcW w:w="2404"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pH</w:t>
                  </w:r>
                  <w:r>
                    <w:rPr>
                      <w:rFonts w:hint="eastAsia"/>
                      <w:snapToGrid w:val="0"/>
                      <w:color w:val="auto"/>
                      <w:kern w:val="0"/>
                    </w:rPr>
                    <w:t>（无量纲)</w:t>
                  </w:r>
                </w:p>
              </w:tc>
              <w:tc>
                <w:tcPr>
                  <w:tcW w:w="1848"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747"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2</w:t>
                  </w:r>
                </w:p>
              </w:tc>
              <w:tc>
                <w:tcPr>
                  <w:tcW w:w="2404"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COD</w:t>
                  </w:r>
                </w:p>
              </w:tc>
              <w:tc>
                <w:tcPr>
                  <w:tcW w:w="1848"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747"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3</w:t>
                  </w:r>
                </w:p>
              </w:tc>
              <w:tc>
                <w:tcPr>
                  <w:tcW w:w="2404" w:type="pct"/>
                  <w:tcBorders>
                    <w:tl2br w:val="nil"/>
                    <w:tr2bl w:val="nil"/>
                  </w:tcBorders>
                  <w:vAlign w:val="center"/>
                </w:tcPr>
                <w:p>
                  <w:pPr>
                    <w:shd w:val="clear"/>
                    <w:autoSpaceDE w:val="0"/>
                    <w:autoSpaceDN w:val="0"/>
                    <w:adjustRightInd w:val="0"/>
                    <w:snapToGrid w:val="0"/>
                    <w:jc w:val="center"/>
                    <w:rPr>
                      <w:rFonts w:hint="eastAsia" w:eastAsia="宋体"/>
                      <w:snapToGrid w:val="0"/>
                      <w:color w:val="auto"/>
                      <w:kern w:val="0"/>
                      <w:lang w:val="en-US" w:eastAsia="zh-CN"/>
                    </w:rPr>
                  </w:pPr>
                  <w:r>
                    <w:rPr>
                      <w:rFonts w:hint="eastAsia"/>
                      <w:snapToGrid w:val="0"/>
                      <w:color w:val="auto"/>
                      <w:kern w:val="0"/>
                    </w:rPr>
                    <w:t>BOD</w:t>
                  </w:r>
                  <w:r>
                    <w:rPr>
                      <w:rFonts w:hint="eastAsia"/>
                      <w:snapToGrid w:val="0"/>
                      <w:color w:val="auto"/>
                      <w:kern w:val="0"/>
                      <w:vertAlign w:val="subscript"/>
                      <w:lang w:val="en-US" w:eastAsia="zh-CN"/>
                    </w:rPr>
                    <w:t>5</w:t>
                  </w:r>
                </w:p>
              </w:tc>
              <w:tc>
                <w:tcPr>
                  <w:tcW w:w="1848" w:type="pct"/>
                  <w:tcBorders>
                    <w:tl2br w:val="nil"/>
                    <w:tr2bl w:val="nil"/>
                  </w:tcBorders>
                  <w:vAlign w:val="center"/>
                </w:tcPr>
                <w:p>
                  <w:pPr>
                    <w:shd w:val="clear"/>
                    <w:autoSpaceDE w:val="0"/>
                    <w:autoSpaceDN w:val="0"/>
                    <w:adjustRightInd w:val="0"/>
                    <w:snapToGrid w:val="0"/>
                    <w:jc w:val="center"/>
                    <w:rPr>
                      <w:rFonts w:hint="default" w:eastAsia="宋体"/>
                      <w:snapToGrid w:val="0"/>
                      <w:color w:val="auto"/>
                      <w:kern w:val="0"/>
                      <w:lang w:val="en-US" w:eastAsia="zh-CN"/>
                    </w:rPr>
                  </w:pPr>
                  <w:r>
                    <w:rPr>
                      <w:rFonts w:hint="eastAsia"/>
                      <w:snapToGrid w:val="0"/>
                      <w:color w:val="auto"/>
                      <w:kern w:val="0"/>
                      <w:lang w:val="en-US" w:eastAsia="zh-CN"/>
                    </w:rPr>
                    <w:t>230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747"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4</w:t>
                  </w:r>
                </w:p>
              </w:tc>
              <w:tc>
                <w:tcPr>
                  <w:tcW w:w="2404" w:type="pct"/>
                  <w:tcBorders>
                    <w:tl2br w:val="nil"/>
                    <w:tr2bl w:val="nil"/>
                  </w:tcBorders>
                  <w:vAlign w:val="center"/>
                </w:tcPr>
                <w:p>
                  <w:pPr>
                    <w:shd w:val="clear"/>
                    <w:autoSpaceDE w:val="0"/>
                    <w:autoSpaceDN w:val="0"/>
                    <w:adjustRightInd w:val="0"/>
                    <w:snapToGrid w:val="0"/>
                    <w:jc w:val="center"/>
                    <w:rPr>
                      <w:snapToGrid w:val="0"/>
                      <w:color w:val="auto"/>
                      <w:kern w:val="0"/>
                    </w:rPr>
                  </w:pPr>
                  <w:r>
                    <w:rPr>
                      <w:snapToGrid w:val="0"/>
                      <w:color w:val="auto"/>
                      <w:kern w:val="0"/>
                    </w:rPr>
                    <w:t>SS</w:t>
                  </w:r>
                </w:p>
              </w:tc>
              <w:tc>
                <w:tcPr>
                  <w:tcW w:w="1848" w:type="pct"/>
                  <w:tcBorders>
                    <w:tl2br w:val="nil"/>
                    <w:tr2bl w:val="nil"/>
                  </w:tcBorders>
                  <w:vAlign w:val="center"/>
                </w:tcPr>
                <w:p>
                  <w:pPr>
                    <w:shd w:val="clear"/>
                    <w:autoSpaceDE w:val="0"/>
                    <w:autoSpaceDN w:val="0"/>
                    <w:adjustRightInd w:val="0"/>
                    <w:snapToGrid w:val="0"/>
                    <w:jc w:val="center"/>
                    <w:rPr>
                      <w:rFonts w:hint="default" w:eastAsia="宋体"/>
                      <w:snapToGrid w:val="0"/>
                      <w:color w:val="auto"/>
                      <w:kern w:val="0"/>
                      <w:lang w:val="en-US" w:eastAsia="zh-CN"/>
                    </w:rPr>
                  </w:pPr>
                  <w:r>
                    <w:rPr>
                      <w:rFonts w:hint="eastAsia"/>
                      <w:snapToGrid w:val="0"/>
                      <w:color w:val="auto"/>
                      <w:kern w:val="0"/>
                    </w:rPr>
                    <w:t>2</w:t>
                  </w:r>
                  <w:r>
                    <w:rPr>
                      <w:rFonts w:hint="eastAsia"/>
                      <w:snapToGrid w:val="0"/>
                      <w:color w:val="auto"/>
                      <w:kern w:val="0"/>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747"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5</w:t>
                  </w:r>
                </w:p>
              </w:tc>
              <w:tc>
                <w:tcPr>
                  <w:tcW w:w="2404"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氨氮</w:t>
                  </w:r>
                </w:p>
              </w:tc>
              <w:tc>
                <w:tcPr>
                  <w:tcW w:w="1848"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747"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6</w:t>
                  </w:r>
                </w:p>
              </w:tc>
              <w:tc>
                <w:tcPr>
                  <w:tcW w:w="2404"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总磷</w:t>
                  </w:r>
                </w:p>
              </w:tc>
              <w:tc>
                <w:tcPr>
                  <w:tcW w:w="1848" w:type="pct"/>
                  <w:tcBorders>
                    <w:tl2br w:val="nil"/>
                    <w:tr2bl w:val="nil"/>
                  </w:tcBorders>
                  <w:vAlign w:val="center"/>
                </w:tcPr>
                <w:p>
                  <w:pPr>
                    <w:shd w:val="clear"/>
                    <w:autoSpaceDE w:val="0"/>
                    <w:autoSpaceDN w:val="0"/>
                    <w:adjustRightInd w:val="0"/>
                    <w:snapToGrid w:val="0"/>
                    <w:jc w:val="center"/>
                    <w:rPr>
                      <w:rFonts w:hint="eastAsia" w:eastAsia="宋体"/>
                      <w:snapToGrid w:val="0"/>
                      <w:color w:val="auto"/>
                      <w:kern w:val="0"/>
                      <w:lang w:eastAsia="zh-CN"/>
                    </w:rPr>
                  </w:pPr>
                  <w:r>
                    <w:rPr>
                      <w:rFonts w:hint="eastAsia"/>
                      <w:snapToGrid w:val="0"/>
                      <w:color w:val="auto"/>
                      <w:kern w:val="0"/>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747" w:type="pct"/>
                  <w:tcBorders>
                    <w:tl2br w:val="nil"/>
                    <w:tr2bl w:val="nil"/>
                  </w:tcBorders>
                  <w:vAlign w:val="center"/>
                </w:tcPr>
                <w:p>
                  <w:pPr>
                    <w:shd w:val="clear"/>
                    <w:autoSpaceDE w:val="0"/>
                    <w:autoSpaceDN w:val="0"/>
                    <w:adjustRightInd w:val="0"/>
                    <w:snapToGrid w:val="0"/>
                    <w:jc w:val="center"/>
                    <w:rPr>
                      <w:snapToGrid w:val="0"/>
                      <w:color w:val="auto"/>
                      <w:kern w:val="0"/>
                    </w:rPr>
                  </w:pPr>
                </w:p>
              </w:tc>
              <w:tc>
                <w:tcPr>
                  <w:tcW w:w="2404" w:type="pct"/>
                  <w:tcBorders>
                    <w:tl2br w:val="nil"/>
                    <w:tr2bl w:val="nil"/>
                  </w:tcBorders>
                  <w:vAlign w:val="center"/>
                </w:tcPr>
                <w:p>
                  <w:pPr>
                    <w:shd w:val="clear"/>
                    <w:autoSpaceDE w:val="0"/>
                    <w:autoSpaceDN w:val="0"/>
                    <w:adjustRightInd w:val="0"/>
                    <w:snapToGrid w:val="0"/>
                    <w:jc w:val="center"/>
                    <w:rPr>
                      <w:snapToGrid w:val="0"/>
                      <w:color w:val="auto"/>
                      <w:kern w:val="0"/>
                    </w:rPr>
                  </w:pPr>
                  <w:r>
                    <w:rPr>
                      <w:rFonts w:hint="eastAsia"/>
                      <w:snapToGrid w:val="0"/>
                      <w:color w:val="auto"/>
                      <w:kern w:val="0"/>
                    </w:rPr>
                    <w:t>总氮</w:t>
                  </w:r>
                </w:p>
              </w:tc>
              <w:tc>
                <w:tcPr>
                  <w:tcW w:w="1848" w:type="pct"/>
                  <w:tcBorders>
                    <w:tl2br w:val="nil"/>
                    <w:tr2bl w:val="nil"/>
                  </w:tcBorders>
                  <w:vAlign w:val="center"/>
                </w:tcPr>
                <w:p>
                  <w:pPr>
                    <w:shd w:val="clear"/>
                    <w:autoSpaceDE w:val="0"/>
                    <w:autoSpaceDN w:val="0"/>
                    <w:adjustRightInd w:val="0"/>
                    <w:snapToGrid w:val="0"/>
                    <w:jc w:val="center"/>
                    <w:rPr>
                      <w:rFonts w:hint="default" w:eastAsia="宋体"/>
                      <w:snapToGrid w:val="0"/>
                      <w:color w:val="auto"/>
                      <w:kern w:val="0"/>
                      <w:lang w:val="en-US" w:eastAsia="zh-CN"/>
                    </w:rPr>
                  </w:pPr>
                  <w:r>
                    <w:rPr>
                      <w:rFonts w:hint="eastAsia"/>
                      <w:snapToGrid w:val="0"/>
                      <w:color w:val="auto"/>
                      <w:kern w:val="0"/>
                      <w:lang w:val="en-US" w:eastAsia="zh-CN"/>
                    </w:rPr>
                    <w:t>35</w:t>
                  </w:r>
                </w:p>
              </w:tc>
            </w:tr>
          </w:tbl>
          <w:p>
            <w:pPr>
              <w:pStyle w:val="49"/>
              <w:shd w:val="clear"/>
              <w:snapToGrid w:val="0"/>
              <w:spacing w:line="360" w:lineRule="auto"/>
              <w:ind w:left="440" w:right="-57" w:firstLine="0" w:firstLineChars="0"/>
              <w:rPr>
                <w:b/>
                <w:bCs/>
                <w:color w:val="auto"/>
                <w:szCs w:val="24"/>
              </w:rPr>
            </w:pPr>
            <w:r>
              <w:rPr>
                <w:b/>
                <w:bCs/>
                <w:color w:val="auto"/>
                <w:szCs w:val="24"/>
              </w:rPr>
              <w:t>3.噪声</w:t>
            </w:r>
          </w:p>
          <w:p>
            <w:pPr>
              <w:shd w:val="clear"/>
              <w:adjustRightInd w:val="0"/>
              <w:snapToGrid w:val="0"/>
              <w:spacing w:line="360" w:lineRule="auto"/>
              <w:ind w:firstLine="480" w:firstLineChars="200"/>
              <w:rPr>
                <w:b/>
                <w:color w:val="auto"/>
                <w:szCs w:val="21"/>
              </w:rPr>
            </w:pPr>
            <w:r>
              <w:rPr>
                <w:bCs/>
                <w:color w:val="auto"/>
                <w:sz w:val="24"/>
              </w:rPr>
              <w:t>营运期</w:t>
            </w:r>
            <w:r>
              <w:rPr>
                <w:rFonts w:hint="eastAsia"/>
                <w:bCs/>
                <w:color w:val="auto"/>
                <w:sz w:val="24"/>
                <w:lang w:val="en-US" w:eastAsia="zh-CN"/>
              </w:rPr>
              <w:t>西</w:t>
            </w:r>
            <w:r>
              <w:rPr>
                <w:rFonts w:hint="eastAsia"/>
                <w:bCs/>
                <w:color w:val="auto"/>
                <w:sz w:val="24"/>
              </w:rPr>
              <w:t>侧</w:t>
            </w:r>
            <w:r>
              <w:rPr>
                <w:bCs/>
                <w:color w:val="auto"/>
                <w:sz w:val="24"/>
              </w:rPr>
              <w:t>厂界噪声执行《工业企业厂界环境噪声排放标准》（GB12348—2008）表1中</w:t>
            </w:r>
            <w:r>
              <w:rPr>
                <w:rFonts w:hint="eastAsia"/>
                <w:bCs/>
                <w:color w:val="auto"/>
                <w:sz w:val="24"/>
              </w:rPr>
              <w:t>4</w:t>
            </w:r>
            <w:r>
              <w:rPr>
                <w:bCs/>
                <w:color w:val="auto"/>
                <w:sz w:val="24"/>
              </w:rPr>
              <w:t>类标准</w:t>
            </w:r>
            <w:r>
              <w:rPr>
                <w:rFonts w:hint="eastAsia"/>
                <w:bCs/>
                <w:color w:val="auto"/>
                <w:sz w:val="24"/>
              </w:rPr>
              <w:t>，其余</w:t>
            </w:r>
            <w:r>
              <w:rPr>
                <w:bCs/>
                <w:color w:val="auto"/>
                <w:sz w:val="24"/>
              </w:rPr>
              <w:t>厂界噪声执行《工业企业厂界环境噪声排放标准》（GB12348—2008）表1中2类标准。标准值见下表。</w:t>
            </w:r>
          </w:p>
          <w:p>
            <w:pPr>
              <w:shd w:val="clear"/>
              <w:spacing w:before="120" w:beforeLines="50" w:line="240" w:lineRule="auto"/>
              <w:ind w:firstLine="482" w:firstLineChars="200"/>
              <w:jc w:val="center"/>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表3-</w:t>
            </w:r>
            <w:r>
              <w:rPr>
                <w:rFonts w:hint="eastAsia" w:ascii="Times New Roman" w:hAnsi="Times New Roman" w:cs="Times New Roman" w:eastAsiaTheme="minorEastAsia"/>
                <w:b/>
                <w:bCs/>
                <w:color w:val="auto"/>
                <w:kern w:val="2"/>
                <w:sz w:val="24"/>
                <w:szCs w:val="24"/>
                <w:lang w:val="en-US" w:eastAsia="zh-CN" w:bidi="ar-SA"/>
              </w:rPr>
              <w:t>1</w:t>
            </w:r>
            <w:r>
              <w:rPr>
                <w:rFonts w:hint="eastAsia" w:cs="Times New Roman" w:eastAsiaTheme="minorEastAsia"/>
                <w:b/>
                <w:bCs/>
                <w:color w:val="auto"/>
                <w:kern w:val="2"/>
                <w:sz w:val="24"/>
                <w:szCs w:val="24"/>
                <w:lang w:val="en-US" w:eastAsia="zh-CN" w:bidi="ar-SA"/>
              </w:rPr>
              <w:t>1</w:t>
            </w:r>
            <w:r>
              <w:rPr>
                <w:rFonts w:hint="default" w:ascii="Times New Roman" w:hAnsi="Times New Roman" w:cs="Times New Roman" w:eastAsiaTheme="minorEastAsia"/>
                <w:b/>
                <w:bCs/>
                <w:color w:val="auto"/>
                <w:kern w:val="2"/>
                <w:sz w:val="24"/>
                <w:szCs w:val="24"/>
                <w:lang w:val="en-US" w:eastAsia="zh-CN" w:bidi="ar-SA"/>
              </w:rPr>
              <w:t xml:space="preserve">  噪声排放标准</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012"/>
              <w:gridCol w:w="1244"/>
              <w:gridCol w:w="1339"/>
              <w:gridCol w:w="38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9" w:type="pct"/>
                  <w:tcBorders>
                    <w:tl2br w:val="nil"/>
                    <w:tr2bl w:val="nil"/>
                  </w:tcBorders>
                  <w:vAlign w:val="center"/>
                </w:tcPr>
                <w:p>
                  <w:pPr>
                    <w:shd w:val="clear"/>
                    <w:adjustRightInd w:val="0"/>
                    <w:snapToGrid w:val="0"/>
                    <w:jc w:val="center"/>
                    <w:rPr>
                      <w:color w:val="auto"/>
                      <w:szCs w:val="21"/>
                    </w:rPr>
                  </w:pPr>
                  <w:r>
                    <w:rPr>
                      <w:color w:val="auto"/>
                      <w:szCs w:val="21"/>
                    </w:rPr>
                    <w:t>时段</w:t>
                  </w:r>
                </w:p>
              </w:tc>
              <w:tc>
                <w:tcPr>
                  <w:tcW w:w="601" w:type="pct"/>
                  <w:tcBorders>
                    <w:tl2br w:val="nil"/>
                    <w:tr2bl w:val="nil"/>
                  </w:tcBorders>
                  <w:vAlign w:val="center"/>
                </w:tcPr>
                <w:p>
                  <w:pPr>
                    <w:shd w:val="clear"/>
                    <w:adjustRightInd w:val="0"/>
                    <w:snapToGrid w:val="0"/>
                    <w:jc w:val="center"/>
                    <w:rPr>
                      <w:color w:val="auto"/>
                      <w:szCs w:val="21"/>
                    </w:rPr>
                  </w:pPr>
                  <w:r>
                    <w:rPr>
                      <w:color w:val="auto"/>
                      <w:szCs w:val="21"/>
                    </w:rPr>
                    <w:t>单位</w:t>
                  </w:r>
                </w:p>
              </w:tc>
              <w:tc>
                <w:tcPr>
                  <w:tcW w:w="739" w:type="pct"/>
                  <w:tcBorders>
                    <w:tl2br w:val="nil"/>
                    <w:tr2bl w:val="nil"/>
                  </w:tcBorders>
                  <w:vAlign w:val="center"/>
                </w:tcPr>
                <w:p>
                  <w:pPr>
                    <w:shd w:val="clear"/>
                    <w:adjustRightInd w:val="0"/>
                    <w:snapToGrid w:val="0"/>
                    <w:jc w:val="center"/>
                    <w:rPr>
                      <w:color w:val="auto"/>
                      <w:szCs w:val="21"/>
                    </w:rPr>
                  </w:pPr>
                  <w:r>
                    <w:rPr>
                      <w:color w:val="auto"/>
                      <w:szCs w:val="21"/>
                    </w:rPr>
                    <w:t>昼间</w:t>
                  </w:r>
                </w:p>
              </w:tc>
              <w:tc>
                <w:tcPr>
                  <w:tcW w:w="795" w:type="pct"/>
                  <w:tcBorders>
                    <w:tl2br w:val="nil"/>
                    <w:tr2bl w:val="nil"/>
                  </w:tcBorders>
                  <w:vAlign w:val="center"/>
                </w:tcPr>
                <w:p>
                  <w:pPr>
                    <w:shd w:val="clear"/>
                    <w:adjustRightInd w:val="0"/>
                    <w:snapToGrid w:val="0"/>
                    <w:jc w:val="center"/>
                    <w:rPr>
                      <w:color w:val="auto"/>
                      <w:szCs w:val="21"/>
                    </w:rPr>
                  </w:pPr>
                  <w:r>
                    <w:rPr>
                      <w:color w:val="auto"/>
                      <w:szCs w:val="21"/>
                    </w:rPr>
                    <w:t>夜间</w:t>
                  </w:r>
                </w:p>
              </w:tc>
              <w:tc>
                <w:tcPr>
                  <w:tcW w:w="2275" w:type="pct"/>
                  <w:tcBorders>
                    <w:tl2br w:val="nil"/>
                    <w:tr2bl w:val="nil"/>
                  </w:tcBorders>
                  <w:vAlign w:val="center"/>
                </w:tcPr>
                <w:p>
                  <w:pPr>
                    <w:shd w:val="clear"/>
                    <w:adjustRightInd w:val="0"/>
                    <w:snapToGrid w:val="0"/>
                    <w:jc w:val="center"/>
                    <w:rPr>
                      <w:color w:val="auto"/>
                      <w:szCs w:val="21"/>
                    </w:rPr>
                  </w:pPr>
                  <w:r>
                    <w:rPr>
                      <w:color w:val="auto"/>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9" w:type="pct"/>
                  <w:tcBorders>
                    <w:tl2br w:val="nil"/>
                    <w:tr2bl w:val="nil"/>
                  </w:tcBorders>
                  <w:vAlign w:val="center"/>
                </w:tcPr>
                <w:p>
                  <w:pPr>
                    <w:shd w:val="clear"/>
                    <w:adjustRightInd w:val="0"/>
                    <w:snapToGrid w:val="0"/>
                    <w:jc w:val="center"/>
                    <w:rPr>
                      <w:b/>
                      <w:bCs/>
                      <w:color w:val="auto"/>
                      <w:szCs w:val="21"/>
                    </w:rPr>
                  </w:pPr>
                  <w:r>
                    <w:rPr>
                      <w:rFonts w:hint="default" w:ascii="Times New Roman" w:hAnsi="Times New Roman" w:cs="Times New Roman"/>
                      <w:color w:val="auto"/>
                      <w:sz w:val="21"/>
                      <w:szCs w:val="21"/>
                      <w:highlight w:val="none"/>
                      <w:lang w:eastAsia="zh-CN"/>
                    </w:rPr>
                    <w:t>施工期</w:t>
                  </w:r>
                </w:p>
              </w:tc>
              <w:tc>
                <w:tcPr>
                  <w:tcW w:w="601" w:type="pct"/>
                  <w:tcBorders>
                    <w:tl2br w:val="nil"/>
                    <w:tr2bl w:val="nil"/>
                  </w:tcBorders>
                  <w:vAlign w:val="center"/>
                </w:tcPr>
                <w:p>
                  <w:pPr>
                    <w:shd w:val="clear"/>
                    <w:adjustRightInd w:val="0"/>
                    <w:snapToGrid w:val="0"/>
                    <w:jc w:val="center"/>
                    <w:rPr>
                      <w:b/>
                      <w:bCs/>
                      <w:color w:val="auto"/>
                      <w:szCs w:val="21"/>
                    </w:rPr>
                  </w:pPr>
                  <w:r>
                    <w:rPr>
                      <w:color w:val="auto"/>
                      <w:szCs w:val="21"/>
                    </w:rPr>
                    <w:t>dB(A)</w:t>
                  </w:r>
                </w:p>
              </w:tc>
              <w:tc>
                <w:tcPr>
                  <w:tcW w:w="739" w:type="pct"/>
                  <w:tcBorders>
                    <w:tl2br w:val="nil"/>
                    <w:tr2bl w:val="nil"/>
                  </w:tcBorders>
                  <w:vAlign w:val="center"/>
                </w:tcPr>
                <w:p>
                  <w:pPr>
                    <w:shd w:val="clear"/>
                    <w:adjustRightInd w:val="0"/>
                    <w:snapToGrid w:val="0"/>
                    <w:jc w:val="center"/>
                    <w:rPr>
                      <w:rFonts w:hint="default" w:eastAsia="宋体"/>
                      <w:color w:val="auto"/>
                      <w:szCs w:val="21"/>
                      <w:lang w:val="en-US" w:eastAsia="zh-CN"/>
                    </w:rPr>
                  </w:pPr>
                  <w:r>
                    <w:rPr>
                      <w:rFonts w:hint="eastAsia"/>
                      <w:color w:val="auto"/>
                      <w:szCs w:val="21"/>
                      <w:lang w:val="en-US" w:eastAsia="zh-CN"/>
                    </w:rPr>
                    <w:t>70</w:t>
                  </w:r>
                </w:p>
              </w:tc>
              <w:tc>
                <w:tcPr>
                  <w:tcW w:w="795" w:type="pct"/>
                  <w:tcBorders>
                    <w:tl2br w:val="nil"/>
                    <w:tr2bl w:val="nil"/>
                  </w:tcBorders>
                  <w:vAlign w:val="center"/>
                </w:tcPr>
                <w:p>
                  <w:pPr>
                    <w:shd w:val="clear"/>
                    <w:adjustRightInd w:val="0"/>
                    <w:snapToGrid w:val="0"/>
                    <w:jc w:val="center"/>
                    <w:rPr>
                      <w:rFonts w:hint="default" w:eastAsia="宋体"/>
                      <w:color w:val="auto"/>
                      <w:szCs w:val="21"/>
                      <w:lang w:val="en-US" w:eastAsia="zh-CN"/>
                    </w:rPr>
                  </w:pPr>
                  <w:r>
                    <w:rPr>
                      <w:rFonts w:hint="eastAsia"/>
                      <w:color w:val="auto"/>
                      <w:szCs w:val="21"/>
                      <w:lang w:val="en-US" w:eastAsia="zh-CN"/>
                    </w:rPr>
                    <w:t>55</w:t>
                  </w:r>
                </w:p>
              </w:tc>
              <w:tc>
                <w:tcPr>
                  <w:tcW w:w="2275" w:type="pct"/>
                  <w:tcBorders>
                    <w:tl2br w:val="nil"/>
                    <w:tr2bl w:val="nil"/>
                  </w:tcBorders>
                  <w:vAlign w:val="center"/>
                </w:tcPr>
                <w:p>
                  <w:pPr>
                    <w:shd w:val="clear"/>
                    <w:adjustRightInd w:val="0"/>
                    <w:snapToGrid w:val="0"/>
                    <w:jc w:val="center"/>
                    <w:rPr>
                      <w:color w:val="auto"/>
                      <w:szCs w:val="21"/>
                    </w:rPr>
                  </w:pPr>
                  <w:r>
                    <w:rPr>
                      <w:rFonts w:hint="default" w:ascii="Times New Roman" w:hAnsi="Times New Roman" w:cs="Times New Roman"/>
                      <w:color w:val="auto"/>
                      <w:sz w:val="21"/>
                      <w:szCs w:val="21"/>
                      <w:highlight w:val="none"/>
                      <w:lang w:val="en-US" w:eastAsia="zh-CN"/>
                    </w:rPr>
                    <w:t>《建筑施工场界环境噪声排放标准》（GB12523-2011）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9" w:type="pct"/>
                  <w:vMerge w:val="restart"/>
                  <w:tcBorders>
                    <w:tl2br w:val="nil"/>
                    <w:tr2bl w:val="nil"/>
                  </w:tcBorders>
                  <w:vAlign w:val="center"/>
                </w:tcPr>
                <w:p>
                  <w:pPr>
                    <w:shd w:val="clear"/>
                    <w:adjustRightInd w:val="0"/>
                    <w:snapToGrid w:val="0"/>
                    <w:jc w:val="center"/>
                    <w:rPr>
                      <w:color w:val="auto"/>
                      <w:szCs w:val="21"/>
                    </w:rPr>
                  </w:pPr>
                  <w:r>
                    <w:rPr>
                      <w:color w:val="auto"/>
                      <w:szCs w:val="21"/>
                    </w:rPr>
                    <w:t>营运期</w:t>
                  </w:r>
                </w:p>
              </w:tc>
              <w:tc>
                <w:tcPr>
                  <w:tcW w:w="601" w:type="pct"/>
                  <w:vMerge w:val="restart"/>
                  <w:tcBorders>
                    <w:tl2br w:val="nil"/>
                    <w:tr2bl w:val="nil"/>
                  </w:tcBorders>
                  <w:vAlign w:val="center"/>
                </w:tcPr>
                <w:p>
                  <w:pPr>
                    <w:shd w:val="clear"/>
                    <w:jc w:val="center"/>
                    <w:rPr>
                      <w:color w:val="auto"/>
                      <w:szCs w:val="21"/>
                    </w:rPr>
                  </w:pPr>
                  <w:r>
                    <w:rPr>
                      <w:color w:val="auto"/>
                      <w:szCs w:val="21"/>
                    </w:rPr>
                    <w:t>dB(A)</w:t>
                  </w:r>
                </w:p>
              </w:tc>
              <w:tc>
                <w:tcPr>
                  <w:tcW w:w="739" w:type="pct"/>
                  <w:tcBorders>
                    <w:tl2br w:val="nil"/>
                    <w:tr2bl w:val="nil"/>
                  </w:tcBorders>
                  <w:vAlign w:val="center"/>
                </w:tcPr>
                <w:p>
                  <w:pPr>
                    <w:shd w:val="clear"/>
                    <w:adjustRightInd w:val="0"/>
                    <w:snapToGrid w:val="0"/>
                    <w:jc w:val="center"/>
                    <w:rPr>
                      <w:color w:val="auto"/>
                      <w:szCs w:val="21"/>
                    </w:rPr>
                  </w:pPr>
                  <w:r>
                    <w:rPr>
                      <w:color w:val="auto"/>
                      <w:szCs w:val="21"/>
                    </w:rPr>
                    <w:t>60</w:t>
                  </w:r>
                </w:p>
              </w:tc>
              <w:tc>
                <w:tcPr>
                  <w:tcW w:w="795" w:type="pct"/>
                  <w:tcBorders>
                    <w:tl2br w:val="nil"/>
                    <w:tr2bl w:val="nil"/>
                  </w:tcBorders>
                  <w:vAlign w:val="center"/>
                </w:tcPr>
                <w:p>
                  <w:pPr>
                    <w:shd w:val="clear"/>
                    <w:adjustRightInd w:val="0"/>
                    <w:snapToGrid w:val="0"/>
                    <w:jc w:val="center"/>
                    <w:rPr>
                      <w:color w:val="auto"/>
                      <w:szCs w:val="21"/>
                    </w:rPr>
                  </w:pPr>
                  <w:r>
                    <w:rPr>
                      <w:color w:val="auto"/>
                      <w:szCs w:val="21"/>
                    </w:rPr>
                    <w:t>50</w:t>
                  </w:r>
                </w:p>
              </w:tc>
              <w:tc>
                <w:tcPr>
                  <w:tcW w:w="2275" w:type="pct"/>
                  <w:tcBorders>
                    <w:tl2br w:val="nil"/>
                    <w:tr2bl w:val="nil"/>
                  </w:tcBorders>
                  <w:vAlign w:val="center"/>
                </w:tcPr>
                <w:p>
                  <w:pPr>
                    <w:shd w:val="clear"/>
                    <w:adjustRightInd w:val="0"/>
                    <w:snapToGrid w:val="0"/>
                    <w:jc w:val="center"/>
                    <w:rPr>
                      <w:color w:val="auto"/>
                      <w:szCs w:val="21"/>
                    </w:rPr>
                  </w:pPr>
                  <w:r>
                    <w:rPr>
                      <w:color w:val="auto"/>
                      <w:szCs w:val="21"/>
                    </w:rPr>
                    <w:t>《工业企业厂界环境噪声排放标准》（GB</w:t>
                  </w:r>
                  <w:r>
                    <w:rPr>
                      <w:bCs/>
                      <w:color w:val="auto"/>
                      <w:szCs w:val="21"/>
                    </w:rPr>
                    <w:t>12348</w:t>
                  </w:r>
                  <w:r>
                    <w:rPr>
                      <w:color w:val="auto"/>
                      <w:szCs w:val="21"/>
                    </w:rPr>
                    <w:t>-2008）2类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9" w:type="pct"/>
                  <w:vMerge w:val="continue"/>
                  <w:tcBorders>
                    <w:tl2br w:val="nil"/>
                    <w:tr2bl w:val="nil"/>
                  </w:tcBorders>
                  <w:vAlign w:val="center"/>
                </w:tcPr>
                <w:p>
                  <w:pPr>
                    <w:shd w:val="clear"/>
                    <w:adjustRightInd w:val="0"/>
                    <w:snapToGrid w:val="0"/>
                    <w:jc w:val="center"/>
                    <w:rPr>
                      <w:color w:val="auto"/>
                      <w:szCs w:val="21"/>
                    </w:rPr>
                  </w:pPr>
                </w:p>
              </w:tc>
              <w:tc>
                <w:tcPr>
                  <w:tcW w:w="601" w:type="pct"/>
                  <w:vMerge w:val="continue"/>
                  <w:tcBorders>
                    <w:tl2br w:val="nil"/>
                    <w:tr2bl w:val="nil"/>
                  </w:tcBorders>
                  <w:vAlign w:val="center"/>
                </w:tcPr>
                <w:p>
                  <w:pPr>
                    <w:shd w:val="clear"/>
                    <w:jc w:val="center"/>
                    <w:rPr>
                      <w:color w:val="auto"/>
                      <w:szCs w:val="21"/>
                    </w:rPr>
                  </w:pPr>
                </w:p>
              </w:tc>
              <w:tc>
                <w:tcPr>
                  <w:tcW w:w="739" w:type="pct"/>
                  <w:tcBorders>
                    <w:tl2br w:val="nil"/>
                    <w:tr2bl w:val="nil"/>
                  </w:tcBorders>
                  <w:vAlign w:val="center"/>
                </w:tcPr>
                <w:p>
                  <w:pPr>
                    <w:shd w:val="clear"/>
                    <w:adjustRightInd w:val="0"/>
                    <w:snapToGrid w:val="0"/>
                    <w:jc w:val="center"/>
                    <w:rPr>
                      <w:color w:val="auto"/>
                      <w:szCs w:val="21"/>
                    </w:rPr>
                  </w:pPr>
                  <w:r>
                    <w:rPr>
                      <w:rFonts w:hint="eastAsia"/>
                      <w:color w:val="auto"/>
                      <w:szCs w:val="21"/>
                    </w:rPr>
                    <w:t>70</w:t>
                  </w:r>
                </w:p>
              </w:tc>
              <w:tc>
                <w:tcPr>
                  <w:tcW w:w="795" w:type="pct"/>
                  <w:tcBorders>
                    <w:tl2br w:val="nil"/>
                    <w:tr2bl w:val="nil"/>
                  </w:tcBorders>
                  <w:vAlign w:val="center"/>
                </w:tcPr>
                <w:p>
                  <w:pPr>
                    <w:shd w:val="clear"/>
                    <w:adjustRightInd w:val="0"/>
                    <w:snapToGrid w:val="0"/>
                    <w:jc w:val="center"/>
                    <w:rPr>
                      <w:color w:val="auto"/>
                      <w:szCs w:val="21"/>
                    </w:rPr>
                  </w:pPr>
                  <w:r>
                    <w:rPr>
                      <w:rFonts w:hint="eastAsia"/>
                      <w:color w:val="auto"/>
                      <w:szCs w:val="21"/>
                    </w:rPr>
                    <w:t>55</w:t>
                  </w:r>
                </w:p>
              </w:tc>
              <w:tc>
                <w:tcPr>
                  <w:tcW w:w="2275" w:type="pct"/>
                  <w:tcBorders>
                    <w:tl2br w:val="nil"/>
                    <w:tr2bl w:val="nil"/>
                  </w:tcBorders>
                  <w:vAlign w:val="center"/>
                </w:tcPr>
                <w:p>
                  <w:pPr>
                    <w:shd w:val="clear"/>
                    <w:adjustRightInd w:val="0"/>
                    <w:snapToGrid w:val="0"/>
                    <w:jc w:val="center"/>
                    <w:rPr>
                      <w:color w:val="auto"/>
                      <w:szCs w:val="21"/>
                    </w:rPr>
                  </w:pPr>
                  <w:r>
                    <w:rPr>
                      <w:color w:val="auto"/>
                      <w:szCs w:val="21"/>
                    </w:rPr>
                    <w:t>《工业企业厂界环境噪声排放标准》（GB</w:t>
                  </w:r>
                  <w:r>
                    <w:rPr>
                      <w:bCs/>
                      <w:color w:val="auto"/>
                      <w:szCs w:val="21"/>
                    </w:rPr>
                    <w:t>12348</w:t>
                  </w:r>
                  <w:r>
                    <w:rPr>
                      <w:color w:val="auto"/>
                      <w:szCs w:val="21"/>
                    </w:rPr>
                    <w:t>-2008）</w:t>
                  </w:r>
                  <w:r>
                    <w:rPr>
                      <w:rFonts w:hint="eastAsia"/>
                      <w:color w:val="auto"/>
                      <w:szCs w:val="21"/>
                    </w:rPr>
                    <w:t>4</w:t>
                  </w:r>
                  <w:r>
                    <w:rPr>
                      <w:color w:val="auto"/>
                      <w:szCs w:val="21"/>
                    </w:rPr>
                    <w:t>类</w:t>
                  </w:r>
                </w:p>
              </w:tc>
            </w:tr>
          </w:tbl>
          <w:p>
            <w:pPr>
              <w:pStyle w:val="49"/>
              <w:shd w:val="clear"/>
              <w:snapToGrid w:val="0"/>
              <w:spacing w:line="360" w:lineRule="auto"/>
              <w:ind w:left="-42" w:right="-57" w:firstLine="482" w:firstLineChars="200"/>
              <w:rPr>
                <w:color w:val="auto"/>
              </w:rPr>
            </w:pPr>
            <w:r>
              <w:rPr>
                <w:rFonts w:hint="eastAsia"/>
                <w:b/>
                <w:bCs/>
                <w:color w:val="auto"/>
                <w:szCs w:val="24"/>
              </w:rPr>
              <w:t>4.固体废物</w:t>
            </w:r>
          </w:p>
          <w:p>
            <w:pPr>
              <w:pStyle w:val="8"/>
              <w:shd w:val="clear"/>
              <w:spacing w:line="360" w:lineRule="auto"/>
              <w:ind w:firstLine="480" w:firstLineChars="200"/>
              <w:jc w:val="both"/>
              <w:rPr>
                <w:color w:val="auto"/>
              </w:rPr>
            </w:pPr>
            <w:r>
              <w:rPr>
                <w:color w:val="auto"/>
              </w:rPr>
              <w:t>一般工业固体废物执行《一般工业固体废物贮存</w:t>
            </w:r>
            <w:r>
              <w:rPr>
                <w:rFonts w:hint="eastAsia"/>
                <w:color w:val="auto"/>
              </w:rPr>
              <w:t>和填埋</w:t>
            </w:r>
            <w:r>
              <w:rPr>
                <w:color w:val="auto"/>
              </w:rPr>
              <w:t>污染控制标准》（GB18599-2020）</w:t>
            </w:r>
            <w:r>
              <w:rPr>
                <w:rFonts w:hint="eastAsia"/>
                <w:color w:val="auto"/>
              </w:rPr>
              <w:t>和《一般固体废物分类与代码》（GB/T39198-2020）</w:t>
            </w:r>
            <w:r>
              <w:rPr>
                <w:color w:val="auto"/>
              </w:rPr>
              <w:t>中的有关规定。</w:t>
            </w:r>
          </w:p>
          <w:p>
            <w:pPr>
              <w:pStyle w:val="8"/>
              <w:shd w:val="clear"/>
              <w:spacing w:line="360" w:lineRule="auto"/>
              <w:ind w:firstLine="480" w:firstLineChars="200"/>
              <w:jc w:val="both"/>
              <w:rPr>
                <w:color w:val="auto"/>
                <w:szCs w:val="21"/>
              </w:rPr>
            </w:pPr>
            <w:r>
              <w:rPr>
                <w:rFonts w:hint="eastAsia"/>
                <w:color w:val="auto"/>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44" w:hRule="atLeast"/>
          <w:jc w:val="center"/>
        </w:trPr>
        <w:tc>
          <w:tcPr>
            <w:tcW w:w="505" w:type="dxa"/>
            <w:vAlign w:val="center"/>
          </w:tcPr>
          <w:p>
            <w:pPr>
              <w:shd w:val="clear"/>
              <w:adjustRightInd w:val="0"/>
              <w:snapToGrid w:val="0"/>
              <w:jc w:val="center"/>
              <w:rPr>
                <w:color w:val="auto"/>
                <w:kern w:val="0"/>
                <w:szCs w:val="21"/>
              </w:rPr>
            </w:pPr>
            <w:r>
              <w:rPr>
                <w:color w:val="auto"/>
                <w:kern w:val="0"/>
                <w:szCs w:val="21"/>
              </w:rPr>
              <w:t>总量控制指标</w:t>
            </w:r>
          </w:p>
        </w:tc>
        <w:tc>
          <w:tcPr>
            <w:tcW w:w="8556" w:type="dxa"/>
          </w:tcPr>
          <w:p>
            <w:pPr>
              <w:shd w:val="clear"/>
              <w:adjustRightInd w:val="0"/>
              <w:snapToGrid w:val="0"/>
              <w:spacing w:line="360" w:lineRule="auto"/>
              <w:ind w:firstLine="480" w:firstLineChars="200"/>
              <w:rPr>
                <w:rFonts w:hint="default" w:ascii="Times New Roman" w:hAnsi="Times New Roman" w:eastAsia="宋体" w:cs="Times New Roman"/>
                <w:b w:val="0"/>
                <w:bCs w:val="0"/>
                <w:color w:val="auto"/>
                <w:kern w:val="0"/>
                <w:sz w:val="24"/>
                <w:highlight w:val="none"/>
                <w:lang w:val="en-US"/>
              </w:rPr>
            </w:pPr>
            <w:bookmarkStart w:id="8" w:name="_Hlk102978898"/>
            <w:r>
              <w:rPr>
                <w:rFonts w:hint="default" w:ascii="Times New Roman" w:hAnsi="Times New Roman" w:eastAsia="宋体" w:cs="Times New Roman"/>
                <w:b w:val="0"/>
                <w:bCs w:val="0"/>
                <w:color w:val="auto"/>
                <w:kern w:val="0"/>
                <w:sz w:val="24"/>
                <w:highlight w:val="none"/>
              </w:rPr>
              <w:t>在满足浓度达标的前提下，实行总量控制。本项目建成后，总量控制指标如表3</w:t>
            </w:r>
            <w:r>
              <w:rPr>
                <w:rFonts w:hint="default" w:ascii="Times New Roman" w:hAnsi="Times New Roman" w:cs="Times New Roman"/>
                <w:b w:val="0"/>
                <w:bCs w:val="0"/>
                <w:color w:val="auto"/>
                <w:kern w:val="0"/>
                <w:sz w:val="24"/>
                <w:highlight w:val="none"/>
                <w:lang w:val="en-US" w:eastAsia="zh-CN"/>
              </w:rPr>
              <w:t>-</w:t>
            </w:r>
            <w:r>
              <w:rPr>
                <w:rFonts w:hint="eastAsia" w:cs="Times New Roman"/>
                <w:b w:val="0"/>
                <w:bCs w:val="0"/>
                <w:color w:val="auto"/>
                <w:kern w:val="0"/>
                <w:sz w:val="24"/>
                <w:highlight w:val="none"/>
                <w:lang w:val="en-US" w:eastAsia="zh-CN"/>
              </w:rPr>
              <w:t>12</w:t>
            </w:r>
            <w:r>
              <w:rPr>
                <w:rFonts w:hint="default" w:ascii="Times New Roman" w:hAnsi="Times New Roman" w:cs="Times New Roman"/>
                <w:b w:val="0"/>
                <w:bCs w:val="0"/>
                <w:color w:val="auto"/>
                <w:kern w:val="0"/>
                <w:sz w:val="24"/>
                <w:highlight w:val="none"/>
                <w:lang w:val="en-US" w:eastAsia="zh-CN"/>
              </w:rPr>
              <w:t>，总量计算过程见附件</w:t>
            </w:r>
            <w:r>
              <w:rPr>
                <w:rFonts w:hint="eastAsia" w:cs="Times New Roman"/>
                <w:b w:val="0"/>
                <w:bCs w:val="0"/>
                <w:color w:val="auto"/>
                <w:kern w:val="0"/>
                <w:sz w:val="24"/>
                <w:highlight w:val="none"/>
                <w:lang w:val="en-US" w:eastAsia="zh-CN"/>
              </w:rPr>
              <w:t>5</w:t>
            </w:r>
            <w:r>
              <w:rPr>
                <w:rFonts w:hint="default" w:ascii="Times New Roman" w:hAnsi="Times New Roman" w:cs="Times New Roman"/>
                <w:b w:val="0"/>
                <w:bCs w:val="0"/>
                <w:color w:val="auto"/>
                <w:kern w:val="0"/>
                <w:sz w:val="24"/>
                <w:highlight w:val="none"/>
                <w:lang w:val="en-US" w:eastAsia="zh-CN"/>
              </w:rPr>
              <w:t>。</w:t>
            </w:r>
          </w:p>
          <w:p>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left"/>
              <w:textAlignment w:val="baseline"/>
              <w:rPr>
                <w:color w:val="auto"/>
                <w:sz w:val="24"/>
              </w:rPr>
            </w:pPr>
            <w:r>
              <w:rPr>
                <w:color w:val="auto"/>
                <w:sz w:val="24"/>
              </w:rPr>
              <w:t>1、废水</w:t>
            </w:r>
          </w:p>
          <w:p>
            <w:pPr>
              <w:keepNext w:val="0"/>
              <w:keepLines w:val="0"/>
              <w:pageBreakBefore w:val="0"/>
              <w:widowControl w:val="0"/>
              <w:shd w:val="clear"/>
              <w:kinsoku/>
              <w:wordWrap/>
              <w:overflowPunct/>
              <w:topLinePunct w:val="0"/>
              <w:autoSpaceDE/>
              <w:autoSpaceDN/>
              <w:bidi w:val="0"/>
              <w:spacing w:line="360" w:lineRule="auto"/>
              <w:ind w:firstLine="480" w:firstLineChars="200"/>
              <w:jc w:val="left"/>
              <w:rPr>
                <w:color w:val="auto"/>
                <w:sz w:val="24"/>
              </w:rPr>
            </w:pPr>
            <w:r>
              <w:rPr>
                <w:rFonts w:hint="eastAsia"/>
                <w:color w:val="auto"/>
                <w:sz w:val="24"/>
              </w:rPr>
              <w:t>废水总量控制指标见下表。</w:t>
            </w:r>
          </w:p>
          <w:p>
            <w:pPr>
              <w:keepNext w:val="0"/>
              <w:keepLines w:val="0"/>
              <w:pageBreakBefore w:val="0"/>
              <w:widowControl w:val="0"/>
              <w:shd w:val="clear"/>
              <w:kinsoku/>
              <w:wordWrap/>
              <w:overflowPunct/>
              <w:topLinePunct w:val="0"/>
              <w:autoSpaceDE/>
              <w:autoSpaceDN/>
              <w:bidi w:val="0"/>
              <w:spacing w:line="240" w:lineRule="auto"/>
              <w:ind w:firstLine="482" w:firstLineChars="200"/>
              <w:jc w:val="center"/>
              <w:rPr>
                <w:b/>
                <w:bCs/>
                <w:color w:val="auto"/>
                <w:sz w:val="24"/>
                <w:szCs w:val="24"/>
              </w:rPr>
            </w:pPr>
            <w:r>
              <w:rPr>
                <w:b/>
                <w:bCs/>
                <w:color w:val="auto"/>
                <w:sz w:val="24"/>
                <w:szCs w:val="24"/>
              </w:rPr>
              <w:t>表3-1</w:t>
            </w:r>
            <w:r>
              <w:rPr>
                <w:rFonts w:hint="eastAsia"/>
                <w:b/>
                <w:bCs/>
                <w:color w:val="auto"/>
                <w:sz w:val="24"/>
                <w:szCs w:val="24"/>
                <w:lang w:val="en-US" w:eastAsia="zh-CN"/>
              </w:rPr>
              <w:t>2</w:t>
            </w:r>
            <w:r>
              <w:rPr>
                <w:rFonts w:hint="eastAsia"/>
                <w:b/>
                <w:bCs/>
                <w:color w:val="auto"/>
                <w:sz w:val="24"/>
                <w:szCs w:val="24"/>
              </w:rPr>
              <w:t xml:space="preserve"> </w:t>
            </w:r>
            <w:r>
              <w:rPr>
                <w:b/>
                <w:bCs/>
                <w:color w:val="auto"/>
                <w:sz w:val="24"/>
                <w:szCs w:val="24"/>
              </w:rPr>
              <w:t xml:space="preserve"> 总量控制表</w:t>
            </w:r>
          </w:p>
          <w:tbl>
            <w:tblPr>
              <w:tblStyle w:val="27"/>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91"/>
              <w:gridCol w:w="2873"/>
              <w:gridCol w:w="25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776" w:type="pct"/>
                  <w:tcBorders>
                    <w:tl2br w:val="nil"/>
                    <w:tr2bl w:val="nil"/>
                  </w:tcBorders>
                  <w:vAlign w:val="center"/>
                </w:tcPr>
                <w:p>
                  <w:pPr>
                    <w:shd w:val="clear"/>
                    <w:adjustRightInd w:val="0"/>
                    <w:snapToGrid w:val="0"/>
                    <w:jc w:val="center"/>
                    <w:rPr>
                      <w:color w:val="auto"/>
                    </w:rPr>
                  </w:pPr>
                  <w:r>
                    <w:rPr>
                      <w:color w:val="auto"/>
                    </w:rPr>
                    <w:t>总量控制指标</w:t>
                  </w:r>
                </w:p>
              </w:tc>
              <w:tc>
                <w:tcPr>
                  <w:tcW w:w="1706" w:type="pct"/>
                  <w:tcBorders>
                    <w:tl2br w:val="nil"/>
                    <w:tr2bl w:val="nil"/>
                  </w:tcBorders>
                  <w:vAlign w:val="center"/>
                </w:tcPr>
                <w:p>
                  <w:pPr>
                    <w:shd w:val="clear"/>
                    <w:adjustRightInd w:val="0"/>
                    <w:snapToGrid w:val="0"/>
                    <w:jc w:val="center"/>
                    <w:rPr>
                      <w:color w:val="auto"/>
                    </w:rPr>
                  </w:pPr>
                  <w:r>
                    <w:rPr>
                      <w:color w:val="auto"/>
                    </w:rPr>
                    <w:t>预测排放量（t/a）</w:t>
                  </w:r>
                </w:p>
              </w:tc>
              <w:tc>
                <w:tcPr>
                  <w:tcW w:w="1516" w:type="pct"/>
                  <w:tcBorders>
                    <w:tl2br w:val="nil"/>
                    <w:tr2bl w:val="nil"/>
                  </w:tcBorders>
                  <w:vAlign w:val="center"/>
                </w:tcPr>
                <w:p>
                  <w:pPr>
                    <w:shd w:val="clear"/>
                    <w:adjustRightInd w:val="0"/>
                    <w:snapToGrid w:val="0"/>
                    <w:jc w:val="center"/>
                    <w:rPr>
                      <w:color w:val="auto"/>
                    </w:rPr>
                  </w:pPr>
                  <w:r>
                    <w:rPr>
                      <w:color w:val="auto"/>
                    </w:rPr>
                    <w:t>核定排放总量（t/a）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776" w:type="pct"/>
                  <w:tcBorders>
                    <w:tl2br w:val="nil"/>
                    <w:tr2bl w:val="nil"/>
                  </w:tcBorders>
                  <w:vAlign w:val="center"/>
                </w:tcPr>
                <w:p>
                  <w:pPr>
                    <w:shd w:val="clear"/>
                    <w:adjustRightInd w:val="0"/>
                    <w:snapToGrid w:val="0"/>
                    <w:jc w:val="center"/>
                    <w:rPr>
                      <w:color w:val="auto"/>
                    </w:rPr>
                  </w:pPr>
                  <w:r>
                    <w:rPr>
                      <w:rFonts w:hint="eastAsia"/>
                      <w:color w:val="auto"/>
                    </w:rPr>
                    <w:t>COD</w:t>
                  </w:r>
                </w:p>
              </w:tc>
              <w:tc>
                <w:tcPr>
                  <w:tcW w:w="1706" w:type="pct"/>
                  <w:tcBorders>
                    <w:tl2br w:val="nil"/>
                    <w:tr2bl w:val="nil"/>
                  </w:tcBorders>
                  <w:vAlign w:val="center"/>
                </w:tcPr>
                <w:p>
                  <w:pPr>
                    <w:shd w:val="clear"/>
                    <w:adjustRightInd w:val="0"/>
                    <w:snapToGrid w:val="0"/>
                    <w:jc w:val="center"/>
                    <w:rPr>
                      <w:rFonts w:hint="default"/>
                      <w:color w:val="auto"/>
                      <w:lang w:val="en-US" w:eastAsia="zh-CN"/>
                    </w:rPr>
                  </w:pPr>
                  <w:r>
                    <w:rPr>
                      <w:rFonts w:hint="eastAsia"/>
                      <w:color w:val="auto"/>
                      <w:lang w:val="en-US" w:eastAsia="zh-CN"/>
                    </w:rPr>
                    <w:t>0.284</w:t>
                  </w:r>
                </w:p>
              </w:tc>
              <w:tc>
                <w:tcPr>
                  <w:tcW w:w="1516" w:type="pct"/>
                  <w:tcBorders>
                    <w:tl2br w:val="nil"/>
                    <w:tr2bl w:val="nil"/>
                  </w:tcBorders>
                  <w:vAlign w:val="center"/>
                </w:tcPr>
                <w:p>
                  <w:pPr>
                    <w:shd w:val="clear"/>
                    <w:adjustRightInd w:val="0"/>
                    <w:snapToGrid w:val="0"/>
                    <w:jc w:val="center"/>
                    <w:rPr>
                      <w:rFonts w:hint="default" w:eastAsia="宋体"/>
                      <w:color w:val="auto"/>
                      <w:lang w:val="en-US" w:eastAsia="zh-CN"/>
                    </w:rPr>
                  </w:pPr>
                  <w:r>
                    <w:rPr>
                      <w:rFonts w:hint="eastAsia"/>
                      <w:color w:val="auto"/>
                      <w:lang w:val="en-US" w:eastAsia="zh-CN"/>
                    </w:rPr>
                    <w:t>1.85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1776" w:type="pct"/>
                  <w:tcBorders>
                    <w:tl2br w:val="nil"/>
                    <w:tr2bl w:val="nil"/>
                  </w:tcBorders>
                  <w:vAlign w:val="center"/>
                </w:tcPr>
                <w:p>
                  <w:pPr>
                    <w:shd w:val="clear"/>
                    <w:adjustRightInd w:val="0"/>
                    <w:snapToGrid w:val="0"/>
                    <w:jc w:val="center"/>
                    <w:rPr>
                      <w:color w:val="auto"/>
                    </w:rPr>
                  </w:pPr>
                  <w:r>
                    <w:rPr>
                      <w:rFonts w:hint="eastAsia"/>
                      <w:color w:val="auto"/>
                    </w:rPr>
                    <w:t>氨氮</w:t>
                  </w:r>
                </w:p>
              </w:tc>
              <w:tc>
                <w:tcPr>
                  <w:tcW w:w="1706" w:type="pct"/>
                  <w:tcBorders>
                    <w:tl2br w:val="nil"/>
                    <w:tr2bl w:val="nil"/>
                  </w:tcBorders>
                  <w:vAlign w:val="center"/>
                </w:tcPr>
                <w:p>
                  <w:pPr>
                    <w:shd w:val="clear"/>
                    <w:adjustRightInd w:val="0"/>
                    <w:snapToGrid w:val="0"/>
                    <w:jc w:val="center"/>
                    <w:rPr>
                      <w:rFonts w:hint="default"/>
                      <w:color w:val="auto"/>
                      <w:lang w:val="en-US" w:eastAsia="zh-CN"/>
                    </w:rPr>
                  </w:pPr>
                  <w:r>
                    <w:rPr>
                      <w:rFonts w:hint="eastAsia"/>
                      <w:color w:val="auto"/>
                      <w:lang w:val="en-US" w:eastAsia="zh-CN"/>
                    </w:rPr>
                    <w:t>0.022</w:t>
                  </w:r>
                </w:p>
              </w:tc>
              <w:tc>
                <w:tcPr>
                  <w:tcW w:w="1516" w:type="pct"/>
                  <w:tcBorders>
                    <w:tl2br w:val="nil"/>
                    <w:tr2bl w:val="nil"/>
                  </w:tcBorders>
                  <w:vAlign w:val="center"/>
                </w:tcPr>
                <w:p>
                  <w:pPr>
                    <w:shd w:val="clear"/>
                    <w:adjustRightInd w:val="0"/>
                    <w:snapToGrid w:val="0"/>
                    <w:jc w:val="center"/>
                    <w:rPr>
                      <w:rFonts w:hint="default" w:eastAsia="宋体"/>
                      <w:color w:val="auto"/>
                      <w:lang w:val="en-US" w:eastAsia="zh-CN"/>
                    </w:rPr>
                  </w:pPr>
                  <w:r>
                    <w:rPr>
                      <w:rFonts w:hint="eastAsia"/>
                      <w:color w:val="auto"/>
                      <w:lang w:val="en-US" w:eastAsia="zh-CN"/>
                    </w:rPr>
                    <w:t>0.204</w:t>
                  </w:r>
                </w:p>
              </w:tc>
            </w:tr>
          </w:tbl>
          <w:p>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left"/>
              <w:rPr>
                <w:color w:val="auto"/>
                <w:sz w:val="24"/>
              </w:rPr>
            </w:pPr>
            <w:r>
              <w:rPr>
                <w:color w:val="auto"/>
                <w:sz w:val="24"/>
              </w:rPr>
              <w:t>2、废气</w:t>
            </w:r>
          </w:p>
          <w:p>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left"/>
              <w:textAlignment w:val="baseline"/>
              <w:rPr>
                <w:color w:val="auto"/>
                <w:sz w:val="24"/>
              </w:rPr>
            </w:pPr>
            <w:r>
              <w:rPr>
                <w:color w:val="auto"/>
                <w:sz w:val="24"/>
              </w:rPr>
              <w:t>本项目废气总量控制</w:t>
            </w:r>
            <w:r>
              <w:rPr>
                <w:rFonts w:hint="eastAsia"/>
                <w:color w:val="auto"/>
                <w:sz w:val="24"/>
              </w:rPr>
              <w:t>指标</w:t>
            </w:r>
            <w:r>
              <w:rPr>
                <w:color w:val="auto"/>
                <w:sz w:val="24"/>
              </w:rPr>
              <w:t>见下表。</w:t>
            </w:r>
          </w:p>
          <w:p>
            <w:pPr>
              <w:keepNext w:val="0"/>
              <w:keepLines w:val="0"/>
              <w:pageBreakBefore w:val="0"/>
              <w:widowControl w:val="0"/>
              <w:shd w:val="clear"/>
              <w:kinsoku/>
              <w:wordWrap/>
              <w:overflowPunct/>
              <w:topLinePunct w:val="0"/>
              <w:autoSpaceDE/>
              <w:autoSpaceDN/>
              <w:bidi w:val="0"/>
              <w:spacing w:line="240" w:lineRule="auto"/>
              <w:ind w:firstLine="482" w:firstLineChars="200"/>
              <w:jc w:val="center"/>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表3-1</w:t>
            </w:r>
            <w:r>
              <w:rPr>
                <w:rFonts w:hint="eastAsia" w:cs="Times New Roman"/>
                <w:b/>
                <w:bCs/>
                <w:color w:val="auto"/>
                <w:sz w:val="24"/>
                <w:szCs w:val="24"/>
                <w:lang w:val="en-US" w:eastAsia="zh-CN"/>
              </w:rPr>
              <w:t>3</w:t>
            </w:r>
            <w:r>
              <w:rPr>
                <w:rFonts w:ascii="Times New Roman" w:hAnsi="Times New Roman" w:eastAsia="宋体" w:cs="Times New Roman"/>
                <w:b/>
                <w:bCs/>
                <w:color w:val="auto"/>
                <w:sz w:val="24"/>
                <w:szCs w:val="24"/>
              </w:rPr>
              <w:t xml:space="preserve">  总量控制表</w:t>
            </w:r>
          </w:p>
          <w:tbl>
            <w:tblPr>
              <w:tblStyle w:val="27"/>
              <w:tblW w:w="830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64"/>
              <w:gridCol w:w="2763"/>
              <w:gridCol w:w="26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864" w:type="dxa"/>
                  <w:tcBorders>
                    <w:tl2br w:val="nil"/>
                    <w:tr2bl w:val="nil"/>
                  </w:tcBorders>
                  <w:vAlign w:val="center"/>
                </w:tcPr>
                <w:p>
                  <w:pPr>
                    <w:shd w:val="clear"/>
                    <w:adjustRightInd w:val="0"/>
                    <w:snapToGrid w:val="0"/>
                    <w:jc w:val="center"/>
                    <w:rPr>
                      <w:color w:val="auto"/>
                    </w:rPr>
                  </w:pPr>
                  <w:r>
                    <w:rPr>
                      <w:color w:val="auto"/>
                    </w:rPr>
                    <w:t>总量控制指标</w:t>
                  </w:r>
                </w:p>
              </w:tc>
              <w:tc>
                <w:tcPr>
                  <w:tcW w:w="2763" w:type="dxa"/>
                  <w:tcBorders>
                    <w:tl2br w:val="nil"/>
                    <w:tr2bl w:val="nil"/>
                  </w:tcBorders>
                  <w:vAlign w:val="center"/>
                </w:tcPr>
                <w:p>
                  <w:pPr>
                    <w:shd w:val="clear"/>
                    <w:adjustRightInd w:val="0"/>
                    <w:snapToGrid w:val="0"/>
                    <w:jc w:val="center"/>
                    <w:rPr>
                      <w:color w:val="auto"/>
                    </w:rPr>
                  </w:pPr>
                  <w:r>
                    <w:rPr>
                      <w:color w:val="auto"/>
                    </w:rPr>
                    <w:t>预测排放量（t/a）</w:t>
                  </w:r>
                </w:p>
              </w:tc>
              <w:tc>
                <w:tcPr>
                  <w:tcW w:w="2680" w:type="dxa"/>
                  <w:tcBorders>
                    <w:tl2br w:val="nil"/>
                    <w:tr2bl w:val="nil"/>
                  </w:tcBorders>
                  <w:vAlign w:val="center"/>
                </w:tcPr>
                <w:p>
                  <w:pPr>
                    <w:shd w:val="clear"/>
                    <w:adjustRightInd w:val="0"/>
                    <w:snapToGrid w:val="0"/>
                    <w:jc w:val="center"/>
                    <w:rPr>
                      <w:color w:val="auto"/>
                    </w:rPr>
                  </w:pPr>
                  <w:r>
                    <w:rPr>
                      <w:color w:val="auto"/>
                    </w:rPr>
                    <w:t>核定排放总量（t/a）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2864" w:type="dxa"/>
                  <w:tcBorders>
                    <w:tl2br w:val="nil"/>
                    <w:tr2bl w:val="nil"/>
                  </w:tcBorders>
                  <w:vAlign w:val="center"/>
                </w:tcPr>
                <w:p>
                  <w:pPr>
                    <w:shd w:val="clear"/>
                    <w:adjustRightInd w:val="0"/>
                    <w:snapToGrid w:val="0"/>
                    <w:jc w:val="center"/>
                    <w:rPr>
                      <w:color w:val="auto"/>
                    </w:rPr>
                  </w:pPr>
                  <w:r>
                    <w:rPr>
                      <w:color w:val="auto"/>
                    </w:rPr>
                    <w:t>颗粒物</w:t>
                  </w:r>
                </w:p>
              </w:tc>
              <w:tc>
                <w:tcPr>
                  <w:tcW w:w="2763" w:type="dxa"/>
                  <w:tcBorders>
                    <w:tl2br w:val="nil"/>
                    <w:tr2bl w:val="nil"/>
                  </w:tcBorders>
                </w:tcPr>
                <w:p>
                  <w:pPr>
                    <w:shd w:val="clear"/>
                    <w:adjustRightInd w:val="0"/>
                    <w:snapToGrid w:val="0"/>
                    <w:jc w:val="center"/>
                    <w:rPr>
                      <w:rFonts w:hint="default" w:eastAsia="宋体"/>
                      <w:color w:val="auto"/>
                      <w:lang w:val="en-US" w:eastAsia="zh-CN"/>
                    </w:rPr>
                  </w:pPr>
                  <w:r>
                    <w:rPr>
                      <w:rFonts w:hint="eastAsia"/>
                      <w:color w:val="auto"/>
                      <w:lang w:val="en-US" w:eastAsia="zh-CN"/>
                    </w:rPr>
                    <w:t>0.028</w:t>
                  </w:r>
                </w:p>
              </w:tc>
              <w:tc>
                <w:tcPr>
                  <w:tcW w:w="2680" w:type="dxa"/>
                  <w:tcBorders>
                    <w:tl2br w:val="nil"/>
                    <w:tr2bl w:val="nil"/>
                  </w:tcBorders>
                  <w:vAlign w:val="center"/>
                </w:tcPr>
                <w:p>
                  <w:pPr>
                    <w:shd w:val="clear"/>
                    <w:adjustRightInd w:val="0"/>
                    <w:snapToGrid w:val="0"/>
                    <w:jc w:val="center"/>
                    <w:rPr>
                      <w:rFonts w:hint="default" w:eastAsia="宋体"/>
                      <w:color w:val="auto"/>
                      <w:lang w:val="en-US" w:eastAsia="zh-CN"/>
                    </w:rPr>
                  </w:pPr>
                  <w:r>
                    <w:rPr>
                      <w:rFonts w:hint="eastAsia"/>
                      <w:color w:val="auto"/>
                      <w:lang w:val="en-US" w:eastAsia="zh-CN"/>
                    </w:rPr>
                    <w:t>0.164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64" w:type="dxa"/>
                  <w:tcBorders>
                    <w:tl2br w:val="nil"/>
                    <w:tr2bl w:val="nil"/>
                  </w:tcBorders>
                  <w:vAlign w:val="center"/>
                </w:tcPr>
                <w:p>
                  <w:pPr>
                    <w:shd w:val="clear"/>
                    <w:adjustRightInd w:val="0"/>
                    <w:snapToGrid w:val="0"/>
                    <w:jc w:val="center"/>
                    <w:rPr>
                      <w:color w:val="auto"/>
                    </w:rPr>
                  </w:pPr>
                  <w:r>
                    <w:rPr>
                      <w:color w:val="auto"/>
                    </w:rPr>
                    <w:t>二氧化硫</w:t>
                  </w:r>
                </w:p>
              </w:tc>
              <w:tc>
                <w:tcPr>
                  <w:tcW w:w="2763" w:type="dxa"/>
                  <w:tcBorders>
                    <w:tl2br w:val="nil"/>
                    <w:tr2bl w:val="nil"/>
                  </w:tcBorders>
                </w:tcPr>
                <w:p>
                  <w:pPr>
                    <w:shd w:val="clear"/>
                    <w:adjustRightInd w:val="0"/>
                    <w:snapToGrid w:val="0"/>
                    <w:jc w:val="center"/>
                    <w:rPr>
                      <w:rFonts w:hint="default" w:eastAsia="宋体"/>
                      <w:color w:val="auto"/>
                      <w:lang w:val="en-US" w:eastAsia="zh-CN"/>
                    </w:rPr>
                  </w:pPr>
                  <w:r>
                    <w:rPr>
                      <w:rFonts w:hint="eastAsia"/>
                      <w:color w:val="auto"/>
                      <w:lang w:val="en-US" w:eastAsia="zh-CN"/>
                    </w:rPr>
                    <w:t>0.159</w:t>
                  </w:r>
                </w:p>
              </w:tc>
              <w:tc>
                <w:tcPr>
                  <w:tcW w:w="2680" w:type="dxa"/>
                  <w:tcBorders>
                    <w:tl2br w:val="nil"/>
                    <w:tr2bl w:val="nil"/>
                  </w:tcBorders>
                  <w:vAlign w:val="center"/>
                </w:tcPr>
                <w:p>
                  <w:pPr>
                    <w:shd w:val="clear"/>
                    <w:adjustRightInd w:val="0"/>
                    <w:snapToGrid w:val="0"/>
                    <w:jc w:val="center"/>
                    <w:rPr>
                      <w:rFonts w:hint="default" w:eastAsia="宋体"/>
                      <w:color w:val="auto"/>
                      <w:lang w:val="en-US" w:eastAsia="zh-CN"/>
                    </w:rPr>
                  </w:pPr>
                  <w:r>
                    <w:rPr>
                      <w:rFonts w:hint="eastAsia"/>
                      <w:color w:val="auto"/>
                      <w:lang w:val="en-US" w:eastAsia="zh-CN"/>
                    </w:rPr>
                    <w:t>0.790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64" w:type="dxa"/>
                  <w:tcBorders>
                    <w:tl2br w:val="nil"/>
                    <w:tr2bl w:val="nil"/>
                  </w:tcBorders>
                  <w:vAlign w:val="center"/>
                </w:tcPr>
                <w:p>
                  <w:pPr>
                    <w:shd w:val="clear"/>
                    <w:adjustRightInd w:val="0"/>
                    <w:snapToGrid w:val="0"/>
                    <w:jc w:val="center"/>
                    <w:rPr>
                      <w:color w:val="auto"/>
                    </w:rPr>
                  </w:pPr>
                  <w:r>
                    <w:rPr>
                      <w:color w:val="auto"/>
                    </w:rPr>
                    <w:t>氮氧化物</w:t>
                  </w:r>
                </w:p>
              </w:tc>
              <w:tc>
                <w:tcPr>
                  <w:tcW w:w="2763" w:type="dxa"/>
                  <w:tcBorders>
                    <w:tl2br w:val="nil"/>
                    <w:tr2bl w:val="nil"/>
                  </w:tcBorders>
                </w:tcPr>
                <w:p>
                  <w:pPr>
                    <w:shd w:val="clear"/>
                    <w:adjustRightInd w:val="0"/>
                    <w:snapToGrid w:val="0"/>
                    <w:jc w:val="center"/>
                    <w:rPr>
                      <w:rFonts w:hint="default" w:eastAsia="宋体"/>
                      <w:color w:val="auto"/>
                      <w:lang w:val="en-US" w:eastAsia="zh-CN"/>
                    </w:rPr>
                  </w:pPr>
                  <w:r>
                    <w:rPr>
                      <w:rFonts w:hint="eastAsia"/>
                      <w:color w:val="auto"/>
                      <w:lang w:val="en-US" w:eastAsia="zh-CN"/>
                    </w:rPr>
                    <w:t>0.82</w:t>
                  </w:r>
                </w:p>
              </w:tc>
              <w:tc>
                <w:tcPr>
                  <w:tcW w:w="2680" w:type="dxa"/>
                  <w:tcBorders>
                    <w:tl2br w:val="nil"/>
                    <w:tr2bl w:val="nil"/>
                  </w:tcBorders>
                  <w:vAlign w:val="center"/>
                </w:tcPr>
                <w:p>
                  <w:pPr>
                    <w:shd w:val="clear"/>
                    <w:adjustRightInd w:val="0"/>
                    <w:snapToGrid w:val="0"/>
                    <w:jc w:val="center"/>
                    <w:rPr>
                      <w:rFonts w:hint="default" w:eastAsia="宋体"/>
                      <w:color w:val="auto"/>
                      <w:lang w:val="en-US" w:eastAsia="zh-CN"/>
                    </w:rPr>
                  </w:pPr>
                  <w:r>
                    <w:rPr>
                      <w:rFonts w:hint="eastAsia"/>
                      <w:color w:val="auto"/>
                      <w:lang w:val="en-US" w:eastAsia="zh-CN"/>
                    </w:rPr>
                    <w:t>0.987</w:t>
                  </w:r>
                </w:p>
              </w:tc>
            </w:tr>
            <w:bookmarkEnd w:id="8"/>
          </w:tbl>
          <w:p>
            <w:pPr>
              <w:shd w:val="clear"/>
              <w:adjustRightInd w:val="0"/>
              <w:snapToGrid w:val="0"/>
              <w:jc w:val="left"/>
              <w:rPr>
                <w:color w:val="auto"/>
              </w:rPr>
            </w:pPr>
            <w:r>
              <w:rPr>
                <w:rFonts w:hint="eastAsia"/>
                <w:color w:val="auto"/>
              </w:rPr>
              <w:t xml:space="preserve"> </w:t>
            </w:r>
          </w:p>
        </w:tc>
      </w:tr>
    </w:tbl>
    <w:p>
      <w:pPr>
        <w:pStyle w:val="23"/>
        <w:shd w:val="clear"/>
        <w:jc w:val="center"/>
        <w:outlineLvl w:val="0"/>
        <w:rPr>
          <w:rFonts w:ascii="Times New Roman" w:hAnsi="Times New Roman"/>
          <w:snapToGrid w:val="0"/>
          <w:color w:val="auto"/>
          <w:sz w:val="30"/>
          <w:szCs w:val="30"/>
        </w:rPr>
      </w:pPr>
      <w:r>
        <w:rPr>
          <w:rFonts w:ascii="Times New Roman" w:hAnsi="Times New Roman"/>
          <w:snapToGrid w:val="0"/>
          <w:color w:val="auto"/>
          <w:sz w:val="36"/>
          <w:szCs w:val="36"/>
        </w:rPr>
        <w:br w:type="page"/>
      </w:r>
      <w:bookmarkStart w:id="9" w:name="_Toc13824"/>
      <w:r>
        <w:rPr>
          <w:rFonts w:ascii="Times New Roman" w:hAnsi="Times New Roman" w:eastAsia="黑体"/>
          <w:snapToGrid w:val="0"/>
          <w:color w:val="auto"/>
          <w:kern w:val="2"/>
          <w:sz w:val="30"/>
          <w:szCs w:val="30"/>
        </w:rPr>
        <w:t>四、主要环境影响和保护措施</w:t>
      </w:r>
      <w:bookmarkEnd w:id="9"/>
    </w:p>
    <w:tbl>
      <w:tblPr>
        <w:tblStyle w:val="27"/>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49"/>
        <w:gridCol w:w="873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410" w:type="dxa"/>
            <w:tcMar>
              <w:left w:w="28" w:type="dxa"/>
              <w:right w:w="28" w:type="dxa"/>
            </w:tcMar>
            <w:vAlign w:val="center"/>
          </w:tcPr>
          <w:p>
            <w:pPr>
              <w:pStyle w:val="23"/>
              <w:shd w:val="clear"/>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施工</w:t>
            </w:r>
          </w:p>
          <w:p>
            <w:pPr>
              <w:pStyle w:val="23"/>
              <w:shd w:val="clear"/>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期环</w:t>
            </w:r>
          </w:p>
          <w:p>
            <w:pPr>
              <w:pStyle w:val="23"/>
              <w:shd w:val="clear"/>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境保</w:t>
            </w:r>
          </w:p>
          <w:p>
            <w:pPr>
              <w:pStyle w:val="23"/>
              <w:shd w:val="clear"/>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护措</w:t>
            </w:r>
          </w:p>
          <w:p>
            <w:pPr>
              <w:pStyle w:val="23"/>
              <w:shd w:val="clear"/>
              <w:adjustRightInd w:val="0"/>
              <w:snapToGrid w:val="0"/>
              <w:spacing w:before="0" w:beforeAutospacing="0" w:after="0" w:afterAutospacing="0"/>
              <w:jc w:val="center"/>
              <w:rPr>
                <w:rFonts w:ascii="Times New Roman" w:hAnsi="Times New Roman"/>
                <w:bCs/>
                <w:color w:val="auto"/>
                <w:kern w:val="2"/>
                <w:sz w:val="21"/>
                <w:szCs w:val="21"/>
              </w:rPr>
            </w:pPr>
            <w:r>
              <w:rPr>
                <w:rFonts w:ascii="Times New Roman" w:hAnsi="Times New Roman"/>
                <w:color w:val="auto"/>
                <w:kern w:val="2"/>
                <w:sz w:val="21"/>
                <w:szCs w:val="21"/>
              </w:rPr>
              <w:t>施</w:t>
            </w:r>
          </w:p>
        </w:tc>
        <w:tc>
          <w:tcPr>
            <w:tcW w:w="8571" w:type="dxa"/>
            <w:vAlign w:val="center"/>
          </w:tcPr>
          <w:p>
            <w:pPr>
              <w:keepNext w:val="0"/>
              <w:keepLines w:val="0"/>
              <w:pageBreakBefore w:val="0"/>
              <w:widowControl w:val="0"/>
              <w:shd w:val="clear"/>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一、施工期大气污染防治措施</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为使施工过程中产生的粉尘和废气对周围环境空气的影响降低</w:t>
            </w:r>
            <w:r>
              <w:rPr>
                <w:rFonts w:hint="default" w:ascii="Times New Roman" w:hAnsi="Times New Roman" w:cs="Times New Roman"/>
                <w:b w:val="0"/>
                <w:bCs w:val="0"/>
                <w:color w:val="auto"/>
                <w:sz w:val="24"/>
                <w:szCs w:val="24"/>
                <w:highlight w:val="none"/>
                <w:lang w:val="en-US" w:eastAsia="zh-CN"/>
              </w:rPr>
              <w:t>到最低程度</w:t>
            </w:r>
            <w:r>
              <w:rPr>
                <w:rFonts w:hint="default" w:ascii="Times New Roman" w:hAnsi="Times New Roman" w:eastAsia="宋体" w:cs="Times New Roman"/>
                <w:b w:val="0"/>
                <w:bCs w:val="0"/>
                <w:color w:val="auto"/>
                <w:sz w:val="24"/>
                <w:szCs w:val="24"/>
                <w:highlight w:val="none"/>
                <w:lang w:val="en-US" w:eastAsia="zh-CN"/>
              </w:rPr>
              <w:t>，建议采取以下防护措施：</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①在施工作业现场设置围挡。容易产生粉尘的施工过程应洒水作业，使作业面保持一定的湿度；对施工场地内松散、干涸的表土也应经常洒水防止粉尘、扬尘；填土方时首先剥离表土，妥善保管。回填土方时，在表层土质干燥时应适当洒水，防止粉尘飞扬；</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②加强回填土方堆放场的管理，要制定土方表面压实、定期喷水、覆盖等措施；不需要的泥土，建筑材料弃渣应及时运走，不宜长时间堆积；</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③应使用预拌混凝土，粉性物料采取封闭、遮盖等措施。运输车辆装载不宜过满，保证运输过程中不散落；并规划好运输车辆的运行路线与时间，尽量避免在繁华区、交通集中区和居民区等敏感区行驶；</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④运输车辆加蓬盖，且出装、卸场地前应先冲洗干净，减少车轮、底盘等携带泥土散落路面；</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⑤对运输过程中散落在路面上的泥土要及时清扫，以减少运行过程中的扬尘；</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⑥施工过程中，应严禁将废弃的建筑材料作为燃料燃烧；</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⑦施工结束时，应及时对施工占用场地恢复地面道路及植被。</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经上述治理后，施工期产生的粉尘、扬尘对环境空气及敏感点的影响较小。满足《大气污染物综合排放标准》（GB16297-1996）表2中无组织排放标准要求。</w:t>
            </w:r>
          </w:p>
          <w:p>
            <w:pPr>
              <w:keepNext w:val="0"/>
              <w:keepLines w:val="0"/>
              <w:pageBreakBefore w:val="0"/>
              <w:widowControl w:val="0"/>
              <w:shd w:val="clear"/>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二、施工期废水防治措施</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施工期的装修、材料冲洗以及使用的挖掘机械、运输机械和其他辅助机械，在作业和维护时有可能发生油料外溢、渗漏，通过雨水冲刷等途径，流入受纳水体使受纳水体SS、COD、油类含量增高，DO下降，会引起水体污染。</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施工废水经过沉淀池处理后用于施工场地压尘，禁止散排，对环境影响很小。施工期施工人员的生活污水排入防渗旱厕，定期清掏。经过这些措施，本工程施工期对地表水环境的影响将大大减小。</w:t>
            </w:r>
          </w:p>
          <w:p>
            <w:pPr>
              <w:keepNext w:val="0"/>
              <w:keepLines w:val="0"/>
              <w:pageBreakBefore w:val="0"/>
              <w:widowControl w:val="0"/>
              <w:shd w:val="clear"/>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三、施工期噪声防治措施</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项目施工期噪声主要来源于施工机械噪声和运输车辆噪声。根据《建筑施工场界环境噪声排放标准》（GB12523-2011）的规定，施工噪声控制在昼间70dB（A），夜间控制在55dB（A）。根据调查本项目的主要噪声源如下表。</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为减轻施工噪声对周围环境的影响，工程拟采取如下具体措施：</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（1）选用低噪声机械、设备是从声源上对噪声进行控制，淘汰高噪声施工机械， 推广使用低噪声的施工机械，产生噪声的施工设备加强维护和维修工作，对控制施工噪声的影响很有效，如液压机械较燃油机械平稳，噪声低 10dB（A）以上。夜间 22 时至次日 6 时禁止施工。</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（2）合理布置施工现场，尽量将高噪声机械布置在远离</w:t>
            </w:r>
            <w:r>
              <w:rPr>
                <w:rFonts w:hint="default" w:ascii="Times New Roman" w:hAnsi="Times New Roman" w:cs="Times New Roman"/>
                <w:b w:val="0"/>
                <w:bCs w:val="0"/>
                <w:color w:val="auto"/>
                <w:sz w:val="24"/>
                <w:szCs w:val="24"/>
                <w:highlight w:val="none"/>
                <w:lang w:val="en-US" w:eastAsia="zh-CN"/>
              </w:rPr>
              <w:t>厂界</w:t>
            </w:r>
            <w:r>
              <w:rPr>
                <w:rFonts w:hint="eastAsia" w:cs="Times New Roman"/>
                <w:b w:val="0"/>
                <w:bCs w:val="0"/>
                <w:color w:val="auto"/>
                <w:sz w:val="24"/>
                <w:szCs w:val="24"/>
                <w:highlight w:val="none"/>
                <w:lang w:val="en-US" w:eastAsia="zh-CN"/>
              </w:rPr>
              <w:t>，远离噪声敏感目标的</w:t>
            </w:r>
            <w:r>
              <w:rPr>
                <w:rFonts w:hint="default" w:ascii="Times New Roman" w:hAnsi="Times New Roman" w:eastAsia="宋体" w:cs="Times New Roman"/>
                <w:b w:val="0"/>
                <w:bCs w:val="0"/>
                <w:color w:val="auto"/>
                <w:sz w:val="24"/>
                <w:szCs w:val="24"/>
                <w:highlight w:val="none"/>
                <w:lang w:val="en-US" w:eastAsia="zh-CN"/>
              </w:rPr>
              <w:t>位置。</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（3）施工单位加强施工期的管理，选用低噪声设备，高噪声设备设置隔声罩或消声装置。</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（4）运输车辆经过场界周围环境敏感目标时，减速缓行，禁止鸣笛，夜间（22:00~6:00）停运。</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在严格落实以上噪声防治措施的前提下，本项目施工期噪声不会对周围环境造成明显影响，可满足《建筑施工场界环境噪声排放标准》（GB12523-2011）要求，对声环境影响较小。</w:t>
            </w:r>
          </w:p>
          <w:p>
            <w:pPr>
              <w:keepNext w:val="0"/>
              <w:keepLines w:val="0"/>
              <w:pageBreakBefore w:val="0"/>
              <w:widowControl w:val="0"/>
              <w:shd w:val="clear"/>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四、施工期固体废物防治措施</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固体废物包括建筑垃圾和生活垃圾。建筑垃圾主要是施工过程产生的各种废装修建筑材料，生活垃圾主要是施工人员废弃物品。</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建筑垃圾应分类收集，其中可以回收利用的出售综合利用，节约资源；不可利用建筑垃圾外运到有关部门指定的建筑固废倾倒场，不得随意堆放；施工人员生活垃圾集中收集，由市政环卫部门统一清运。</w:t>
            </w:r>
          </w:p>
          <w:p>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color w:val="auto"/>
                <w:sz w:val="24"/>
              </w:rPr>
            </w:pPr>
            <w:r>
              <w:rPr>
                <w:rFonts w:hint="default" w:ascii="Times New Roman" w:hAnsi="Times New Roman" w:eastAsia="宋体" w:cs="Times New Roman"/>
                <w:b w:val="0"/>
                <w:bCs w:val="0"/>
                <w:color w:val="auto"/>
                <w:sz w:val="24"/>
                <w:szCs w:val="24"/>
                <w:highlight w:val="none"/>
                <w:lang w:val="en-US" w:eastAsia="zh-CN"/>
              </w:rPr>
              <w:t>综上所述，施工期间对环境会产生一些不利影响。由于施工期较短，施工期对环境所产生的不利影响随着施工的结束而消除。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0" w:type="dxa"/>
            <w:tcMar>
              <w:left w:w="28" w:type="dxa"/>
              <w:right w:w="28" w:type="dxa"/>
            </w:tcMar>
            <w:vAlign w:val="center"/>
          </w:tcPr>
          <w:p>
            <w:pPr>
              <w:shd w:val="clear"/>
              <w:adjustRightInd w:val="0"/>
              <w:snapToGrid w:val="0"/>
              <w:jc w:val="center"/>
              <w:rPr>
                <w:bCs/>
                <w:color w:val="auto"/>
                <w:szCs w:val="21"/>
              </w:rPr>
            </w:pPr>
            <w:r>
              <w:rPr>
                <w:bCs/>
                <w:color w:val="auto"/>
                <w:szCs w:val="21"/>
              </w:rPr>
              <w:t>运营</w:t>
            </w:r>
          </w:p>
          <w:p>
            <w:pPr>
              <w:shd w:val="clear"/>
              <w:adjustRightInd w:val="0"/>
              <w:snapToGrid w:val="0"/>
              <w:jc w:val="center"/>
              <w:rPr>
                <w:bCs/>
                <w:color w:val="auto"/>
                <w:szCs w:val="21"/>
              </w:rPr>
            </w:pPr>
            <w:r>
              <w:rPr>
                <w:bCs/>
                <w:color w:val="auto"/>
                <w:szCs w:val="21"/>
              </w:rPr>
              <w:t>期环</w:t>
            </w:r>
          </w:p>
          <w:p>
            <w:pPr>
              <w:shd w:val="clear"/>
              <w:adjustRightInd w:val="0"/>
              <w:snapToGrid w:val="0"/>
              <w:jc w:val="center"/>
              <w:rPr>
                <w:bCs/>
                <w:color w:val="auto"/>
                <w:szCs w:val="21"/>
              </w:rPr>
            </w:pPr>
            <w:r>
              <w:rPr>
                <w:bCs/>
                <w:color w:val="auto"/>
                <w:szCs w:val="21"/>
              </w:rPr>
              <w:t>境影</w:t>
            </w:r>
          </w:p>
          <w:p>
            <w:pPr>
              <w:shd w:val="clear"/>
              <w:adjustRightInd w:val="0"/>
              <w:snapToGrid w:val="0"/>
              <w:jc w:val="center"/>
              <w:rPr>
                <w:bCs/>
                <w:color w:val="auto"/>
                <w:szCs w:val="21"/>
              </w:rPr>
            </w:pPr>
            <w:r>
              <w:rPr>
                <w:bCs/>
                <w:color w:val="auto"/>
                <w:szCs w:val="21"/>
              </w:rPr>
              <w:t>响和</w:t>
            </w:r>
          </w:p>
          <w:p>
            <w:pPr>
              <w:shd w:val="clear"/>
              <w:adjustRightInd w:val="0"/>
              <w:snapToGrid w:val="0"/>
              <w:jc w:val="center"/>
              <w:rPr>
                <w:bCs/>
                <w:color w:val="auto"/>
                <w:szCs w:val="21"/>
              </w:rPr>
            </w:pPr>
            <w:r>
              <w:rPr>
                <w:bCs/>
                <w:color w:val="auto"/>
                <w:szCs w:val="21"/>
              </w:rPr>
              <w:t>保护</w:t>
            </w:r>
          </w:p>
          <w:p>
            <w:pPr>
              <w:shd w:val="clear"/>
              <w:adjustRightInd w:val="0"/>
              <w:snapToGrid w:val="0"/>
              <w:jc w:val="center"/>
              <w:rPr>
                <w:bCs/>
                <w:color w:val="auto"/>
                <w:szCs w:val="21"/>
              </w:rPr>
            </w:pPr>
            <w:r>
              <w:rPr>
                <w:bCs/>
                <w:color w:val="auto"/>
                <w:szCs w:val="21"/>
              </w:rPr>
              <w:t>措施</w:t>
            </w:r>
          </w:p>
        </w:tc>
        <w:tc>
          <w:tcPr>
            <w:tcW w:w="8571" w:type="dxa"/>
          </w:tcPr>
          <w:p>
            <w:pPr>
              <w:pStyle w:val="65"/>
              <w:shd w:val="clear"/>
              <w:adjustRightInd w:val="0"/>
              <w:snapToGrid w:val="0"/>
              <w:spacing w:line="360" w:lineRule="auto"/>
              <w:ind w:left="480" w:firstLine="0" w:firstLineChars="0"/>
              <w:rPr>
                <w:b/>
                <w:color w:val="auto"/>
                <w:sz w:val="24"/>
              </w:rPr>
            </w:pPr>
            <w:r>
              <w:rPr>
                <w:rFonts w:hint="eastAsia"/>
                <w:b/>
                <w:color w:val="auto"/>
                <w:sz w:val="24"/>
              </w:rPr>
              <w:t>一、</w:t>
            </w:r>
            <w:r>
              <w:rPr>
                <w:b/>
                <w:color w:val="auto"/>
                <w:sz w:val="24"/>
              </w:rPr>
              <w:t>废水</w:t>
            </w:r>
          </w:p>
          <w:p>
            <w:pPr>
              <w:pStyle w:val="65"/>
              <w:shd w:val="clear"/>
              <w:adjustRightInd w:val="0"/>
              <w:snapToGrid w:val="0"/>
              <w:spacing w:line="360" w:lineRule="auto"/>
              <w:ind w:left="425" w:firstLine="0" w:firstLineChars="0"/>
              <w:rPr>
                <w:bCs/>
                <w:color w:val="auto"/>
                <w:sz w:val="24"/>
              </w:rPr>
            </w:pPr>
            <w:r>
              <w:rPr>
                <w:rFonts w:hint="eastAsia"/>
                <w:bCs/>
                <w:color w:val="auto"/>
                <w:sz w:val="24"/>
              </w:rPr>
              <w:t>1.废</w:t>
            </w:r>
            <w:r>
              <w:rPr>
                <w:bCs/>
                <w:color w:val="auto"/>
                <w:sz w:val="24"/>
              </w:rPr>
              <w:t>水产生及排放情况</w:t>
            </w:r>
          </w:p>
          <w:p>
            <w:pPr>
              <w:pStyle w:val="36"/>
              <w:shd w:val="clear"/>
              <w:spacing w:line="360" w:lineRule="auto"/>
              <w:ind w:firstLine="480" w:firstLineChars="200"/>
              <w:jc w:val="both"/>
              <w:rPr>
                <w:rFonts w:ascii="Times New Roman" w:hAnsi="Times New Roman" w:eastAsia="宋体" w:cs="Times New Roman"/>
                <w:bCs/>
                <w:color w:val="auto"/>
              </w:rPr>
            </w:pPr>
            <w:r>
              <w:rPr>
                <w:rFonts w:ascii="Times New Roman" w:hAnsi="Times New Roman" w:eastAsia="宋体" w:cs="Times New Roman"/>
                <w:bCs/>
                <w:color w:val="auto"/>
              </w:rPr>
              <w:t>本项目废水主要为生活污水、车间地面冲洗废水、</w:t>
            </w:r>
            <w:r>
              <w:rPr>
                <w:rFonts w:hint="eastAsia" w:ascii="Times New Roman" w:hAnsi="Times New Roman" w:eastAsia="宋体" w:cs="Times New Roman"/>
                <w:bCs/>
                <w:color w:val="auto"/>
                <w:lang w:val="en-US" w:eastAsia="zh-CN"/>
              </w:rPr>
              <w:t>清洗废水、</w:t>
            </w:r>
            <w:r>
              <w:rPr>
                <w:rFonts w:ascii="Times New Roman" w:hAnsi="Times New Roman" w:eastAsia="宋体" w:cs="Times New Roman"/>
                <w:bCs/>
                <w:color w:val="auto"/>
              </w:rPr>
              <w:t>锅炉排污水及软化废水。</w:t>
            </w:r>
          </w:p>
          <w:p>
            <w:pPr>
              <w:pStyle w:val="36"/>
              <w:numPr>
                <w:ilvl w:val="0"/>
                <w:numId w:val="4"/>
              </w:numPr>
              <w:shd w:val="clear"/>
              <w:spacing w:line="360" w:lineRule="auto"/>
              <w:ind w:firstLine="480" w:firstLineChars="200"/>
              <w:jc w:val="both"/>
              <w:rPr>
                <w:rFonts w:ascii="Times New Roman" w:hAnsi="Times New Roman" w:eastAsia="宋体" w:cs="Times New Roman"/>
                <w:color w:val="auto"/>
              </w:rPr>
            </w:pPr>
            <w:r>
              <w:rPr>
                <w:rFonts w:ascii="Times New Roman" w:hAnsi="Times New Roman" w:eastAsia="宋体" w:cs="Times New Roman"/>
                <w:color w:val="auto"/>
              </w:rPr>
              <w:t>生活污水</w:t>
            </w:r>
          </w:p>
          <w:p>
            <w:pPr>
              <w:pStyle w:val="36"/>
              <w:keepNext w:val="0"/>
              <w:keepLines w:val="0"/>
              <w:pageBreakBefore w:val="0"/>
              <w:widowControl w:val="0"/>
              <w:shd w:val="clear"/>
              <w:kinsoku/>
              <w:wordWrap/>
              <w:overflowPunct/>
              <w:topLinePunct w:val="0"/>
              <w:bidi w:val="0"/>
              <w:snapToGrid/>
              <w:spacing w:line="360" w:lineRule="auto"/>
              <w:ind w:firstLine="480" w:firstLineChars="200"/>
              <w:jc w:val="both"/>
              <w:rPr>
                <w:rFonts w:hint="default" w:ascii="Times New Roman" w:hAnsi="Times New Roman" w:eastAsia="宋体" w:cs="Times New Roman"/>
                <w:color w:val="auto"/>
              </w:rPr>
            </w:pPr>
            <w:r>
              <w:rPr>
                <w:rFonts w:hint="eastAsia" w:ascii="Times New Roman" w:hAnsi="Times New Roman" w:eastAsia="宋体" w:cs="Times New Roman"/>
                <w:color w:val="auto"/>
              </w:rPr>
              <w:t>本项目生活污水</w:t>
            </w:r>
            <w:r>
              <w:rPr>
                <w:rFonts w:ascii="Times New Roman" w:hAnsi="Times New Roman" w:eastAsia="宋体" w:cs="Times New Roman"/>
                <w:color w:val="auto"/>
              </w:rPr>
              <w:t>产生量按用水量的80%计，产生量为</w:t>
            </w:r>
            <w:r>
              <w:rPr>
                <w:rFonts w:hint="eastAsia" w:ascii="Times New Roman" w:hAnsi="Times New Roman" w:eastAsia="宋体" w:cs="Times New Roman"/>
                <w:color w:val="auto"/>
                <w:lang w:val="en-US" w:eastAsia="zh-CN"/>
              </w:rPr>
              <w:t>9.6</w:t>
            </w:r>
            <w:r>
              <w:rPr>
                <w:rFonts w:ascii="Times New Roman" w:hAnsi="Times New Roman" w:eastAsia="宋体" w:cs="Times New Roman"/>
                <w:color w:val="auto"/>
              </w:rPr>
              <w:t>t/d，</w:t>
            </w:r>
            <w:r>
              <w:rPr>
                <w:rFonts w:hint="eastAsia" w:ascii="Times New Roman" w:hAnsi="Times New Roman" w:eastAsia="宋体" w:cs="Times New Roman"/>
                <w:color w:val="auto"/>
                <w:lang w:val="en-US" w:eastAsia="zh-CN"/>
              </w:rPr>
              <w:t>864</w:t>
            </w:r>
            <w:r>
              <w:rPr>
                <w:rFonts w:ascii="Times New Roman" w:hAnsi="Times New Roman" w:eastAsia="宋体" w:cs="Times New Roman"/>
                <w:color w:val="auto"/>
              </w:rPr>
              <w:t>t/a</w:t>
            </w:r>
            <w:r>
              <w:rPr>
                <w:rFonts w:hint="eastAsia" w:ascii="Times New Roman" w:hAnsi="Times New Roman" w:eastAsia="宋体" w:cs="Times New Roman"/>
                <w:color w:val="auto"/>
              </w:rPr>
              <w:t>；</w:t>
            </w:r>
            <w:r>
              <w:rPr>
                <w:rFonts w:ascii="Times New Roman" w:hAnsi="Times New Roman" w:eastAsia="宋体" w:cs="Times New Roman"/>
                <w:color w:val="auto"/>
              </w:rPr>
              <w:t>主要污染物</w:t>
            </w:r>
            <w:r>
              <w:rPr>
                <w:rFonts w:hint="default" w:ascii="Times New Roman" w:hAnsi="Times New Roman" w:eastAsia="宋体" w:cs="Times New Roman"/>
                <w:color w:val="auto"/>
              </w:rPr>
              <w:t>浓度及产生量为COD 300mg/L、NH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 30mg/L。本项目生活污水排入防渗</w:t>
            </w:r>
            <w:r>
              <w:rPr>
                <w:rFonts w:hint="default" w:ascii="Times New Roman" w:hAnsi="Times New Roman" w:eastAsia="宋体" w:cs="Times New Roman"/>
                <w:color w:val="auto"/>
                <w:lang w:val="en-US" w:eastAsia="zh-CN"/>
              </w:rPr>
              <w:t>化粪池</w:t>
            </w:r>
            <w:r>
              <w:rPr>
                <w:rFonts w:hint="default" w:ascii="Times New Roman" w:hAnsi="Times New Roman" w:eastAsia="宋体" w:cs="Times New Roman"/>
                <w:color w:val="auto"/>
              </w:rPr>
              <w:t>，定期清掏。</w:t>
            </w:r>
          </w:p>
          <w:p>
            <w:pPr>
              <w:pStyle w:val="36"/>
              <w:keepNext w:val="0"/>
              <w:keepLines w:val="0"/>
              <w:pageBreakBefore w:val="0"/>
              <w:widowControl w:val="0"/>
              <w:shd w:val="clear"/>
              <w:kinsoku/>
              <w:wordWrap/>
              <w:overflowPunct/>
              <w:topLinePunct w:val="0"/>
              <w:bidi w:val="0"/>
              <w:snapToGrid/>
              <w:spacing w:line="360" w:lineRule="auto"/>
              <w:ind w:firstLine="480" w:firstLineChars="200"/>
              <w:jc w:val="both"/>
              <w:rPr>
                <w:rFonts w:hint="default" w:ascii="Times New Roman" w:hAnsi="Times New Roman" w:eastAsia="宋体" w:cs="Times New Roman"/>
                <w:color w:val="0000FF"/>
              </w:rPr>
            </w:pPr>
            <w:r>
              <w:rPr>
                <w:rFonts w:hint="default" w:ascii="Times New Roman" w:hAnsi="Times New Roman" w:eastAsia="宋体" w:cs="Times New Roman"/>
                <w:color w:val="0000FF"/>
              </w:rPr>
              <w:t>（2）生产废水</w:t>
            </w:r>
          </w:p>
          <w:p>
            <w:pPr>
              <w:pStyle w:val="36"/>
              <w:keepNext w:val="0"/>
              <w:keepLines w:val="0"/>
              <w:pageBreakBefore w:val="0"/>
              <w:widowControl w:val="0"/>
              <w:shd w:val="clear"/>
              <w:kinsoku/>
              <w:wordWrap/>
              <w:overflowPunct/>
              <w:topLinePunct w:val="0"/>
              <w:bidi w:val="0"/>
              <w:snapToGrid/>
              <w:spacing w:line="360" w:lineRule="auto"/>
              <w:ind w:firstLine="480" w:firstLineChars="200"/>
              <w:jc w:val="both"/>
              <w:rPr>
                <w:rFonts w:hint="default" w:ascii="Times New Roman" w:hAnsi="Times New Roman" w:eastAsia="宋体" w:cs="Times New Roman"/>
                <w:b w:val="0"/>
                <w:bCs w:val="0"/>
                <w:color w:val="0000FF"/>
                <w:sz w:val="24"/>
                <w:szCs w:val="24"/>
                <w:highlight w:val="yellow"/>
              </w:rPr>
            </w:pPr>
            <w:r>
              <w:rPr>
                <w:rFonts w:hint="default" w:ascii="Times New Roman" w:hAnsi="Times New Roman" w:eastAsia="宋体" w:cs="Times New Roman"/>
                <w:b w:val="0"/>
                <w:bCs w:val="0"/>
                <w:color w:val="0000FF"/>
                <w:sz w:val="24"/>
                <w:szCs w:val="24"/>
              </w:rPr>
              <w:fldChar w:fldCharType="begin"/>
            </w:r>
            <w:r>
              <w:rPr>
                <w:rFonts w:hint="default" w:ascii="Times New Roman" w:hAnsi="Times New Roman" w:eastAsia="宋体" w:cs="Times New Roman"/>
                <w:b w:val="0"/>
                <w:bCs w:val="0"/>
                <w:color w:val="0000FF"/>
                <w:sz w:val="24"/>
                <w:szCs w:val="24"/>
              </w:rPr>
              <w:instrText xml:space="preserve"> = 1 \* GB3 </w:instrText>
            </w:r>
            <w:r>
              <w:rPr>
                <w:rFonts w:hint="default" w:ascii="Times New Roman" w:hAnsi="Times New Roman" w:eastAsia="宋体" w:cs="Times New Roman"/>
                <w:b w:val="0"/>
                <w:bCs w:val="0"/>
                <w:color w:val="0000FF"/>
                <w:sz w:val="24"/>
                <w:szCs w:val="24"/>
              </w:rPr>
              <w:fldChar w:fldCharType="separate"/>
            </w:r>
            <w:r>
              <w:rPr>
                <w:rFonts w:hint="default" w:ascii="Times New Roman" w:hAnsi="Times New Roman" w:eastAsia="宋体" w:cs="Times New Roman"/>
                <w:b w:val="0"/>
                <w:bCs w:val="0"/>
                <w:color w:val="0000FF"/>
                <w:sz w:val="24"/>
                <w:szCs w:val="24"/>
              </w:rPr>
              <w:t>①</w:t>
            </w:r>
            <w:r>
              <w:rPr>
                <w:rFonts w:hint="default" w:ascii="Times New Roman" w:hAnsi="Times New Roman" w:eastAsia="宋体" w:cs="Times New Roman"/>
                <w:b w:val="0"/>
                <w:bCs w:val="0"/>
                <w:color w:val="0000FF"/>
                <w:sz w:val="24"/>
                <w:szCs w:val="24"/>
              </w:rPr>
              <w:fldChar w:fldCharType="end"/>
            </w:r>
            <w:r>
              <w:rPr>
                <w:rFonts w:hint="default" w:ascii="Times New Roman" w:hAnsi="Times New Roman" w:eastAsia="宋体" w:cs="Times New Roman"/>
                <w:b w:val="0"/>
                <w:bCs w:val="0"/>
                <w:color w:val="0000FF"/>
                <w:sz w:val="24"/>
                <w:szCs w:val="24"/>
              </w:rPr>
              <w:t>车间地面冲洗废水：车间地面</w:t>
            </w:r>
            <w:r>
              <w:rPr>
                <w:rFonts w:hint="default" w:ascii="Times New Roman" w:hAnsi="Times New Roman" w:eastAsia="宋体" w:cs="Times New Roman"/>
                <w:b w:val="0"/>
                <w:bCs w:val="0"/>
                <w:color w:val="0000FF"/>
                <w:sz w:val="24"/>
                <w:szCs w:val="24"/>
                <w:highlight w:val="none"/>
              </w:rPr>
              <w:t>冲洗废水产生量按用水量的80%计，则车间地面冲洗废水产生量为</w:t>
            </w:r>
            <w:r>
              <w:rPr>
                <w:rFonts w:hint="eastAsia" w:ascii="Times New Roman" w:hAnsi="Times New Roman" w:eastAsia="宋体" w:cs="Times New Roman"/>
                <w:b w:val="0"/>
                <w:bCs w:val="0"/>
                <w:color w:val="0000FF"/>
                <w:sz w:val="24"/>
                <w:szCs w:val="24"/>
                <w:highlight w:val="none"/>
                <w:lang w:val="en-US" w:eastAsia="zh-CN"/>
              </w:rPr>
              <w:t>3.872</w:t>
            </w:r>
            <w:r>
              <w:rPr>
                <w:rFonts w:hint="default" w:ascii="Times New Roman" w:hAnsi="Times New Roman" w:eastAsia="宋体" w:cs="Times New Roman"/>
                <w:b w:val="0"/>
                <w:bCs w:val="0"/>
                <w:color w:val="0000FF"/>
                <w:sz w:val="24"/>
                <w:szCs w:val="24"/>
                <w:highlight w:val="none"/>
                <w:lang w:val="zh-CN"/>
              </w:rPr>
              <w:t>t/d，</w:t>
            </w:r>
            <w:r>
              <w:rPr>
                <w:rFonts w:hint="eastAsia" w:ascii="Times New Roman" w:hAnsi="Times New Roman" w:eastAsia="宋体" w:cs="Times New Roman"/>
                <w:b w:val="0"/>
                <w:bCs w:val="0"/>
                <w:color w:val="0000FF"/>
                <w:sz w:val="24"/>
                <w:szCs w:val="24"/>
                <w:highlight w:val="none"/>
                <w:lang w:val="en-US" w:eastAsia="zh-CN"/>
              </w:rPr>
              <w:t>348.48</w:t>
            </w:r>
            <w:r>
              <w:rPr>
                <w:rFonts w:hint="default" w:ascii="Times New Roman" w:hAnsi="Times New Roman" w:eastAsia="宋体" w:cs="Times New Roman"/>
                <w:b w:val="0"/>
                <w:bCs w:val="0"/>
                <w:color w:val="0000FF"/>
                <w:sz w:val="24"/>
                <w:szCs w:val="24"/>
                <w:highlight w:val="none"/>
              </w:rPr>
              <w:t>t/a；冲洗废水主要污染物为SS，</w:t>
            </w:r>
            <w:r>
              <w:rPr>
                <w:rFonts w:hint="default" w:ascii="Times New Roman" w:hAnsi="Times New Roman" w:eastAsia="宋体" w:cs="Times New Roman"/>
                <w:b w:val="0"/>
                <w:bCs w:val="0"/>
                <w:color w:val="0000FF"/>
                <w:sz w:val="24"/>
                <w:szCs w:val="24"/>
              </w:rPr>
              <w:t>排放浓度类比《黑龙江亨泰农业综合开发有限公司鲜食玉米加工项目竣工环境保护验收监测报告表》</w:t>
            </w:r>
            <w:r>
              <w:rPr>
                <w:rFonts w:hint="default" w:ascii="Times New Roman" w:hAnsi="Times New Roman" w:eastAsia="宋体" w:cs="Times New Roman"/>
                <w:b w:val="0"/>
                <w:bCs w:val="0"/>
                <w:color w:val="0000FF"/>
                <w:sz w:val="24"/>
                <w:szCs w:val="24"/>
                <w:highlight w:val="none"/>
              </w:rPr>
              <w:t>，</w:t>
            </w:r>
            <w:r>
              <w:rPr>
                <w:rFonts w:hint="default" w:ascii="Times New Roman" w:hAnsi="Times New Roman" w:eastAsia="宋体" w:cs="Times New Roman"/>
                <w:b w:val="0"/>
                <w:bCs w:val="0"/>
                <w:color w:val="0000FF"/>
                <w:sz w:val="24"/>
                <w:szCs w:val="24"/>
                <w:highlight w:val="none"/>
                <w:lang w:eastAsia="zh-CN"/>
              </w:rPr>
              <w:t>类比</w:t>
            </w:r>
            <w:r>
              <w:rPr>
                <w:rFonts w:hint="default" w:ascii="Times New Roman" w:hAnsi="Times New Roman" w:eastAsia="宋体" w:cs="Times New Roman"/>
                <w:b w:val="0"/>
                <w:bCs w:val="0"/>
                <w:color w:val="0000FF"/>
                <w:sz w:val="24"/>
                <w:szCs w:val="24"/>
                <w:highlight w:val="none"/>
              </w:rPr>
              <w:t>SS</w:t>
            </w:r>
            <w:r>
              <w:rPr>
                <w:rFonts w:hint="default" w:ascii="Times New Roman" w:hAnsi="Times New Roman" w:eastAsia="宋体" w:cs="Times New Roman"/>
                <w:b w:val="0"/>
                <w:bCs w:val="0"/>
                <w:color w:val="0000FF"/>
                <w:sz w:val="24"/>
                <w:szCs w:val="24"/>
                <w:highlight w:val="none"/>
                <w:lang w:eastAsia="zh-CN"/>
              </w:rPr>
              <w:t>排放</w:t>
            </w:r>
            <w:r>
              <w:rPr>
                <w:rFonts w:hint="default" w:ascii="Times New Roman" w:hAnsi="Times New Roman" w:eastAsia="宋体" w:cs="Times New Roman"/>
                <w:b w:val="0"/>
                <w:bCs w:val="0"/>
                <w:color w:val="0000FF"/>
                <w:sz w:val="24"/>
                <w:szCs w:val="24"/>
                <w:highlight w:val="none"/>
              </w:rPr>
              <w:t>浓度为300mg/L，SS产生量为</w:t>
            </w:r>
            <w:r>
              <w:rPr>
                <w:rFonts w:hint="eastAsia" w:ascii="Times New Roman" w:hAnsi="Times New Roman" w:eastAsia="宋体" w:cs="Times New Roman"/>
                <w:b w:val="0"/>
                <w:bCs w:val="0"/>
                <w:color w:val="0000FF"/>
                <w:sz w:val="24"/>
                <w:szCs w:val="24"/>
                <w:highlight w:val="none"/>
                <w:lang w:val="en-US" w:eastAsia="zh-CN"/>
              </w:rPr>
              <w:t>0.105</w:t>
            </w:r>
            <w:r>
              <w:rPr>
                <w:rFonts w:hint="default" w:ascii="Times New Roman" w:hAnsi="Times New Roman" w:eastAsia="宋体" w:cs="Times New Roman"/>
                <w:b w:val="0"/>
                <w:bCs w:val="0"/>
                <w:color w:val="0000FF"/>
                <w:sz w:val="24"/>
                <w:szCs w:val="24"/>
                <w:highlight w:val="none"/>
              </w:rPr>
              <w:t>t/a。</w:t>
            </w:r>
          </w:p>
          <w:p>
            <w:pPr>
              <w:keepNext w:val="0"/>
              <w:keepLines w:val="0"/>
              <w:pageBreakBefore w:val="0"/>
              <w:widowControl w:val="0"/>
              <w:shd w:val="clear"/>
              <w:kinsoku/>
              <w:wordWrap/>
              <w:overflowPunct/>
              <w:topLinePunct w:val="0"/>
              <w:bidi w:val="0"/>
              <w:snapToGrid/>
              <w:spacing w:line="360" w:lineRule="auto"/>
              <w:ind w:firstLine="480" w:firstLineChars="200"/>
              <w:rPr>
                <w:rFonts w:hint="default" w:ascii="Times New Roman" w:hAnsi="Times New Roman" w:eastAsia="宋体" w:cs="Times New Roman"/>
                <w:b w:val="0"/>
                <w:bCs w:val="0"/>
                <w:color w:val="0000FF"/>
                <w:sz w:val="24"/>
                <w:szCs w:val="24"/>
              </w:rPr>
            </w:pPr>
            <w:r>
              <w:rPr>
                <w:rFonts w:hint="default" w:ascii="Times New Roman" w:hAnsi="Times New Roman" w:eastAsia="宋体" w:cs="Times New Roman"/>
                <w:b w:val="0"/>
                <w:bCs w:val="0"/>
                <w:color w:val="0000FF"/>
                <w:sz w:val="24"/>
                <w:szCs w:val="24"/>
                <w:shd w:val="clear"/>
              </w:rPr>
              <w:fldChar w:fldCharType="begin"/>
            </w:r>
            <w:r>
              <w:rPr>
                <w:rFonts w:hint="default" w:ascii="Times New Roman" w:hAnsi="Times New Roman" w:eastAsia="宋体" w:cs="Times New Roman"/>
                <w:b w:val="0"/>
                <w:bCs w:val="0"/>
                <w:color w:val="0000FF"/>
                <w:sz w:val="24"/>
                <w:szCs w:val="24"/>
                <w:shd w:val="clear"/>
              </w:rPr>
              <w:instrText xml:space="preserve"> = 2 \* GB3 </w:instrText>
            </w:r>
            <w:r>
              <w:rPr>
                <w:rFonts w:hint="default" w:ascii="Times New Roman" w:hAnsi="Times New Roman" w:eastAsia="宋体" w:cs="Times New Roman"/>
                <w:b w:val="0"/>
                <w:bCs w:val="0"/>
                <w:color w:val="0000FF"/>
                <w:sz w:val="24"/>
                <w:szCs w:val="24"/>
                <w:shd w:val="clear"/>
              </w:rPr>
              <w:fldChar w:fldCharType="separate"/>
            </w:r>
            <w:r>
              <w:rPr>
                <w:rFonts w:hint="default" w:ascii="Times New Roman" w:hAnsi="Times New Roman" w:eastAsia="宋体" w:cs="Times New Roman"/>
                <w:b w:val="0"/>
                <w:bCs w:val="0"/>
                <w:color w:val="0000FF"/>
                <w:sz w:val="24"/>
                <w:szCs w:val="24"/>
                <w:shd w:val="clear"/>
              </w:rPr>
              <w:t>②</w:t>
            </w:r>
            <w:r>
              <w:rPr>
                <w:rFonts w:hint="default" w:ascii="Times New Roman" w:hAnsi="Times New Roman" w:eastAsia="宋体" w:cs="Times New Roman"/>
                <w:b w:val="0"/>
                <w:bCs w:val="0"/>
                <w:color w:val="0000FF"/>
                <w:sz w:val="24"/>
                <w:szCs w:val="24"/>
                <w:shd w:val="clear"/>
              </w:rPr>
              <w:fldChar w:fldCharType="end"/>
            </w:r>
            <w:r>
              <w:rPr>
                <w:rFonts w:hint="default" w:ascii="Times New Roman" w:hAnsi="Times New Roman" w:eastAsia="宋体" w:cs="Times New Roman"/>
                <w:b w:val="0"/>
                <w:bCs w:val="0"/>
                <w:color w:val="0000FF"/>
                <w:sz w:val="24"/>
                <w:szCs w:val="24"/>
                <w:shd w:val="clear"/>
                <w:lang w:eastAsia="zh-CN"/>
              </w:rPr>
              <w:t>清洗废水</w:t>
            </w:r>
            <w:r>
              <w:rPr>
                <w:rFonts w:hint="default" w:ascii="Times New Roman" w:hAnsi="Times New Roman" w:eastAsia="宋体" w:cs="Times New Roman"/>
                <w:b w:val="0"/>
                <w:bCs w:val="0"/>
                <w:color w:val="0000FF"/>
                <w:sz w:val="24"/>
                <w:szCs w:val="24"/>
                <w:shd w:val="clear"/>
              </w:rPr>
              <w:t>：</w:t>
            </w:r>
            <w:r>
              <w:rPr>
                <w:rFonts w:hint="default" w:ascii="Times New Roman" w:hAnsi="Times New Roman" w:eastAsia="宋体" w:cs="Times New Roman"/>
                <w:b w:val="0"/>
                <w:bCs w:val="0"/>
                <w:color w:val="0000FF"/>
                <w:sz w:val="24"/>
                <w:szCs w:val="24"/>
                <w:shd w:val="clear"/>
                <w:lang w:eastAsia="zh-CN"/>
              </w:rPr>
              <w:t>清洗废水</w:t>
            </w:r>
            <w:r>
              <w:rPr>
                <w:rFonts w:hint="default" w:ascii="Times New Roman" w:hAnsi="Times New Roman" w:eastAsia="宋体" w:cs="Times New Roman"/>
                <w:b w:val="0"/>
                <w:bCs w:val="0"/>
                <w:color w:val="0000FF"/>
                <w:sz w:val="24"/>
                <w:szCs w:val="24"/>
                <w:shd w:val="clear"/>
              </w:rPr>
              <w:t>产生量按用水量的80%计，则</w:t>
            </w:r>
            <w:r>
              <w:rPr>
                <w:rFonts w:hint="default" w:ascii="Times New Roman" w:hAnsi="Times New Roman" w:eastAsia="宋体" w:cs="Times New Roman"/>
                <w:b w:val="0"/>
                <w:bCs w:val="0"/>
                <w:color w:val="0000FF"/>
                <w:sz w:val="24"/>
                <w:szCs w:val="24"/>
                <w:shd w:val="clear"/>
                <w:lang w:eastAsia="zh-CN"/>
              </w:rPr>
              <w:t>清洗废水</w:t>
            </w:r>
            <w:r>
              <w:rPr>
                <w:rFonts w:hint="default" w:ascii="Times New Roman" w:hAnsi="Times New Roman" w:eastAsia="宋体" w:cs="Times New Roman"/>
                <w:b w:val="0"/>
                <w:bCs w:val="0"/>
                <w:color w:val="0000FF"/>
                <w:sz w:val="24"/>
                <w:szCs w:val="24"/>
                <w:shd w:val="clear"/>
              </w:rPr>
              <w:t>产生量为</w:t>
            </w:r>
            <w:r>
              <w:rPr>
                <w:rFonts w:hint="default" w:ascii="Times New Roman" w:hAnsi="Times New Roman" w:eastAsia="宋体" w:cs="Times New Roman"/>
                <w:b w:val="0"/>
                <w:bCs w:val="0"/>
                <w:color w:val="0000FF"/>
                <w:sz w:val="24"/>
                <w:szCs w:val="24"/>
                <w:shd w:val="clear"/>
                <w:lang w:val="en-US" w:eastAsia="zh-CN"/>
              </w:rPr>
              <w:t>24</w:t>
            </w:r>
            <w:r>
              <w:rPr>
                <w:rFonts w:hint="default" w:ascii="Times New Roman" w:hAnsi="Times New Roman" w:eastAsia="宋体" w:cs="Times New Roman"/>
                <w:b w:val="0"/>
                <w:bCs w:val="0"/>
                <w:color w:val="0000FF"/>
                <w:sz w:val="24"/>
                <w:szCs w:val="24"/>
                <w:shd w:val="clear"/>
              </w:rPr>
              <w:t>t/d，</w:t>
            </w:r>
            <w:r>
              <w:rPr>
                <w:rFonts w:hint="eastAsia" w:ascii="Times New Roman" w:hAnsi="Times New Roman" w:eastAsia="宋体" w:cs="Times New Roman"/>
                <w:b w:val="0"/>
                <w:bCs w:val="0"/>
                <w:color w:val="0000FF"/>
                <w:sz w:val="24"/>
                <w:szCs w:val="24"/>
                <w:shd w:val="clear"/>
                <w:lang w:val="en-US" w:eastAsia="zh-CN"/>
              </w:rPr>
              <w:t>2160</w:t>
            </w:r>
            <w:r>
              <w:rPr>
                <w:rFonts w:hint="default" w:ascii="Times New Roman" w:hAnsi="Times New Roman" w:eastAsia="宋体" w:cs="Times New Roman"/>
                <w:b w:val="0"/>
                <w:bCs w:val="0"/>
                <w:color w:val="0000FF"/>
                <w:sz w:val="24"/>
                <w:szCs w:val="24"/>
                <w:shd w:val="clear"/>
              </w:rPr>
              <w:t>t/a；</w:t>
            </w:r>
            <w:r>
              <w:rPr>
                <w:rFonts w:hint="default" w:ascii="Times New Roman" w:hAnsi="Times New Roman" w:eastAsia="宋体" w:cs="Times New Roman"/>
                <w:b w:val="0"/>
                <w:bCs w:val="0"/>
                <w:color w:val="0000FF"/>
                <w:sz w:val="24"/>
                <w:szCs w:val="24"/>
              </w:rPr>
              <w:t>主要污染物为COD、BOD</w:t>
            </w:r>
            <w:r>
              <w:rPr>
                <w:rFonts w:hint="default" w:ascii="Times New Roman" w:hAnsi="Times New Roman" w:eastAsia="宋体" w:cs="Times New Roman"/>
                <w:b w:val="0"/>
                <w:bCs w:val="0"/>
                <w:color w:val="0000FF"/>
                <w:sz w:val="24"/>
                <w:szCs w:val="24"/>
                <w:vertAlign w:val="subscript"/>
              </w:rPr>
              <w:t>5</w:t>
            </w:r>
            <w:r>
              <w:rPr>
                <w:rFonts w:hint="default" w:ascii="Times New Roman" w:hAnsi="Times New Roman" w:eastAsia="宋体" w:cs="Times New Roman"/>
                <w:b w:val="0"/>
                <w:bCs w:val="0"/>
                <w:color w:val="0000FF"/>
                <w:sz w:val="24"/>
                <w:szCs w:val="24"/>
              </w:rPr>
              <w:t>、氨氮、SS，排放浓度类比《黑龙江亨泰农业综合开发有限公司鲜食玉米加工项目竣工环境保护验收监测报告表》，</w:t>
            </w:r>
            <w:r>
              <w:rPr>
                <w:rFonts w:hint="default" w:ascii="Times New Roman" w:hAnsi="Times New Roman" w:cs="Times New Roman"/>
                <w:b w:val="0"/>
                <w:bCs w:val="0"/>
                <w:color w:val="0000FF"/>
                <w:sz w:val="24"/>
                <w:szCs w:val="24"/>
                <w:highlight w:val="none"/>
              </w:rPr>
              <w:t>黑龙江亨泰农业综合开发有限公司</w:t>
            </w:r>
            <w:r>
              <w:rPr>
                <w:rFonts w:hint="default" w:ascii="Times New Roman" w:hAnsi="Times New Roman" w:eastAsia="宋体" w:cs="Times New Roman"/>
                <w:b w:val="0"/>
                <w:bCs w:val="0"/>
                <w:color w:val="0000FF"/>
                <w:kern w:val="2"/>
                <w:sz w:val="24"/>
                <w:szCs w:val="24"/>
                <w:highlight w:val="none"/>
                <w:lang w:val="en-US" w:eastAsia="zh-CN" w:bidi="ar-SA"/>
              </w:rPr>
              <w:t>类比工艺及原料均一致</w:t>
            </w:r>
            <w:r>
              <w:rPr>
                <w:rFonts w:hint="eastAsia" w:ascii="Times New Roman" w:hAnsi="Times New Roman" w:cs="Times New Roman"/>
                <w:b w:val="0"/>
                <w:bCs w:val="0"/>
                <w:color w:val="0000FF"/>
                <w:sz w:val="24"/>
                <w:szCs w:val="24"/>
                <w:highlight w:val="none"/>
                <w:lang w:eastAsia="zh-CN"/>
              </w:rPr>
              <w:t>，废水处理工艺一致。均无污水处理站，</w:t>
            </w:r>
            <w:r>
              <w:rPr>
                <w:rFonts w:hint="default" w:ascii="Times New Roman" w:hAnsi="Times New Roman" w:eastAsia="宋体" w:cs="Times New Roman"/>
                <w:color w:val="0000FF"/>
                <w:sz w:val="24"/>
                <w:highlight w:val="none"/>
                <w:lang w:val="en-US" w:eastAsia="zh-CN"/>
              </w:rPr>
              <w:t>具有类比可行性</w:t>
            </w:r>
            <w:r>
              <w:rPr>
                <w:rFonts w:hint="eastAsia" w:cs="Times New Roman"/>
                <w:b w:val="0"/>
                <w:bCs w:val="0"/>
                <w:color w:val="0000FF"/>
                <w:sz w:val="24"/>
                <w:szCs w:val="24"/>
                <w:lang w:val="en-US" w:eastAsia="zh-CN"/>
              </w:rPr>
              <w:t>。</w:t>
            </w:r>
            <w:r>
              <w:rPr>
                <w:rFonts w:hint="default" w:ascii="Times New Roman" w:hAnsi="Times New Roman" w:eastAsia="宋体" w:cs="Times New Roman"/>
                <w:b w:val="0"/>
                <w:bCs w:val="0"/>
                <w:color w:val="0000FF"/>
                <w:sz w:val="24"/>
                <w:szCs w:val="24"/>
              </w:rPr>
              <w:t>类比COD排放浓度为120mg/L，氨氮排放浓度为9.09mg/L，SS排放浓度为85mg/L，BOD</w:t>
            </w:r>
            <w:r>
              <w:rPr>
                <w:rFonts w:hint="default" w:ascii="Times New Roman" w:hAnsi="Times New Roman" w:eastAsia="宋体" w:cs="Times New Roman"/>
                <w:b w:val="0"/>
                <w:bCs w:val="0"/>
                <w:color w:val="0000FF"/>
                <w:sz w:val="24"/>
                <w:szCs w:val="24"/>
                <w:vertAlign w:val="subscript"/>
              </w:rPr>
              <w:t>5</w:t>
            </w:r>
            <w:r>
              <w:rPr>
                <w:rFonts w:hint="default" w:ascii="Times New Roman" w:hAnsi="Times New Roman" w:eastAsia="宋体" w:cs="Times New Roman"/>
                <w:b w:val="0"/>
                <w:bCs w:val="0"/>
                <w:color w:val="0000FF"/>
                <w:sz w:val="24"/>
                <w:szCs w:val="24"/>
              </w:rPr>
              <w:t>排放浓度为45.1mg/L，</w:t>
            </w:r>
            <w:r>
              <w:rPr>
                <w:rFonts w:hint="default" w:ascii="Times New Roman" w:hAnsi="Times New Roman" w:eastAsia="宋体" w:cs="Times New Roman"/>
                <w:b w:val="0"/>
                <w:bCs w:val="0"/>
                <w:color w:val="0000FF"/>
                <w:sz w:val="24"/>
                <w:szCs w:val="24"/>
                <w:lang w:val="en-US" w:eastAsia="zh-CN"/>
              </w:rPr>
              <w:t>则</w:t>
            </w:r>
            <w:r>
              <w:rPr>
                <w:rFonts w:hint="default" w:ascii="Times New Roman" w:hAnsi="Times New Roman" w:eastAsia="宋体" w:cs="Times New Roman"/>
                <w:b w:val="0"/>
                <w:bCs w:val="0"/>
                <w:color w:val="0000FF"/>
                <w:sz w:val="24"/>
                <w:szCs w:val="24"/>
              </w:rPr>
              <w:t>项目</w:t>
            </w:r>
            <w:r>
              <w:rPr>
                <w:rFonts w:hint="default" w:ascii="Times New Roman" w:hAnsi="Times New Roman" w:eastAsia="宋体" w:cs="Times New Roman"/>
                <w:b w:val="0"/>
                <w:bCs w:val="0"/>
                <w:color w:val="0000FF"/>
                <w:sz w:val="24"/>
                <w:szCs w:val="24"/>
                <w:lang w:eastAsia="zh-CN"/>
              </w:rPr>
              <w:t>清洗废水</w:t>
            </w:r>
            <w:r>
              <w:rPr>
                <w:rFonts w:hint="default" w:ascii="Times New Roman" w:hAnsi="Times New Roman" w:eastAsia="宋体" w:cs="Times New Roman"/>
                <w:b w:val="0"/>
                <w:bCs w:val="0"/>
                <w:color w:val="0000FF"/>
                <w:sz w:val="24"/>
                <w:szCs w:val="24"/>
              </w:rPr>
              <w:t>中COD产生量为</w:t>
            </w:r>
            <w:r>
              <w:rPr>
                <w:rFonts w:hint="eastAsia" w:ascii="Times New Roman" w:hAnsi="Times New Roman" w:eastAsia="宋体" w:cs="Times New Roman"/>
                <w:b w:val="0"/>
                <w:bCs w:val="0"/>
                <w:color w:val="0000FF"/>
                <w:sz w:val="24"/>
                <w:szCs w:val="24"/>
                <w:lang w:val="en-US" w:eastAsia="zh-CN"/>
              </w:rPr>
              <w:t>0.259</w:t>
            </w:r>
            <w:r>
              <w:rPr>
                <w:rFonts w:hint="default" w:ascii="Times New Roman" w:hAnsi="Times New Roman" w:eastAsia="宋体" w:cs="Times New Roman"/>
                <w:b w:val="0"/>
                <w:bCs w:val="0"/>
                <w:color w:val="0000FF"/>
                <w:sz w:val="24"/>
                <w:szCs w:val="24"/>
              </w:rPr>
              <w:t>t/a，氨氮产生量为0.0</w:t>
            </w:r>
            <w:r>
              <w:rPr>
                <w:rFonts w:hint="eastAsia" w:ascii="Times New Roman" w:hAnsi="Times New Roman" w:eastAsia="宋体" w:cs="Times New Roman"/>
                <w:b w:val="0"/>
                <w:bCs w:val="0"/>
                <w:color w:val="0000FF"/>
                <w:sz w:val="24"/>
                <w:szCs w:val="24"/>
                <w:lang w:val="en-US" w:eastAsia="zh-CN"/>
              </w:rPr>
              <w:t>20</w:t>
            </w:r>
            <w:r>
              <w:rPr>
                <w:rFonts w:hint="default" w:ascii="Times New Roman" w:hAnsi="Times New Roman" w:eastAsia="宋体" w:cs="Times New Roman"/>
                <w:b w:val="0"/>
                <w:bCs w:val="0"/>
                <w:color w:val="0000FF"/>
                <w:sz w:val="24"/>
                <w:szCs w:val="24"/>
              </w:rPr>
              <w:t>t/a，SS产生量为0.</w:t>
            </w:r>
            <w:r>
              <w:rPr>
                <w:rFonts w:hint="default" w:ascii="Times New Roman" w:hAnsi="Times New Roman" w:eastAsia="宋体" w:cs="Times New Roman"/>
                <w:b w:val="0"/>
                <w:bCs w:val="0"/>
                <w:color w:val="0000FF"/>
                <w:sz w:val="24"/>
                <w:szCs w:val="24"/>
                <w:lang w:val="en-US" w:eastAsia="zh-CN"/>
              </w:rPr>
              <w:t>1</w:t>
            </w:r>
            <w:r>
              <w:rPr>
                <w:rFonts w:hint="eastAsia" w:ascii="Times New Roman" w:hAnsi="Times New Roman" w:eastAsia="宋体" w:cs="Times New Roman"/>
                <w:b w:val="0"/>
                <w:bCs w:val="0"/>
                <w:color w:val="0000FF"/>
                <w:sz w:val="24"/>
                <w:szCs w:val="24"/>
                <w:lang w:val="en-US" w:eastAsia="zh-CN"/>
              </w:rPr>
              <w:t>84</w:t>
            </w:r>
            <w:r>
              <w:rPr>
                <w:rFonts w:hint="default" w:ascii="Times New Roman" w:hAnsi="Times New Roman" w:eastAsia="宋体" w:cs="Times New Roman"/>
                <w:b w:val="0"/>
                <w:bCs w:val="0"/>
                <w:color w:val="0000FF"/>
                <w:sz w:val="24"/>
                <w:szCs w:val="24"/>
              </w:rPr>
              <w:t>t/a，BOD</w:t>
            </w:r>
            <w:r>
              <w:rPr>
                <w:rFonts w:hint="default" w:ascii="Times New Roman" w:hAnsi="Times New Roman" w:eastAsia="宋体" w:cs="Times New Roman"/>
                <w:b w:val="0"/>
                <w:bCs w:val="0"/>
                <w:color w:val="0000FF"/>
                <w:sz w:val="24"/>
                <w:szCs w:val="24"/>
                <w:vertAlign w:val="subscript"/>
              </w:rPr>
              <w:t>5</w:t>
            </w:r>
            <w:r>
              <w:rPr>
                <w:rFonts w:hint="default" w:ascii="Times New Roman" w:hAnsi="Times New Roman" w:eastAsia="宋体" w:cs="Times New Roman"/>
                <w:b w:val="0"/>
                <w:bCs w:val="0"/>
                <w:color w:val="0000FF"/>
                <w:sz w:val="24"/>
                <w:szCs w:val="24"/>
              </w:rPr>
              <w:t>产生量为0.0</w:t>
            </w:r>
            <w:r>
              <w:rPr>
                <w:rFonts w:hint="eastAsia" w:ascii="Times New Roman" w:hAnsi="Times New Roman" w:eastAsia="宋体" w:cs="Times New Roman"/>
                <w:b w:val="0"/>
                <w:bCs w:val="0"/>
                <w:color w:val="0000FF"/>
                <w:sz w:val="24"/>
                <w:szCs w:val="24"/>
                <w:lang w:val="en-US" w:eastAsia="zh-CN"/>
              </w:rPr>
              <w:t>97</w:t>
            </w:r>
            <w:r>
              <w:rPr>
                <w:rFonts w:hint="default" w:ascii="Times New Roman" w:hAnsi="Times New Roman" w:eastAsia="宋体" w:cs="Times New Roman"/>
                <w:b w:val="0"/>
                <w:bCs w:val="0"/>
                <w:color w:val="0000FF"/>
                <w:sz w:val="24"/>
                <w:szCs w:val="24"/>
              </w:rPr>
              <w:t>t/a。</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③锅炉排污水及软化处理废水：根据物料平衡，本项目</w:t>
            </w:r>
            <w:r>
              <w:rPr>
                <w:rFonts w:hint="default" w:ascii="Times New Roman" w:hAnsi="Times New Roman" w:eastAsia="宋体" w:cs="Times New Roman"/>
                <w:b w:val="0"/>
                <w:bCs w:val="0"/>
                <w:color w:val="auto"/>
                <w:sz w:val="24"/>
                <w:szCs w:val="24"/>
                <w:lang w:eastAsia="zh-CN"/>
              </w:rPr>
              <w:t>软化处理废水</w:t>
            </w:r>
            <w:r>
              <w:rPr>
                <w:rFonts w:hint="default" w:ascii="Times New Roman" w:hAnsi="Times New Roman" w:eastAsia="宋体" w:cs="Times New Roman"/>
                <w:b w:val="0"/>
                <w:bCs w:val="0"/>
                <w:color w:val="auto"/>
                <w:sz w:val="24"/>
                <w:szCs w:val="24"/>
              </w:rPr>
              <w:t>排放量</w:t>
            </w:r>
            <w:r>
              <w:rPr>
                <w:rFonts w:hint="eastAsia" w:ascii="Times New Roman" w:hAnsi="Times New Roman" w:eastAsia="宋体" w:cs="Times New Roman"/>
                <w:b w:val="0"/>
                <w:bCs w:val="0"/>
                <w:color w:val="auto"/>
                <w:sz w:val="24"/>
                <w:szCs w:val="24"/>
                <w:lang w:val="en-US" w:eastAsia="zh-CN"/>
              </w:rPr>
              <w:t>8.4</w:t>
            </w:r>
            <w:r>
              <w:rPr>
                <w:rFonts w:hint="default" w:ascii="Times New Roman" w:hAnsi="Times New Roman" w:eastAsia="宋体" w:cs="Times New Roman"/>
                <w:b w:val="0"/>
                <w:bCs w:val="0"/>
                <w:color w:val="auto"/>
                <w:sz w:val="24"/>
                <w:szCs w:val="24"/>
              </w:rPr>
              <w:t>t/d，</w:t>
            </w:r>
            <w:r>
              <w:rPr>
                <w:rFonts w:hint="default" w:ascii="Times New Roman" w:hAnsi="Times New Roman" w:eastAsia="宋体" w:cs="Times New Roman"/>
                <w:b w:val="0"/>
                <w:bCs w:val="0"/>
                <w:color w:val="auto"/>
                <w:sz w:val="24"/>
                <w:szCs w:val="24"/>
                <w:lang w:eastAsia="zh-CN"/>
              </w:rPr>
              <w:t>锅炉</w:t>
            </w:r>
            <w:r>
              <w:rPr>
                <w:rFonts w:hint="default" w:ascii="Times New Roman" w:hAnsi="Times New Roman" w:eastAsia="宋体" w:cs="Times New Roman"/>
                <w:b w:val="0"/>
                <w:bCs w:val="0"/>
                <w:color w:val="auto"/>
                <w:sz w:val="24"/>
                <w:szCs w:val="24"/>
              </w:rPr>
              <w:t>排污水量为</w:t>
            </w:r>
            <w:r>
              <w:rPr>
                <w:rFonts w:hint="eastAsia" w:ascii="Times New Roman" w:hAnsi="Times New Roman" w:eastAsia="宋体" w:cs="Times New Roman"/>
                <w:b w:val="0"/>
                <w:bCs w:val="0"/>
                <w:color w:val="auto"/>
                <w:sz w:val="24"/>
                <w:szCs w:val="24"/>
                <w:lang w:val="en-US" w:eastAsia="zh-CN"/>
              </w:rPr>
              <w:t>4.4</w:t>
            </w:r>
            <w:r>
              <w:rPr>
                <w:rFonts w:hint="default" w:ascii="Times New Roman" w:hAnsi="Times New Roman" w:eastAsia="宋体" w:cs="Times New Roman"/>
                <w:b w:val="0"/>
                <w:bCs w:val="0"/>
                <w:color w:val="auto"/>
                <w:sz w:val="24"/>
                <w:szCs w:val="24"/>
              </w:rPr>
              <w:t>t/d，锅炉排污水及软化处理废水</w:t>
            </w:r>
            <w:r>
              <w:rPr>
                <w:rFonts w:hint="default" w:ascii="Times New Roman" w:hAnsi="Times New Roman" w:eastAsia="宋体" w:cs="Times New Roman"/>
                <w:b w:val="0"/>
                <w:bCs w:val="0"/>
                <w:color w:val="auto"/>
                <w:sz w:val="24"/>
                <w:szCs w:val="24"/>
                <w:lang w:val="en-US" w:eastAsia="zh-CN"/>
              </w:rPr>
              <w:t>排放量</w:t>
            </w:r>
            <w:r>
              <w:rPr>
                <w:rFonts w:hint="default" w:ascii="Times New Roman" w:hAnsi="Times New Roman" w:eastAsia="宋体" w:cs="Times New Roman"/>
                <w:b w:val="0"/>
                <w:bCs w:val="0"/>
                <w:color w:val="auto"/>
                <w:sz w:val="24"/>
                <w:szCs w:val="24"/>
              </w:rPr>
              <w:t>为</w:t>
            </w:r>
            <w:r>
              <w:rPr>
                <w:rFonts w:hint="eastAsia" w:ascii="Times New Roman" w:hAnsi="Times New Roman" w:eastAsia="宋体" w:cs="Times New Roman"/>
                <w:b w:val="0"/>
                <w:bCs w:val="0"/>
                <w:color w:val="auto"/>
                <w:sz w:val="24"/>
                <w:szCs w:val="24"/>
                <w:lang w:val="en-US" w:eastAsia="zh-CN"/>
              </w:rPr>
              <w:t>12.8</w:t>
            </w:r>
            <w:r>
              <w:rPr>
                <w:rFonts w:hint="default" w:ascii="Times New Roman" w:hAnsi="Times New Roman" w:eastAsia="宋体" w:cs="Times New Roman"/>
                <w:b w:val="0"/>
                <w:bCs w:val="0"/>
                <w:color w:val="auto"/>
                <w:sz w:val="24"/>
                <w:szCs w:val="24"/>
              </w:rPr>
              <w:t>t/d</w:t>
            </w:r>
            <w:r>
              <w:rPr>
                <w:rFonts w:hint="default"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val="en-US" w:eastAsia="zh-CN"/>
              </w:rPr>
              <w:t>1152</w:t>
            </w:r>
            <w:r>
              <w:rPr>
                <w:rFonts w:hint="default" w:ascii="Times New Roman" w:hAnsi="Times New Roman" w:eastAsia="宋体" w:cs="Times New Roman"/>
                <w:b w:val="0"/>
                <w:bCs w:val="0"/>
                <w:color w:val="auto"/>
                <w:sz w:val="24"/>
                <w:szCs w:val="24"/>
              </w:rPr>
              <w:t>t/a</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根据《排放源统计调查产排污核算方法和系数手册》（公告2021年 第24号），4430工业锅炉（热力生产和供应行业）产排污系数表-工业废水量和化学需氧量，化学需氧量产污系数为30g/t原料可知，本项目年燃料量</w:t>
            </w:r>
            <w:r>
              <w:rPr>
                <w:rFonts w:hint="eastAsia" w:ascii="Times New Roman" w:hAnsi="Times New Roman" w:eastAsia="宋体" w:cs="Times New Roman"/>
                <w:b w:val="0"/>
                <w:bCs w:val="0"/>
                <w:color w:val="auto"/>
                <w:sz w:val="24"/>
                <w:szCs w:val="24"/>
                <w:lang w:val="en-US" w:eastAsia="zh-CN"/>
              </w:rPr>
              <w:t>722.4</w:t>
            </w:r>
            <w:r>
              <w:rPr>
                <w:rFonts w:hint="default" w:ascii="Times New Roman" w:hAnsi="Times New Roman" w:eastAsia="宋体" w:cs="Times New Roman"/>
                <w:b w:val="0"/>
                <w:bCs w:val="0"/>
                <w:color w:val="auto"/>
                <w:sz w:val="24"/>
                <w:szCs w:val="24"/>
              </w:rPr>
              <w:t>t，故锅炉排污水及软化处理废水中COD产生浓度为</w:t>
            </w:r>
            <w:r>
              <w:rPr>
                <w:rFonts w:hint="eastAsia" w:ascii="Times New Roman" w:hAnsi="Times New Roman" w:eastAsia="宋体" w:cs="Times New Roman"/>
                <w:b w:val="0"/>
                <w:bCs w:val="0"/>
                <w:color w:val="auto"/>
                <w:sz w:val="24"/>
                <w:szCs w:val="24"/>
                <w:lang w:val="en-US" w:eastAsia="zh-CN"/>
              </w:rPr>
              <w:t>19.10</w:t>
            </w:r>
            <w:r>
              <w:rPr>
                <w:rFonts w:hint="default" w:ascii="Times New Roman" w:hAnsi="Times New Roman" w:eastAsia="宋体" w:cs="Times New Roman"/>
                <w:b w:val="0"/>
                <w:bCs w:val="0"/>
                <w:color w:val="auto"/>
                <w:sz w:val="24"/>
                <w:szCs w:val="24"/>
              </w:rPr>
              <w:t>mg/L，产生量为</w:t>
            </w:r>
            <w:r>
              <w:rPr>
                <w:rFonts w:hint="eastAsia" w:ascii="Times New Roman" w:hAnsi="Times New Roman" w:eastAsia="宋体" w:cs="Times New Roman"/>
                <w:b w:val="0"/>
                <w:bCs w:val="0"/>
                <w:color w:val="auto"/>
                <w:sz w:val="24"/>
                <w:szCs w:val="24"/>
                <w:lang w:val="en-US" w:eastAsia="zh-CN"/>
              </w:rPr>
              <w:t>0.022</w:t>
            </w:r>
            <w:r>
              <w:rPr>
                <w:rFonts w:hint="default" w:ascii="Times New Roman" w:hAnsi="Times New Roman" w:eastAsia="宋体" w:cs="Times New Roman"/>
                <w:b w:val="0"/>
                <w:bCs w:val="0"/>
                <w:color w:val="auto"/>
                <w:sz w:val="24"/>
                <w:szCs w:val="24"/>
              </w:rPr>
              <w:t>t/a</w:t>
            </w:r>
            <w:r>
              <w:rPr>
                <w:rFonts w:hint="eastAsia"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val="en-US" w:eastAsia="zh-CN"/>
              </w:rPr>
              <w:t>类比同类项目，</w:t>
            </w:r>
            <w:r>
              <w:rPr>
                <w:rFonts w:hint="default" w:ascii="Times New Roman" w:hAnsi="Times New Roman" w:eastAsia="宋体" w:cs="Times New Roman"/>
                <w:b w:val="0"/>
                <w:bCs w:val="0"/>
                <w:color w:val="auto"/>
                <w:sz w:val="24"/>
                <w:szCs w:val="24"/>
                <w:lang w:val="en-US" w:eastAsia="zh-CN"/>
              </w:rPr>
              <w:t>锅炉排污水及软化处理废水TDS产生浓度为400mg/L，</w:t>
            </w:r>
            <w:r>
              <w:rPr>
                <w:rFonts w:hint="default" w:ascii="Times New Roman" w:hAnsi="Times New Roman" w:eastAsia="宋体" w:cs="Times New Roman"/>
                <w:b w:val="0"/>
                <w:bCs w:val="0"/>
                <w:color w:val="auto"/>
                <w:sz w:val="24"/>
                <w:szCs w:val="24"/>
              </w:rPr>
              <w:t>产生量为</w:t>
            </w:r>
            <w:r>
              <w:rPr>
                <w:rFonts w:hint="default" w:ascii="Times New Roman" w:hAnsi="Times New Roman" w:eastAsia="宋体" w:cs="Times New Roman"/>
                <w:b w:val="0"/>
                <w:bCs w:val="0"/>
                <w:color w:val="auto"/>
                <w:sz w:val="24"/>
                <w:szCs w:val="24"/>
                <w:lang w:val="en-US" w:eastAsia="zh-CN"/>
              </w:rPr>
              <w:t>0.022</w:t>
            </w:r>
            <w:r>
              <w:rPr>
                <w:rFonts w:hint="default" w:ascii="Times New Roman" w:hAnsi="Times New Roman" w:eastAsia="宋体" w:cs="Times New Roman"/>
                <w:b w:val="0"/>
                <w:bCs w:val="0"/>
                <w:color w:val="auto"/>
                <w:sz w:val="24"/>
                <w:szCs w:val="24"/>
              </w:rPr>
              <w:t>t/a</w:t>
            </w:r>
          </w:p>
          <w:p>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color w:val="0000FF"/>
                <w:kern w:val="0"/>
                <w:sz w:val="24"/>
                <w:szCs w:val="24"/>
                <w:lang w:val="en-US" w:eastAsia="zh-CN" w:bidi="ar"/>
              </w:rPr>
              <w:t>④高温灭菌废水：高温灭菌废水产生量按用水量的50%计，则高温灭菌废水产生量为 0.</w:t>
            </w:r>
            <w:r>
              <w:rPr>
                <w:rFonts w:hint="eastAsia" w:ascii="Times New Roman" w:hAnsi="Times New Roman" w:eastAsia="宋体" w:cs="Times New Roman"/>
                <w:color w:val="0000FF"/>
                <w:kern w:val="0"/>
                <w:sz w:val="24"/>
                <w:szCs w:val="24"/>
                <w:lang w:val="en-US" w:eastAsia="zh-CN" w:bidi="ar"/>
              </w:rPr>
              <w:t>525</w:t>
            </w:r>
            <w:r>
              <w:rPr>
                <w:rFonts w:hint="default" w:ascii="Times New Roman" w:hAnsi="Times New Roman" w:eastAsia="宋体" w:cs="Times New Roman"/>
                <w:color w:val="0000FF"/>
                <w:kern w:val="0"/>
                <w:sz w:val="24"/>
                <w:szCs w:val="24"/>
                <w:lang w:val="en-US" w:eastAsia="zh-CN" w:bidi="ar"/>
              </w:rPr>
              <w:t>t/d，</w:t>
            </w:r>
            <w:r>
              <w:rPr>
                <w:rFonts w:hint="eastAsia" w:ascii="Times New Roman" w:hAnsi="Times New Roman" w:eastAsia="宋体" w:cs="Times New Roman"/>
                <w:color w:val="0000FF"/>
                <w:kern w:val="0"/>
                <w:sz w:val="24"/>
                <w:szCs w:val="24"/>
                <w:lang w:val="en-US" w:eastAsia="zh-CN" w:bidi="ar"/>
              </w:rPr>
              <w:t>47.25</w:t>
            </w:r>
            <w:r>
              <w:rPr>
                <w:rFonts w:hint="default" w:ascii="Times New Roman" w:hAnsi="Times New Roman" w:eastAsia="宋体" w:cs="Times New Roman"/>
                <w:color w:val="0000FF"/>
                <w:kern w:val="0"/>
                <w:sz w:val="24"/>
                <w:szCs w:val="24"/>
                <w:lang w:val="en-US" w:eastAsia="zh-CN" w:bidi="ar"/>
              </w:rPr>
              <w:t>t/a；COD、SS、BOD</w:t>
            </w:r>
            <w:r>
              <w:rPr>
                <w:rFonts w:hint="default" w:ascii="Times New Roman" w:hAnsi="Times New Roman" w:eastAsia="宋体" w:cs="Times New Roman"/>
                <w:color w:val="0000FF"/>
                <w:kern w:val="0"/>
                <w:sz w:val="24"/>
                <w:szCs w:val="24"/>
                <w:vertAlign w:val="subscript"/>
                <w:lang w:val="en-US" w:eastAsia="zh-CN" w:bidi="ar"/>
              </w:rPr>
              <w:t>5</w:t>
            </w:r>
            <w:r>
              <w:rPr>
                <w:rFonts w:hint="default" w:ascii="Times New Roman" w:hAnsi="Times New Roman" w:eastAsia="宋体" w:cs="Times New Roman"/>
                <w:color w:val="0000FF"/>
                <w:kern w:val="0"/>
                <w:sz w:val="24"/>
                <w:szCs w:val="24"/>
                <w:lang w:val="en-US" w:eastAsia="zh-CN" w:bidi="ar"/>
              </w:rPr>
              <w:t>，排放浓度类比《黑龙江亨泰农业综合开发有限公司鲜食玉米加工项目竣工环境保护验收监测报告表》，黑龙江亨泰农业综合开发有限公司类比工艺及原料均一致，废水处理工艺一致。均无污水处理站，具有类比可行性，类比COD排放浓度为150mg/L，SS排放浓度为100mg/LBOD</w:t>
            </w:r>
            <w:r>
              <w:rPr>
                <w:rFonts w:hint="default" w:ascii="Times New Roman" w:hAnsi="Times New Roman" w:eastAsia="宋体" w:cs="Times New Roman"/>
                <w:color w:val="0000FF"/>
                <w:kern w:val="0"/>
                <w:sz w:val="24"/>
                <w:szCs w:val="24"/>
                <w:vertAlign w:val="subscript"/>
                <w:lang w:val="en-US" w:eastAsia="zh-CN" w:bidi="ar"/>
              </w:rPr>
              <w:t>5</w:t>
            </w:r>
            <w:r>
              <w:rPr>
                <w:rFonts w:hint="default" w:ascii="Times New Roman" w:hAnsi="Times New Roman" w:eastAsia="宋体" w:cs="Times New Roman"/>
                <w:color w:val="0000FF"/>
                <w:kern w:val="0"/>
                <w:sz w:val="24"/>
                <w:szCs w:val="24"/>
                <w:lang w:val="en-US" w:eastAsia="zh-CN" w:bidi="ar"/>
              </w:rPr>
              <w:t>排放浓度为 50mg/L，SS产生量为</w:t>
            </w:r>
            <w:r>
              <w:rPr>
                <w:rFonts w:hint="eastAsia" w:ascii="Times New Roman" w:hAnsi="Times New Roman" w:eastAsia="宋体" w:cs="Times New Roman"/>
                <w:color w:val="0000FF"/>
                <w:kern w:val="0"/>
                <w:sz w:val="24"/>
                <w:szCs w:val="24"/>
                <w:lang w:val="en-US" w:eastAsia="zh-CN" w:bidi="ar"/>
              </w:rPr>
              <w:t>0.005</w:t>
            </w:r>
            <w:r>
              <w:rPr>
                <w:rFonts w:hint="default" w:ascii="Times New Roman" w:hAnsi="Times New Roman" w:eastAsia="宋体" w:cs="Times New Roman"/>
                <w:color w:val="0000FF"/>
                <w:kern w:val="0"/>
                <w:sz w:val="24"/>
                <w:szCs w:val="24"/>
                <w:lang w:val="en-US" w:eastAsia="zh-CN" w:bidi="ar"/>
              </w:rPr>
              <w:t>t/a，则项目高温灭菌废水中COD产生量为</w:t>
            </w:r>
            <w:r>
              <w:rPr>
                <w:rFonts w:hint="eastAsia" w:ascii="Times New Roman" w:hAnsi="Times New Roman" w:eastAsia="宋体" w:cs="Times New Roman"/>
                <w:color w:val="0000FF"/>
                <w:kern w:val="0"/>
                <w:sz w:val="24"/>
                <w:szCs w:val="24"/>
                <w:lang w:val="en-US" w:eastAsia="zh-CN" w:bidi="ar"/>
              </w:rPr>
              <w:t>0.007</w:t>
            </w:r>
            <w:r>
              <w:rPr>
                <w:rFonts w:hint="default" w:ascii="Times New Roman" w:hAnsi="Times New Roman" w:eastAsia="宋体" w:cs="Times New Roman"/>
                <w:color w:val="0000FF"/>
                <w:kern w:val="0"/>
                <w:sz w:val="24"/>
                <w:szCs w:val="24"/>
                <w:lang w:val="en-US" w:eastAsia="zh-CN" w:bidi="ar"/>
              </w:rPr>
              <w:t>t/a，BOD</w:t>
            </w:r>
            <w:r>
              <w:rPr>
                <w:rFonts w:hint="default" w:ascii="Times New Roman" w:hAnsi="Times New Roman" w:eastAsia="宋体" w:cs="Times New Roman"/>
                <w:color w:val="0000FF"/>
                <w:kern w:val="0"/>
                <w:sz w:val="24"/>
                <w:szCs w:val="24"/>
                <w:vertAlign w:val="subscript"/>
                <w:lang w:val="en-US" w:eastAsia="zh-CN" w:bidi="ar"/>
              </w:rPr>
              <w:t>5</w:t>
            </w:r>
            <w:r>
              <w:rPr>
                <w:rFonts w:hint="default" w:ascii="Times New Roman" w:hAnsi="Times New Roman" w:eastAsia="宋体" w:cs="Times New Roman"/>
                <w:color w:val="0000FF"/>
                <w:kern w:val="0"/>
                <w:sz w:val="24"/>
                <w:szCs w:val="24"/>
                <w:lang w:val="en-US" w:eastAsia="zh-CN" w:bidi="ar"/>
              </w:rPr>
              <w:t>产生量为0</w:t>
            </w:r>
            <w:r>
              <w:rPr>
                <w:rFonts w:hint="eastAsia" w:ascii="Times New Roman" w:hAnsi="Times New Roman" w:eastAsia="宋体" w:cs="Times New Roman"/>
                <w:color w:val="0000FF"/>
                <w:kern w:val="0"/>
                <w:sz w:val="24"/>
                <w:szCs w:val="24"/>
                <w:lang w:val="en-US" w:eastAsia="zh-CN" w:bidi="ar"/>
              </w:rPr>
              <w:t>.002</w:t>
            </w:r>
            <w:r>
              <w:rPr>
                <w:rFonts w:hint="default" w:ascii="Times New Roman" w:hAnsi="Times New Roman" w:eastAsia="宋体" w:cs="Times New Roman"/>
                <w:color w:val="0000FF"/>
                <w:kern w:val="0"/>
                <w:sz w:val="24"/>
                <w:szCs w:val="24"/>
                <w:lang w:val="en-US" w:eastAsia="zh-CN" w:bidi="ar"/>
              </w:rPr>
              <w:t>t/a。</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val="0"/>
                <w:bCs w:val="0"/>
                <w:color w:val="auto"/>
                <w:sz w:val="24"/>
                <w:szCs w:val="24"/>
                <w:lang w:val="en-US" w:eastAsia="zh-CN"/>
              </w:rPr>
              <w:t>锅炉排污水、软化处理废水、清洗废水、车间地面冲洗</w:t>
            </w:r>
            <w:r>
              <w:rPr>
                <w:rFonts w:hint="default" w:ascii="Times New Roman" w:hAnsi="Times New Roman" w:eastAsia="宋体" w:cs="Times New Roman"/>
                <w:b w:val="0"/>
                <w:bCs/>
                <w:color w:val="auto"/>
                <w:kern w:val="0"/>
                <w:sz w:val="24"/>
                <w:szCs w:val="24"/>
                <w:lang w:val="en-US" w:eastAsia="zh-CN" w:bidi="ar-SA"/>
              </w:rPr>
              <w:t>废水</w:t>
            </w:r>
            <w:r>
              <w:rPr>
                <w:rFonts w:hint="default" w:ascii="Times New Roman" w:hAnsi="Times New Roman" w:eastAsia="宋体" w:cs="Times New Roman"/>
                <w:b w:val="0"/>
                <w:bCs w:val="0"/>
                <w:color w:val="auto"/>
                <w:sz w:val="24"/>
                <w:szCs w:val="24"/>
                <w:highlight w:val="none"/>
                <w:lang w:val="en-US" w:eastAsia="zh-CN"/>
              </w:rPr>
              <w:t>污染物浓度较低，</w:t>
            </w:r>
            <w:r>
              <w:rPr>
                <w:rFonts w:hint="default" w:ascii="Times New Roman" w:hAnsi="Times New Roman" w:eastAsia="宋体" w:cs="Times New Roman"/>
                <w:b w:val="0"/>
                <w:bCs/>
                <w:color w:val="auto"/>
                <w:sz w:val="24"/>
                <w:szCs w:val="24"/>
                <w:highlight w:val="none"/>
                <w:lang w:eastAsia="zh-CN"/>
              </w:rPr>
              <w:t>通过管道</w:t>
            </w:r>
            <w:r>
              <w:rPr>
                <w:rFonts w:hint="default" w:ascii="Times New Roman" w:hAnsi="Times New Roman" w:eastAsia="宋体" w:cs="Times New Roman"/>
                <w:b w:val="0"/>
                <w:bCs/>
                <w:color w:val="auto"/>
                <w:sz w:val="24"/>
                <w:szCs w:val="24"/>
                <w:highlight w:val="none"/>
              </w:rPr>
              <w:t>排入厂内</w:t>
            </w:r>
            <w:r>
              <w:rPr>
                <w:rFonts w:hint="default" w:ascii="Times New Roman" w:hAnsi="Times New Roman" w:eastAsia="宋体" w:cs="Times New Roman"/>
                <w:b w:val="0"/>
                <w:bCs/>
                <w:color w:val="auto"/>
                <w:sz w:val="24"/>
                <w:szCs w:val="24"/>
                <w:highlight w:val="none"/>
                <w:lang w:val="en-US" w:eastAsia="zh-CN"/>
              </w:rPr>
              <w:t>60</w:t>
            </w:r>
            <w:r>
              <w:rPr>
                <w:rFonts w:hint="default" w:ascii="Times New Roman" w:hAnsi="Times New Roman" w:eastAsia="宋体" w:cs="Times New Roman"/>
                <w:b w:val="0"/>
                <w:bCs/>
                <w:color w:val="auto"/>
                <w:sz w:val="24"/>
                <w:szCs w:val="24"/>
                <w:highlight w:val="none"/>
              </w:rPr>
              <w:t>m</w:t>
            </w:r>
            <w:r>
              <w:rPr>
                <w:rFonts w:hint="default" w:ascii="Times New Roman" w:hAnsi="Times New Roman" w:eastAsia="宋体" w:cs="Times New Roman"/>
                <w:b w:val="0"/>
                <w:bCs/>
                <w:color w:val="auto"/>
                <w:sz w:val="24"/>
                <w:szCs w:val="24"/>
                <w:highlight w:val="none"/>
                <w:vertAlign w:val="superscript"/>
              </w:rPr>
              <w:t>3</w:t>
            </w:r>
            <w:r>
              <w:rPr>
                <w:rFonts w:hint="default" w:ascii="Times New Roman" w:hAnsi="Times New Roman" w:eastAsia="宋体" w:cs="Times New Roman"/>
                <w:b w:val="0"/>
                <w:bCs/>
                <w:color w:val="auto"/>
                <w:sz w:val="24"/>
                <w:szCs w:val="24"/>
                <w:highlight w:val="none"/>
              </w:rPr>
              <w:t>密闭储罐中储存，可以储存约</w:t>
            </w:r>
            <w:r>
              <w:rPr>
                <w:rFonts w:hint="default" w:ascii="Times New Roman" w:hAnsi="Times New Roman" w:eastAsia="宋体" w:cs="Times New Roman"/>
                <w:b w:val="0"/>
                <w:bCs/>
                <w:color w:val="auto"/>
                <w:sz w:val="24"/>
                <w:szCs w:val="24"/>
                <w:highlight w:val="none"/>
                <w:lang w:val="en-US" w:eastAsia="zh-CN"/>
              </w:rPr>
              <w:t>1</w:t>
            </w:r>
            <w:r>
              <w:rPr>
                <w:rFonts w:hint="default" w:ascii="Times New Roman" w:hAnsi="Times New Roman" w:eastAsia="宋体" w:cs="Times New Roman"/>
                <w:b w:val="0"/>
                <w:bCs/>
                <w:color w:val="auto"/>
                <w:sz w:val="24"/>
                <w:szCs w:val="24"/>
                <w:highlight w:val="none"/>
              </w:rPr>
              <w:t>天的废水，</w:t>
            </w:r>
            <w:r>
              <w:rPr>
                <w:rFonts w:hint="default" w:ascii="Times New Roman" w:hAnsi="Times New Roman" w:eastAsia="宋体" w:cs="Times New Roman"/>
                <w:color w:val="auto"/>
                <w:sz w:val="24"/>
                <w:szCs w:val="24"/>
              </w:rPr>
              <w:t>每天由专用罐车拉运至海伦市污水处理厂处理，日产日清。</w:t>
            </w:r>
          </w:p>
          <w:p>
            <w:pPr>
              <w:shd w:val="clear"/>
              <w:adjustRightInd w:val="0"/>
              <w:snapToGrid w:val="0"/>
              <w:spacing w:line="240" w:lineRule="auto"/>
              <w:jc w:val="center"/>
              <w:rPr>
                <w:rFonts w:hint="eastAsia" w:ascii="Times New Roman" w:hAnsi="Times New Roman" w:eastAsia="宋体" w:cs="Times New Roman"/>
                <w:b/>
                <w:bCs/>
                <w:color w:val="auto"/>
                <w:kern w:val="0"/>
                <w:sz w:val="24"/>
                <w:szCs w:val="24"/>
                <w:lang w:val="en-US" w:eastAsia="zh-CN" w:bidi="ar-SA"/>
              </w:rPr>
            </w:pPr>
            <w:r>
              <w:rPr>
                <w:rFonts w:hint="eastAsia" w:ascii="Times New Roman" w:hAnsi="Times New Roman" w:eastAsia="宋体" w:cs="Times New Roman"/>
                <w:b/>
                <w:bCs/>
                <w:color w:val="auto"/>
                <w:kern w:val="0"/>
                <w:sz w:val="24"/>
                <w:szCs w:val="24"/>
                <w:lang w:val="en-US" w:eastAsia="zh-CN" w:bidi="ar-SA"/>
              </w:rPr>
              <w:t>表4-1  废水污染物排放情况表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1"/>
              <w:gridCol w:w="667"/>
              <w:gridCol w:w="399"/>
              <w:gridCol w:w="932"/>
              <w:gridCol w:w="714"/>
              <w:gridCol w:w="758"/>
              <w:gridCol w:w="399"/>
              <w:gridCol w:w="738"/>
              <w:gridCol w:w="438"/>
              <w:gridCol w:w="932"/>
              <w:gridCol w:w="714"/>
              <w:gridCol w:w="729"/>
              <w:gridCol w:w="5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8" w:type="pct"/>
                  <w:vMerge w:val="restar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排放源</w:t>
                  </w:r>
                </w:p>
              </w:tc>
              <w:tc>
                <w:tcPr>
                  <w:tcW w:w="392" w:type="pct"/>
                  <w:vMerge w:val="restar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污染物</w:t>
                  </w:r>
                </w:p>
              </w:tc>
              <w:tc>
                <w:tcPr>
                  <w:tcW w:w="1645" w:type="pct"/>
                  <w:gridSpan w:val="4"/>
                  <w:tcBorders>
                    <w:tl2br w:val="nil"/>
                    <w:tr2bl w:val="nil"/>
                  </w:tcBorders>
                  <w:vAlign w:val="center"/>
                </w:tcPr>
                <w:p>
                  <w:pPr>
                    <w:shd w:val="clear"/>
                    <w:ind w:firstLine="420"/>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污染物产生</w:t>
                  </w:r>
                </w:p>
              </w:tc>
              <w:tc>
                <w:tcPr>
                  <w:tcW w:w="234" w:type="pct"/>
                  <w:vMerge w:val="restar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治理措施</w:t>
                  </w:r>
                </w:p>
              </w:tc>
              <w:tc>
                <w:tcPr>
                  <w:tcW w:w="433" w:type="pct"/>
                  <w:vMerge w:val="restar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去除</w:t>
                  </w:r>
                </w:p>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效率</w:t>
                  </w:r>
                </w:p>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w:t>
                  </w:r>
                </w:p>
              </w:tc>
              <w:tc>
                <w:tcPr>
                  <w:tcW w:w="1651" w:type="pct"/>
                  <w:gridSpan w:val="4"/>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污染物排放</w:t>
                  </w:r>
                </w:p>
              </w:tc>
              <w:tc>
                <w:tcPr>
                  <w:tcW w:w="324" w:type="pct"/>
                  <w:vMerge w:val="restar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排放时间</w:t>
                  </w:r>
                </w:p>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8" w:type="pct"/>
                  <w:vMerge w:val="continue"/>
                  <w:tcBorders>
                    <w:tl2br w:val="nil"/>
                    <w:tr2bl w:val="nil"/>
                  </w:tcBorders>
                  <w:vAlign w:val="center"/>
                </w:tcPr>
                <w:p>
                  <w:pPr>
                    <w:shd w:val="clear"/>
                    <w:jc w:val="center"/>
                    <w:rPr>
                      <w:rFonts w:hint="default" w:ascii="Times New Roman" w:hAnsi="Times New Roman" w:cs="Times New Roman"/>
                      <w:color w:val="auto"/>
                      <w:spacing w:val="-20"/>
                      <w:sz w:val="21"/>
                      <w:szCs w:val="21"/>
                    </w:rPr>
                  </w:pPr>
                </w:p>
              </w:tc>
              <w:tc>
                <w:tcPr>
                  <w:tcW w:w="392"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c>
                <w:tcPr>
                  <w:tcW w:w="234"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核算方法</w:t>
                  </w:r>
                </w:p>
              </w:tc>
              <w:tc>
                <w:tcPr>
                  <w:tcW w:w="547"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产生废水量m</w:t>
                  </w:r>
                  <w:r>
                    <w:rPr>
                      <w:rFonts w:hint="default" w:ascii="Times New Roman" w:hAnsi="Times New Roman" w:cs="Times New Roman"/>
                      <w:color w:val="auto"/>
                      <w:spacing w:val="-20"/>
                      <w:kern w:val="0"/>
                      <w:sz w:val="21"/>
                      <w:szCs w:val="21"/>
                      <w:vertAlign w:val="superscript"/>
                    </w:rPr>
                    <w:t>3</w:t>
                  </w:r>
                  <w:r>
                    <w:rPr>
                      <w:rFonts w:hint="default" w:ascii="Times New Roman" w:hAnsi="Times New Roman" w:cs="Times New Roman"/>
                      <w:color w:val="auto"/>
                      <w:spacing w:val="-20"/>
                      <w:kern w:val="0"/>
                      <w:sz w:val="21"/>
                      <w:szCs w:val="21"/>
                    </w:rPr>
                    <w:t>/a</w:t>
                  </w:r>
                </w:p>
              </w:tc>
              <w:tc>
                <w:tcPr>
                  <w:tcW w:w="419"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产生浓度mg/L</w:t>
                  </w:r>
                </w:p>
              </w:tc>
              <w:tc>
                <w:tcPr>
                  <w:tcW w:w="444"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产生量t/a</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c>
                <w:tcPr>
                  <w:tcW w:w="433"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c>
                <w:tcPr>
                  <w:tcW w:w="257"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核算方法</w:t>
                  </w:r>
                </w:p>
              </w:tc>
              <w:tc>
                <w:tcPr>
                  <w:tcW w:w="547"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排放废水量m</w:t>
                  </w:r>
                  <w:r>
                    <w:rPr>
                      <w:rFonts w:hint="default" w:ascii="Times New Roman" w:hAnsi="Times New Roman" w:cs="Times New Roman"/>
                      <w:color w:val="auto"/>
                      <w:spacing w:val="-20"/>
                      <w:kern w:val="0"/>
                      <w:sz w:val="21"/>
                      <w:szCs w:val="21"/>
                      <w:vertAlign w:val="superscript"/>
                    </w:rPr>
                    <w:t>3</w:t>
                  </w:r>
                  <w:r>
                    <w:rPr>
                      <w:rFonts w:hint="default" w:ascii="Times New Roman" w:hAnsi="Times New Roman" w:cs="Times New Roman"/>
                      <w:color w:val="auto"/>
                      <w:spacing w:val="-20"/>
                      <w:kern w:val="0"/>
                      <w:sz w:val="21"/>
                      <w:szCs w:val="21"/>
                    </w:rPr>
                    <w:t>/a</w:t>
                  </w:r>
                </w:p>
              </w:tc>
              <w:tc>
                <w:tcPr>
                  <w:tcW w:w="419"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排放浓度mg/L</w:t>
                  </w:r>
                </w:p>
              </w:tc>
              <w:tc>
                <w:tcPr>
                  <w:tcW w:w="428"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排放量t/a</w:t>
                  </w:r>
                </w:p>
              </w:tc>
              <w:tc>
                <w:tcPr>
                  <w:tcW w:w="32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318" w:type="pct"/>
                  <w:vMerge w:val="restart"/>
                  <w:tcBorders>
                    <w:tl2br w:val="nil"/>
                    <w:tr2bl w:val="nil"/>
                  </w:tcBorders>
                  <w:vAlign w:val="center"/>
                </w:tcPr>
                <w:p>
                  <w:pPr>
                    <w:shd w:val="clear"/>
                    <w:jc w:val="center"/>
                    <w:rPr>
                      <w:rFonts w:hint="default" w:ascii="Times New Roman" w:hAnsi="Times New Roman" w:cs="Times New Roman"/>
                      <w:color w:val="auto"/>
                      <w:spacing w:val="-20"/>
                      <w:sz w:val="21"/>
                      <w:szCs w:val="21"/>
                    </w:rPr>
                  </w:pPr>
                  <w:r>
                    <w:rPr>
                      <w:rFonts w:hint="default" w:ascii="Times New Roman" w:hAnsi="Times New Roman" w:cs="Times New Roman"/>
                      <w:color w:val="auto"/>
                      <w:spacing w:val="-20"/>
                      <w:sz w:val="21"/>
                      <w:szCs w:val="21"/>
                    </w:rPr>
                    <w:t>生活污水</w:t>
                  </w:r>
                </w:p>
              </w:tc>
              <w:tc>
                <w:tcPr>
                  <w:tcW w:w="392"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highlight w:val="none"/>
                    </w:rPr>
                  </w:pPr>
                  <w:r>
                    <w:rPr>
                      <w:rFonts w:hint="default" w:ascii="Times New Roman" w:hAnsi="Times New Roman" w:cs="Times New Roman"/>
                      <w:color w:val="auto"/>
                      <w:spacing w:val="-20"/>
                      <w:kern w:val="0"/>
                      <w:sz w:val="21"/>
                      <w:szCs w:val="21"/>
                      <w:highlight w:val="none"/>
                    </w:rPr>
                    <w:t>COD</w:t>
                  </w:r>
                </w:p>
              </w:tc>
              <w:tc>
                <w:tcPr>
                  <w:tcW w:w="234" w:type="pct"/>
                  <w:vMerge w:val="restart"/>
                  <w:tcBorders>
                    <w:tl2br w:val="nil"/>
                    <w:tr2bl w:val="nil"/>
                  </w:tcBorders>
                  <w:vAlign w:val="center"/>
                </w:tcPr>
                <w:p>
                  <w:pPr>
                    <w:shd w:val="clear"/>
                    <w:jc w:val="center"/>
                    <w:rPr>
                      <w:rFonts w:hint="default" w:ascii="Times New Roman" w:hAnsi="Times New Roman" w:cs="Times New Roman"/>
                      <w:color w:val="auto"/>
                      <w:spacing w:val="-20"/>
                      <w:kern w:val="0"/>
                      <w:sz w:val="21"/>
                      <w:szCs w:val="21"/>
                      <w:highlight w:val="none"/>
                    </w:rPr>
                  </w:pPr>
                  <w:r>
                    <w:rPr>
                      <w:rFonts w:hint="default" w:ascii="Times New Roman" w:hAnsi="Times New Roman" w:cs="Times New Roman"/>
                      <w:color w:val="auto"/>
                      <w:spacing w:val="-20"/>
                      <w:kern w:val="0"/>
                      <w:sz w:val="21"/>
                      <w:szCs w:val="21"/>
                      <w:highlight w:val="none"/>
                      <w:lang w:eastAsia="zh-CN"/>
                    </w:rPr>
                    <w:t>类比法</w:t>
                  </w:r>
                </w:p>
              </w:tc>
              <w:tc>
                <w:tcPr>
                  <w:tcW w:w="547" w:type="pct"/>
                  <w:vMerge w:val="restart"/>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864</w:t>
                  </w:r>
                </w:p>
              </w:tc>
              <w:tc>
                <w:tcPr>
                  <w:tcW w:w="419" w:type="pct"/>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300</w:t>
                  </w:r>
                </w:p>
              </w:tc>
              <w:tc>
                <w:tcPr>
                  <w:tcW w:w="444" w:type="pct"/>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w:t>
                  </w:r>
                  <w:r>
                    <w:rPr>
                      <w:rFonts w:hint="eastAsia" w:cs="Times New Roman"/>
                      <w:color w:val="auto"/>
                      <w:sz w:val="21"/>
                      <w:szCs w:val="21"/>
                      <w:highlight w:val="none"/>
                      <w:lang w:val="en-US" w:eastAsia="zh-CN"/>
                    </w:rPr>
                    <w:t>59</w:t>
                  </w:r>
                </w:p>
              </w:tc>
              <w:tc>
                <w:tcPr>
                  <w:tcW w:w="234" w:type="pct"/>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433" w:type="pct"/>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257" w:type="pct"/>
                  <w:vMerge w:val="restart"/>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物料平衡法</w:t>
                  </w:r>
                </w:p>
              </w:tc>
              <w:tc>
                <w:tcPr>
                  <w:tcW w:w="547" w:type="pct"/>
                  <w:vMerge w:val="restart"/>
                  <w:tcBorders>
                    <w:tl2br w:val="nil"/>
                    <w:tr2bl w:val="nil"/>
                  </w:tcBorders>
                  <w:vAlign w:val="center"/>
                </w:tcPr>
                <w:p>
                  <w:pPr>
                    <w:shd w:val="clea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864</w:t>
                  </w:r>
                </w:p>
                <w:p>
                  <w:pPr>
                    <w:shd w:val="clear"/>
                    <w:jc w:val="center"/>
                    <w:rPr>
                      <w:rFonts w:hint="default" w:ascii="Times New Roman" w:hAnsi="Times New Roman" w:cs="Times New Roman"/>
                      <w:color w:val="auto"/>
                      <w:sz w:val="21"/>
                      <w:szCs w:val="21"/>
                      <w:highlight w:val="none"/>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300</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w:t>
                  </w:r>
                  <w:r>
                    <w:rPr>
                      <w:rFonts w:hint="eastAsia" w:cs="Times New Roman"/>
                      <w:color w:val="auto"/>
                      <w:sz w:val="21"/>
                      <w:szCs w:val="21"/>
                      <w:highlight w:val="none"/>
                      <w:lang w:val="en-US" w:eastAsia="zh-CN"/>
                    </w:rPr>
                    <w:t>59</w:t>
                  </w:r>
                </w:p>
              </w:tc>
              <w:tc>
                <w:tcPr>
                  <w:tcW w:w="324" w:type="pct"/>
                  <w:vMerge w:val="restar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318" w:type="pct"/>
                  <w:vMerge w:val="continue"/>
                  <w:tcBorders>
                    <w:tl2br w:val="nil"/>
                    <w:tr2bl w:val="nil"/>
                  </w:tcBorders>
                  <w:vAlign w:val="center"/>
                </w:tcPr>
                <w:p>
                  <w:pPr>
                    <w:shd w:val="clear"/>
                    <w:jc w:val="center"/>
                    <w:rPr>
                      <w:rFonts w:hint="default" w:ascii="Times New Roman" w:hAnsi="Times New Roman" w:cs="Times New Roman"/>
                      <w:color w:val="auto"/>
                      <w:spacing w:val="-20"/>
                      <w:sz w:val="21"/>
                      <w:szCs w:val="21"/>
                    </w:rPr>
                  </w:pPr>
                </w:p>
              </w:tc>
              <w:tc>
                <w:tcPr>
                  <w:tcW w:w="392"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highlight w:val="none"/>
                    </w:rPr>
                  </w:pPr>
                  <w:r>
                    <w:rPr>
                      <w:rFonts w:hint="default" w:ascii="Times New Roman" w:hAnsi="Times New Roman" w:cs="Times New Roman"/>
                      <w:color w:val="auto"/>
                      <w:spacing w:val="-20"/>
                      <w:kern w:val="0"/>
                      <w:sz w:val="21"/>
                      <w:szCs w:val="21"/>
                      <w:highlight w:val="none"/>
                    </w:rPr>
                    <w:t>氨氮</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highlight w:val="none"/>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p>
              </w:tc>
              <w:tc>
                <w:tcPr>
                  <w:tcW w:w="419" w:type="pct"/>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444" w:type="pct"/>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0.02</w:t>
                  </w:r>
                  <w:r>
                    <w:rPr>
                      <w:rFonts w:hint="eastAsia" w:cs="Times New Roman"/>
                      <w:color w:val="auto"/>
                      <w:sz w:val="21"/>
                      <w:szCs w:val="21"/>
                      <w:highlight w:val="none"/>
                      <w:lang w:val="en-US" w:eastAsia="zh-CN"/>
                    </w:rPr>
                    <w:t>6</w:t>
                  </w:r>
                </w:p>
              </w:tc>
              <w:tc>
                <w:tcPr>
                  <w:tcW w:w="234" w:type="pct"/>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433" w:type="pct"/>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highlight w:val="none"/>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30</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0.02</w:t>
                  </w:r>
                  <w:r>
                    <w:rPr>
                      <w:rFonts w:hint="eastAsia" w:cs="Times New Roman"/>
                      <w:color w:val="auto"/>
                      <w:sz w:val="21"/>
                      <w:szCs w:val="21"/>
                      <w:highlight w:val="none"/>
                      <w:lang w:val="en-US" w:eastAsia="zh-CN"/>
                    </w:rPr>
                    <w:t>6</w:t>
                  </w:r>
                </w:p>
              </w:tc>
              <w:tc>
                <w:tcPr>
                  <w:tcW w:w="324"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318" w:type="pct"/>
                  <w:vMerge w:val="restart"/>
                  <w:tcBorders>
                    <w:tl2br w:val="nil"/>
                    <w:tr2bl w:val="nil"/>
                  </w:tcBorders>
                  <w:vAlign w:val="center"/>
                </w:tcPr>
                <w:p>
                  <w:pPr>
                    <w:shd w:val="clear"/>
                    <w:jc w:val="center"/>
                    <w:rPr>
                      <w:rFonts w:hint="default" w:ascii="Times New Roman" w:hAnsi="Times New Roman" w:cs="Times New Roman"/>
                      <w:color w:val="auto"/>
                      <w:spacing w:val="-20"/>
                      <w:sz w:val="21"/>
                      <w:szCs w:val="21"/>
                    </w:rPr>
                  </w:pPr>
                  <w:r>
                    <w:rPr>
                      <w:rFonts w:hint="default" w:ascii="Times New Roman" w:hAnsi="Times New Roman" w:cs="Times New Roman"/>
                      <w:color w:val="auto"/>
                      <w:spacing w:val="-20"/>
                      <w:sz w:val="21"/>
                      <w:szCs w:val="21"/>
                    </w:rPr>
                    <w:t>锅炉排污水及软化处理废水</w:t>
                  </w:r>
                </w:p>
              </w:tc>
              <w:tc>
                <w:tcPr>
                  <w:tcW w:w="392"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COD</w:t>
                  </w:r>
                </w:p>
              </w:tc>
              <w:tc>
                <w:tcPr>
                  <w:tcW w:w="234"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系数法</w:t>
                  </w:r>
                </w:p>
              </w:tc>
              <w:tc>
                <w:tcPr>
                  <w:tcW w:w="547" w:type="pct"/>
                  <w:vMerge w:val="restar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1152</w:t>
                  </w:r>
                </w:p>
              </w:tc>
              <w:tc>
                <w:tcPr>
                  <w:tcW w:w="419"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19.10</w:t>
                  </w:r>
                </w:p>
              </w:tc>
              <w:tc>
                <w:tcPr>
                  <w:tcW w:w="444"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0.022</w:t>
                  </w:r>
                </w:p>
              </w:tc>
              <w:tc>
                <w:tcPr>
                  <w:tcW w:w="234"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33"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57" w:type="pct"/>
                  <w:vMerge w:val="restar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物料平衡法</w:t>
                  </w:r>
                </w:p>
              </w:tc>
              <w:tc>
                <w:tcPr>
                  <w:tcW w:w="547" w:type="pct"/>
                  <w:vMerge w:val="restar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1152</w:t>
                  </w:r>
                </w:p>
              </w:tc>
              <w:tc>
                <w:tcPr>
                  <w:tcW w:w="419"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19.10</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0.022</w:t>
                  </w:r>
                </w:p>
              </w:tc>
              <w:tc>
                <w:tcPr>
                  <w:tcW w:w="324"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318" w:type="pct"/>
                  <w:vMerge w:val="continue"/>
                  <w:tcBorders>
                    <w:tl2br w:val="nil"/>
                    <w:tr2bl w:val="nil"/>
                  </w:tcBorders>
                  <w:vAlign w:val="center"/>
                </w:tcPr>
                <w:p>
                  <w:pPr>
                    <w:shd w:val="clear"/>
                    <w:jc w:val="center"/>
                    <w:rPr>
                      <w:rFonts w:hint="default" w:ascii="Times New Roman" w:hAnsi="Times New Roman" w:cs="Times New Roman"/>
                      <w:color w:val="auto"/>
                      <w:spacing w:val="-20"/>
                      <w:sz w:val="21"/>
                      <w:szCs w:val="21"/>
                    </w:rPr>
                  </w:pPr>
                </w:p>
              </w:tc>
              <w:tc>
                <w:tcPr>
                  <w:tcW w:w="392" w:type="pct"/>
                  <w:tcBorders>
                    <w:tl2br w:val="nil"/>
                    <w:tr2bl w:val="nil"/>
                  </w:tcBorders>
                  <w:vAlign w:val="center"/>
                </w:tcPr>
                <w:p>
                  <w:pPr>
                    <w:shd w:val="clear"/>
                    <w:jc w:val="center"/>
                    <w:rPr>
                      <w:rFonts w:hint="eastAsia" w:ascii="Times New Roman" w:hAnsi="Times New Roman" w:eastAsia="宋体" w:cs="Times New Roman"/>
                      <w:color w:val="auto"/>
                      <w:spacing w:val="-20"/>
                      <w:kern w:val="0"/>
                      <w:sz w:val="21"/>
                      <w:szCs w:val="21"/>
                      <w:lang w:val="en-US" w:eastAsia="zh-CN"/>
                    </w:rPr>
                  </w:pPr>
                  <w:r>
                    <w:rPr>
                      <w:rFonts w:hint="eastAsia" w:cs="Times New Roman"/>
                      <w:color w:val="auto"/>
                      <w:spacing w:val="-20"/>
                      <w:kern w:val="0"/>
                      <w:sz w:val="21"/>
                      <w:szCs w:val="21"/>
                      <w:lang w:val="en-US" w:eastAsia="zh-CN"/>
                    </w:rPr>
                    <w:t>TDS</w:t>
                  </w:r>
                </w:p>
              </w:tc>
              <w:tc>
                <w:tcPr>
                  <w:tcW w:w="234"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类比法</w:t>
                  </w:r>
                </w:p>
              </w:tc>
              <w:tc>
                <w:tcPr>
                  <w:tcW w:w="547" w:type="pct"/>
                  <w:vMerge w:val="continue"/>
                  <w:tcBorders>
                    <w:tl2br w:val="nil"/>
                    <w:tr2bl w:val="nil"/>
                  </w:tcBorders>
                  <w:vAlign w:val="center"/>
                </w:tcPr>
                <w:p>
                  <w:pPr>
                    <w:shd w:val="clear"/>
                    <w:jc w:val="center"/>
                    <w:rPr>
                      <w:rFonts w:hint="eastAsia" w:cs="Times New Roman"/>
                      <w:color w:val="auto"/>
                      <w:sz w:val="21"/>
                      <w:szCs w:val="21"/>
                      <w:lang w:val="en-US" w:eastAsia="zh-CN"/>
                    </w:rPr>
                  </w:pPr>
                </w:p>
              </w:tc>
              <w:tc>
                <w:tcPr>
                  <w:tcW w:w="419" w:type="pct"/>
                  <w:tcBorders>
                    <w:tl2br w:val="nil"/>
                    <w:tr2bl w:val="nil"/>
                  </w:tcBorders>
                  <w:vAlign w:val="center"/>
                </w:tcPr>
                <w:p>
                  <w:pPr>
                    <w:shd w:val="clear"/>
                    <w:jc w:val="center"/>
                    <w:rPr>
                      <w:rFonts w:hint="default" w:cs="Times New Roman"/>
                      <w:color w:val="auto"/>
                      <w:sz w:val="21"/>
                      <w:szCs w:val="21"/>
                      <w:lang w:val="en-US" w:eastAsia="zh-CN"/>
                    </w:rPr>
                  </w:pPr>
                  <w:r>
                    <w:rPr>
                      <w:rFonts w:hint="eastAsia" w:cs="Times New Roman"/>
                      <w:color w:val="auto"/>
                      <w:sz w:val="21"/>
                      <w:szCs w:val="21"/>
                      <w:lang w:val="en-US" w:eastAsia="zh-CN"/>
                    </w:rPr>
                    <w:t>400</w:t>
                  </w:r>
                </w:p>
              </w:tc>
              <w:tc>
                <w:tcPr>
                  <w:tcW w:w="444" w:type="pct"/>
                  <w:tcBorders>
                    <w:tl2br w:val="nil"/>
                    <w:tr2bl w:val="nil"/>
                  </w:tcBorders>
                  <w:vAlign w:val="center"/>
                </w:tcPr>
                <w:p>
                  <w:pPr>
                    <w:shd w:val="clear"/>
                    <w:jc w:val="center"/>
                    <w:rPr>
                      <w:rFonts w:hint="default" w:cs="Times New Roman"/>
                      <w:color w:val="auto"/>
                      <w:sz w:val="21"/>
                      <w:szCs w:val="21"/>
                      <w:lang w:val="en-US" w:eastAsia="zh-CN"/>
                    </w:rPr>
                  </w:pPr>
                  <w:r>
                    <w:rPr>
                      <w:rFonts w:hint="eastAsia" w:cs="Times New Roman"/>
                      <w:color w:val="auto"/>
                      <w:sz w:val="21"/>
                      <w:szCs w:val="21"/>
                      <w:lang w:val="en-US" w:eastAsia="zh-CN"/>
                    </w:rPr>
                    <w:t>0.461</w:t>
                  </w:r>
                </w:p>
              </w:tc>
              <w:tc>
                <w:tcPr>
                  <w:tcW w:w="234"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p>
              </w:tc>
              <w:tc>
                <w:tcPr>
                  <w:tcW w:w="433"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vMerge w:val="continue"/>
                  <w:tcBorders>
                    <w:tl2br w:val="nil"/>
                    <w:tr2bl w:val="nil"/>
                  </w:tcBorders>
                  <w:vAlign w:val="center"/>
                </w:tcPr>
                <w:p>
                  <w:pPr>
                    <w:shd w:val="clear"/>
                    <w:jc w:val="center"/>
                    <w:rPr>
                      <w:rFonts w:hint="eastAsia" w:cs="Times New Roman"/>
                      <w:color w:val="auto"/>
                      <w:sz w:val="21"/>
                      <w:szCs w:val="21"/>
                      <w:lang w:val="en-US" w:eastAsia="zh-CN"/>
                    </w:rPr>
                  </w:pPr>
                </w:p>
              </w:tc>
              <w:tc>
                <w:tcPr>
                  <w:tcW w:w="419"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400</w:t>
                  </w:r>
                </w:p>
              </w:tc>
              <w:tc>
                <w:tcPr>
                  <w:tcW w:w="428"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0.461</w:t>
                  </w:r>
                </w:p>
              </w:tc>
              <w:tc>
                <w:tcPr>
                  <w:tcW w:w="324" w:type="pct"/>
                  <w:tcBorders>
                    <w:tl2br w:val="nil"/>
                    <w:tr2bl w:val="nil"/>
                  </w:tcBorders>
                  <w:vAlign w:val="center"/>
                </w:tcPr>
                <w:p>
                  <w:pPr>
                    <w:shd w:val="clear"/>
                    <w:jc w:val="center"/>
                    <w:rPr>
                      <w:rFonts w:hint="default" w:cs="Times New Roman"/>
                      <w:color w:val="auto"/>
                      <w:sz w:val="21"/>
                      <w:szCs w:val="21"/>
                      <w:lang w:val="en-US" w:eastAsia="zh-CN"/>
                    </w:rPr>
                  </w:pPr>
                  <w:r>
                    <w:rPr>
                      <w:rFonts w:hint="eastAsia" w:cs="Times New Roman"/>
                      <w:color w:val="auto"/>
                      <w:sz w:val="21"/>
                      <w:szCs w:val="21"/>
                      <w:lang w:val="en-US" w:eastAsia="zh-CN"/>
                    </w:rPr>
                    <w:t>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318" w:type="pct"/>
                  <w:vMerge w:val="restart"/>
                  <w:tcBorders>
                    <w:tl2br w:val="nil"/>
                    <w:tr2bl w:val="nil"/>
                  </w:tcBorders>
                  <w:vAlign w:val="center"/>
                </w:tcPr>
                <w:p>
                  <w:pPr>
                    <w:keepNext w:val="0"/>
                    <w:keepLines w:val="0"/>
                    <w:widowControl/>
                    <w:suppressLineNumbers w:val="0"/>
                    <w:shd w:val="clear"/>
                    <w:jc w:val="center"/>
                    <w:rPr>
                      <w:rFonts w:hint="default" w:ascii="Times New Roman" w:hAnsi="Times New Roman" w:cs="Times New Roman"/>
                      <w:color w:val="auto"/>
                      <w:spacing w:val="-20"/>
                      <w:sz w:val="21"/>
                      <w:szCs w:val="21"/>
                    </w:rPr>
                  </w:pPr>
                  <w:r>
                    <w:rPr>
                      <w:rFonts w:hint="eastAsia" w:ascii="宋体" w:hAnsi="宋体" w:eastAsia="宋体" w:cs="宋体"/>
                      <w:color w:val="auto"/>
                      <w:kern w:val="0"/>
                      <w:sz w:val="20"/>
                      <w:szCs w:val="20"/>
                      <w:lang w:val="en-US" w:eastAsia="zh-CN" w:bidi="ar"/>
                    </w:rPr>
                    <w:t>高温灭菌废水</w:t>
                  </w:r>
                </w:p>
              </w:tc>
              <w:tc>
                <w:tcPr>
                  <w:tcW w:w="392" w:type="pct"/>
                  <w:tcBorders>
                    <w:tl2br w:val="nil"/>
                    <w:tr2bl w:val="nil"/>
                  </w:tcBorders>
                  <w:vAlign w:val="center"/>
                </w:tcPr>
                <w:p>
                  <w:pPr>
                    <w:shd w:val="clear"/>
                    <w:jc w:val="center"/>
                    <w:rPr>
                      <w:rFonts w:hint="eastAsia" w:cs="Times New Roman"/>
                      <w:color w:val="auto"/>
                      <w:spacing w:val="-20"/>
                      <w:kern w:val="0"/>
                      <w:sz w:val="21"/>
                      <w:szCs w:val="21"/>
                      <w:lang w:val="en-US" w:eastAsia="zh-CN"/>
                    </w:rPr>
                  </w:pPr>
                  <w:r>
                    <w:rPr>
                      <w:rFonts w:hint="default" w:ascii="Times New Roman" w:hAnsi="Times New Roman" w:cs="Times New Roman"/>
                      <w:color w:val="auto"/>
                      <w:spacing w:val="-20"/>
                      <w:kern w:val="0"/>
                      <w:sz w:val="21"/>
                      <w:szCs w:val="21"/>
                    </w:rPr>
                    <w:t>COD</w:t>
                  </w:r>
                </w:p>
              </w:tc>
              <w:tc>
                <w:tcPr>
                  <w:tcW w:w="234" w:type="pct"/>
                  <w:vMerge w:val="restar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类比法</w:t>
                  </w:r>
                </w:p>
              </w:tc>
              <w:tc>
                <w:tcPr>
                  <w:tcW w:w="547" w:type="pct"/>
                  <w:vMerge w:val="restart"/>
                  <w:tcBorders>
                    <w:tl2br w:val="nil"/>
                    <w:tr2bl w:val="nil"/>
                  </w:tcBorders>
                  <w:vAlign w:val="center"/>
                </w:tcPr>
                <w:p>
                  <w:pPr>
                    <w:shd w:val="clear"/>
                    <w:jc w:val="center"/>
                    <w:rPr>
                      <w:rFonts w:hint="default" w:cs="Times New Roman"/>
                      <w:color w:val="auto"/>
                      <w:sz w:val="21"/>
                      <w:szCs w:val="21"/>
                      <w:lang w:val="en-US" w:eastAsia="zh-CN"/>
                    </w:rPr>
                  </w:pPr>
                  <w:r>
                    <w:rPr>
                      <w:rFonts w:hint="eastAsia" w:cs="Times New Roman"/>
                      <w:color w:val="auto"/>
                      <w:sz w:val="21"/>
                      <w:szCs w:val="21"/>
                      <w:lang w:val="en-US" w:eastAsia="zh-CN"/>
                    </w:rPr>
                    <w:t>47.25</w:t>
                  </w:r>
                </w:p>
              </w:tc>
              <w:tc>
                <w:tcPr>
                  <w:tcW w:w="419" w:type="pct"/>
                  <w:tcBorders>
                    <w:tl2br w:val="nil"/>
                    <w:tr2bl w:val="nil"/>
                  </w:tcBorders>
                  <w:vAlign w:val="center"/>
                </w:tcPr>
                <w:p>
                  <w:pPr>
                    <w:shd w:val="clear"/>
                    <w:jc w:val="center"/>
                    <w:rPr>
                      <w:rFonts w:hint="default" w:cs="Times New Roman"/>
                      <w:color w:val="auto"/>
                      <w:sz w:val="21"/>
                      <w:szCs w:val="21"/>
                      <w:lang w:val="en-US" w:eastAsia="zh-CN"/>
                    </w:rPr>
                  </w:pPr>
                  <w:r>
                    <w:rPr>
                      <w:rFonts w:hint="eastAsia" w:cs="Times New Roman"/>
                      <w:color w:val="auto"/>
                      <w:sz w:val="21"/>
                      <w:szCs w:val="21"/>
                      <w:lang w:val="en-US" w:eastAsia="zh-CN"/>
                    </w:rPr>
                    <w:t>150</w:t>
                  </w:r>
                </w:p>
              </w:tc>
              <w:tc>
                <w:tcPr>
                  <w:tcW w:w="444" w:type="pct"/>
                  <w:tcBorders>
                    <w:tl2br w:val="nil"/>
                    <w:tr2bl w:val="nil"/>
                  </w:tcBorders>
                  <w:vAlign w:val="center"/>
                </w:tcPr>
                <w:p>
                  <w:pPr>
                    <w:shd w:val="clear"/>
                    <w:jc w:val="center"/>
                    <w:rPr>
                      <w:rFonts w:hint="default" w:cs="Times New Roman"/>
                      <w:color w:val="auto"/>
                      <w:sz w:val="21"/>
                      <w:szCs w:val="21"/>
                      <w:lang w:val="en-US" w:eastAsia="zh-CN"/>
                    </w:rPr>
                  </w:pPr>
                  <w:r>
                    <w:rPr>
                      <w:rFonts w:hint="eastAsia" w:cs="Times New Roman"/>
                      <w:color w:val="auto"/>
                      <w:sz w:val="21"/>
                      <w:szCs w:val="21"/>
                      <w:lang w:val="en-US" w:eastAsia="zh-CN"/>
                    </w:rPr>
                    <w:t>0.007</w:t>
                  </w:r>
                </w:p>
              </w:tc>
              <w:tc>
                <w:tcPr>
                  <w:tcW w:w="234"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433"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vMerge w:val="restart"/>
                  <w:tcBorders>
                    <w:tl2br w:val="nil"/>
                    <w:tr2bl w:val="nil"/>
                  </w:tcBorders>
                  <w:vAlign w:val="center"/>
                </w:tcPr>
                <w:p>
                  <w:pPr>
                    <w:shd w:val="clear"/>
                    <w:jc w:val="center"/>
                    <w:rPr>
                      <w:rFonts w:hint="default" w:cs="Times New Roman"/>
                      <w:color w:val="auto"/>
                      <w:sz w:val="21"/>
                      <w:szCs w:val="21"/>
                      <w:lang w:val="en-US" w:eastAsia="zh-CN"/>
                    </w:rPr>
                  </w:pPr>
                  <w:r>
                    <w:rPr>
                      <w:rFonts w:hint="eastAsia" w:cs="Times New Roman"/>
                      <w:color w:val="auto"/>
                      <w:sz w:val="21"/>
                      <w:szCs w:val="21"/>
                      <w:lang w:val="en-US" w:eastAsia="zh-CN"/>
                    </w:rPr>
                    <w:t>47.25</w:t>
                  </w:r>
                </w:p>
              </w:tc>
              <w:tc>
                <w:tcPr>
                  <w:tcW w:w="419"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150</w:t>
                  </w:r>
                </w:p>
              </w:tc>
              <w:tc>
                <w:tcPr>
                  <w:tcW w:w="428"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0.007</w:t>
                  </w:r>
                </w:p>
              </w:tc>
              <w:tc>
                <w:tcPr>
                  <w:tcW w:w="324" w:type="pct"/>
                  <w:vMerge w:val="restart"/>
                  <w:tcBorders>
                    <w:tl2br w:val="nil"/>
                    <w:tr2bl w:val="nil"/>
                  </w:tcBorders>
                  <w:vAlign w:val="center"/>
                </w:tcPr>
                <w:p>
                  <w:pPr>
                    <w:shd w:val="clear"/>
                    <w:jc w:val="center"/>
                    <w:rPr>
                      <w:rFonts w:hint="default" w:cs="Times New Roman"/>
                      <w:color w:val="auto"/>
                      <w:sz w:val="21"/>
                      <w:szCs w:val="21"/>
                      <w:lang w:val="en-US" w:eastAsia="zh-CN"/>
                    </w:rPr>
                  </w:pPr>
                  <w:r>
                    <w:rPr>
                      <w:rFonts w:hint="eastAsia" w:cs="Times New Roman"/>
                      <w:color w:val="auto"/>
                      <w:sz w:val="21"/>
                      <w:szCs w:val="21"/>
                      <w:lang w:val="en-US" w:eastAsia="zh-CN"/>
                    </w:rPr>
                    <w:t>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318" w:type="pct"/>
                  <w:vMerge w:val="continue"/>
                  <w:tcBorders>
                    <w:tl2br w:val="nil"/>
                    <w:tr2bl w:val="nil"/>
                  </w:tcBorders>
                  <w:vAlign w:val="center"/>
                </w:tcPr>
                <w:p>
                  <w:pPr>
                    <w:shd w:val="clear"/>
                    <w:jc w:val="center"/>
                    <w:rPr>
                      <w:rFonts w:hint="default" w:ascii="Times New Roman" w:hAnsi="Times New Roman" w:cs="Times New Roman"/>
                      <w:color w:val="auto"/>
                      <w:spacing w:val="-20"/>
                      <w:sz w:val="21"/>
                      <w:szCs w:val="21"/>
                    </w:rPr>
                  </w:pPr>
                </w:p>
              </w:tc>
              <w:tc>
                <w:tcPr>
                  <w:tcW w:w="392" w:type="pct"/>
                  <w:tcBorders>
                    <w:tl2br w:val="nil"/>
                    <w:tr2bl w:val="nil"/>
                  </w:tcBorders>
                  <w:vAlign w:val="center"/>
                </w:tcPr>
                <w:p>
                  <w:pPr>
                    <w:shd w:val="clear"/>
                    <w:jc w:val="center"/>
                    <w:rPr>
                      <w:rFonts w:hint="eastAsia" w:ascii="Times New Roman" w:hAnsi="Times New Roman" w:eastAsia="宋体" w:cs="Times New Roman"/>
                      <w:color w:val="auto"/>
                      <w:spacing w:val="-20"/>
                      <w:kern w:val="0"/>
                      <w:sz w:val="21"/>
                      <w:szCs w:val="21"/>
                      <w:lang w:val="en-US" w:eastAsia="zh-CN" w:bidi="ar-SA"/>
                    </w:rPr>
                  </w:pPr>
                  <w:r>
                    <w:rPr>
                      <w:rFonts w:hint="default" w:ascii="Times New Roman" w:hAnsi="Times New Roman" w:cs="Times New Roman"/>
                      <w:color w:val="auto"/>
                      <w:spacing w:val="-20"/>
                      <w:kern w:val="0"/>
                      <w:sz w:val="21"/>
                      <w:szCs w:val="21"/>
                    </w:rPr>
                    <w:t>SS</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c>
                <w:tcPr>
                  <w:tcW w:w="547" w:type="pct"/>
                  <w:vMerge w:val="continue"/>
                  <w:tcBorders>
                    <w:tl2br w:val="nil"/>
                    <w:tr2bl w:val="nil"/>
                  </w:tcBorders>
                  <w:vAlign w:val="center"/>
                </w:tcPr>
                <w:p>
                  <w:pPr>
                    <w:shd w:val="clear"/>
                    <w:jc w:val="center"/>
                    <w:rPr>
                      <w:rFonts w:hint="eastAsia" w:cs="Times New Roman"/>
                      <w:color w:val="auto"/>
                      <w:sz w:val="21"/>
                      <w:szCs w:val="21"/>
                      <w:lang w:val="en-US" w:eastAsia="zh-CN"/>
                    </w:rPr>
                  </w:pPr>
                </w:p>
              </w:tc>
              <w:tc>
                <w:tcPr>
                  <w:tcW w:w="419" w:type="pct"/>
                  <w:tcBorders>
                    <w:tl2br w:val="nil"/>
                    <w:tr2bl w:val="nil"/>
                  </w:tcBorders>
                  <w:vAlign w:val="center"/>
                </w:tcPr>
                <w:p>
                  <w:pPr>
                    <w:shd w:val="clear"/>
                    <w:jc w:val="center"/>
                    <w:rPr>
                      <w:rFonts w:hint="default" w:cs="Times New Roman"/>
                      <w:color w:val="auto"/>
                      <w:sz w:val="21"/>
                      <w:szCs w:val="21"/>
                      <w:lang w:val="en-US" w:eastAsia="zh-CN"/>
                    </w:rPr>
                  </w:pPr>
                  <w:r>
                    <w:rPr>
                      <w:rFonts w:hint="eastAsia" w:cs="Times New Roman"/>
                      <w:color w:val="auto"/>
                      <w:sz w:val="21"/>
                      <w:szCs w:val="21"/>
                      <w:lang w:val="en-US" w:eastAsia="zh-CN"/>
                    </w:rPr>
                    <w:t>100</w:t>
                  </w:r>
                </w:p>
              </w:tc>
              <w:tc>
                <w:tcPr>
                  <w:tcW w:w="444" w:type="pct"/>
                  <w:tcBorders>
                    <w:tl2br w:val="nil"/>
                    <w:tr2bl w:val="nil"/>
                  </w:tcBorders>
                  <w:vAlign w:val="center"/>
                </w:tcPr>
                <w:p>
                  <w:pPr>
                    <w:shd w:val="clear"/>
                    <w:jc w:val="center"/>
                    <w:rPr>
                      <w:rFonts w:hint="default" w:cs="Times New Roman"/>
                      <w:color w:val="auto"/>
                      <w:sz w:val="21"/>
                      <w:szCs w:val="21"/>
                      <w:lang w:val="en-US" w:eastAsia="zh-CN"/>
                    </w:rPr>
                  </w:pPr>
                  <w:r>
                    <w:rPr>
                      <w:rFonts w:hint="eastAsia" w:cs="Times New Roman"/>
                      <w:color w:val="auto"/>
                      <w:sz w:val="21"/>
                      <w:szCs w:val="21"/>
                      <w:lang w:val="en-US" w:eastAsia="zh-CN"/>
                    </w:rPr>
                    <w:t>0.005</w:t>
                  </w:r>
                </w:p>
              </w:tc>
              <w:tc>
                <w:tcPr>
                  <w:tcW w:w="234"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433"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vMerge w:val="continue"/>
                  <w:tcBorders>
                    <w:tl2br w:val="nil"/>
                    <w:tr2bl w:val="nil"/>
                  </w:tcBorders>
                  <w:vAlign w:val="center"/>
                </w:tcPr>
                <w:p>
                  <w:pPr>
                    <w:shd w:val="clear"/>
                    <w:jc w:val="center"/>
                    <w:rPr>
                      <w:rFonts w:hint="eastAsia" w:cs="Times New Roman"/>
                      <w:color w:val="auto"/>
                      <w:sz w:val="21"/>
                      <w:szCs w:val="21"/>
                      <w:lang w:val="en-US" w:eastAsia="zh-CN"/>
                    </w:rPr>
                  </w:pPr>
                </w:p>
              </w:tc>
              <w:tc>
                <w:tcPr>
                  <w:tcW w:w="419"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100</w:t>
                  </w:r>
                </w:p>
              </w:tc>
              <w:tc>
                <w:tcPr>
                  <w:tcW w:w="428"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0.005</w:t>
                  </w:r>
                </w:p>
              </w:tc>
              <w:tc>
                <w:tcPr>
                  <w:tcW w:w="324" w:type="pct"/>
                  <w:vMerge w:val="continue"/>
                  <w:tcBorders>
                    <w:tl2br w:val="nil"/>
                    <w:tr2bl w:val="nil"/>
                  </w:tcBorders>
                  <w:vAlign w:val="center"/>
                </w:tcPr>
                <w:p>
                  <w:pPr>
                    <w:shd w:val="clear"/>
                    <w:jc w:val="center"/>
                    <w:rPr>
                      <w:rFonts w:hint="eastAsia"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318" w:type="pct"/>
                  <w:vMerge w:val="continue"/>
                  <w:tcBorders>
                    <w:tl2br w:val="nil"/>
                    <w:tr2bl w:val="nil"/>
                  </w:tcBorders>
                  <w:vAlign w:val="center"/>
                </w:tcPr>
                <w:p>
                  <w:pPr>
                    <w:shd w:val="clear"/>
                    <w:jc w:val="center"/>
                    <w:rPr>
                      <w:rFonts w:hint="default" w:ascii="Times New Roman" w:hAnsi="Times New Roman" w:cs="Times New Roman"/>
                      <w:color w:val="auto"/>
                      <w:spacing w:val="-20"/>
                      <w:sz w:val="21"/>
                      <w:szCs w:val="21"/>
                    </w:rPr>
                  </w:pPr>
                </w:p>
              </w:tc>
              <w:tc>
                <w:tcPr>
                  <w:tcW w:w="392" w:type="pct"/>
                  <w:tcBorders>
                    <w:tl2br w:val="nil"/>
                    <w:tr2bl w:val="nil"/>
                  </w:tcBorders>
                  <w:vAlign w:val="center"/>
                </w:tcPr>
                <w:p>
                  <w:pPr>
                    <w:shd w:val="clear"/>
                    <w:jc w:val="center"/>
                    <w:rPr>
                      <w:rFonts w:hint="eastAsia" w:ascii="Times New Roman" w:hAnsi="Times New Roman" w:eastAsia="宋体" w:cs="Times New Roman"/>
                      <w:color w:val="auto"/>
                      <w:spacing w:val="-20"/>
                      <w:kern w:val="0"/>
                      <w:sz w:val="21"/>
                      <w:szCs w:val="21"/>
                      <w:lang w:val="en-US" w:eastAsia="zh-CN" w:bidi="ar-SA"/>
                    </w:rPr>
                  </w:pPr>
                  <w:r>
                    <w:rPr>
                      <w:rFonts w:hint="default" w:ascii="Times New Roman" w:hAnsi="Times New Roman" w:cs="Times New Roman"/>
                      <w:color w:val="auto"/>
                      <w:spacing w:val="-20"/>
                      <w:kern w:val="0"/>
                      <w:sz w:val="21"/>
                      <w:szCs w:val="21"/>
                    </w:rPr>
                    <w:t>BOD</w:t>
                  </w:r>
                  <w:r>
                    <w:rPr>
                      <w:rFonts w:hint="default" w:ascii="Times New Roman" w:hAnsi="Times New Roman" w:cs="Times New Roman"/>
                      <w:color w:val="auto"/>
                      <w:spacing w:val="-20"/>
                      <w:kern w:val="0"/>
                      <w:sz w:val="21"/>
                      <w:szCs w:val="21"/>
                      <w:vertAlign w:val="subscript"/>
                    </w:rPr>
                    <w:t>5</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c>
                <w:tcPr>
                  <w:tcW w:w="547" w:type="pct"/>
                  <w:vMerge w:val="continue"/>
                  <w:tcBorders>
                    <w:tl2br w:val="nil"/>
                    <w:tr2bl w:val="nil"/>
                  </w:tcBorders>
                  <w:vAlign w:val="center"/>
                </w:tcPr>
                <w:p>
                  <w:pPr>
                    <w:shd w:val="clear"/>
                    <w:jc w:val="center"/>
                    <w:rPr>
                      <w:rFonts w:hint="eastAsia" w:cs="Times New Roman"/>
                      <w:color w:val="auto"/>
                      <w:sz w:val="21"/>
                      <w:szCs w:val="21"/>
                      <w:lang w:val="en-US" w:eastAsia="zh-CN"/>
                    </w:rPr>
                  </w:pPr>
                </w:p>
              </w:tc>
              <w:tc>
                <w:tcPr>
                  <w:tcW w:w="419" w:type="pct"/>
                  <w:tcBorders>
                    <w:tl2br w:val="nil"/>
                    <w:tr2bl w:val="nil"/>
                  </w:tcBorders>
                  <w:vAlign w:val="center"/>
                </w:tcPr>
                <w:p>
                  <w:pPr>
                    <w:shd w:val="clear"/>
                    <w:jc w:val="center"/>
                    <w:rPr>
                      <w:rFonts w:hint="default" w:cs="Times New Roman"/>
                      <w:color w:val="auto"/>
                      <w:sz w:val="21"/>
                      <w:szCs w:val="21"/>
                      <w:lang w:val="en-US" w:eastAsia="zh-CN"/>
                    </w:rPr>
                  </w:pPr>
                  <w:r>
                    <w:rPr>
                      <w:rFonts w:hint="eastAsia" w:cs="Times New Roman"/>
                      <w:color w:val="auto"/>
                      <w:sz w:val="21"/>
                      <w:szCs w:val="21"/>
                      <w:lang w:val="en-US" w:eastAsia="zh-CN"/>
                    </w:rPr>
                    <w:t>50</w:t>
                  </w:r>
                </w:p>
              </w:tc>
              <w:tc>
                <w:tcPr>
                  <w:tcW w:w="444" w:type="pct"/>
                  <w:tcBorders>
                    <w:tl2br w:val="nil"/>
                    <w:tr2bl w:val="nil"/>
                  </w:tcBorders>
                  <w:vAlign w:val="center"/>
                </w:tcPr>
                <w:p>
                  <w:pPr>
                    <w:shd w:val="clear"/>
                    <w:jc w:val="center"/>
                    <w:rPr>
                      <w:rFonts w:hint="default" w:cs="Times New Roman"/>
                      <w:color w:val="auto"/>
                      <w:sz w:val="21"/>
                      <w:szCs w:val="21"/>
                      <w:lang w:val="en-US" w:eastAsia="zh-CN"/>
                    </w:rPr>
                  </w:pPr>
                  <w:r>
                    <w:rPr>
                      <w:rFonts w:hint="eastAsia" w:cs="Times New Roman"/>
                      <w:color w:val="auto"/>
                      <w:sz w:val="21"/>
                      <w:szCs w:val="21"/>
                      <w:lang w:val="en-US" w:eastAsia="zh-CN"/>
                    </w:rPr>
                    <w:t>0.002</w:t>
                  </w:r>
                </w:p>
              </w:tc>
              <w:tc>
                <w:tcPr>
                  <w:tcW w:w="234"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433"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vMerge w:val="continue"/>
                  <w:tcBorders>
                    <w:tl2br w:val="nil"/>
                    <w:tr2bl w:val="nil"/>
                  </w:tcBorders>
                  <w:vAlign w:val="center"/>
                </w:tcPr>
                <w:p>
                  <w:pPr>
                    <w:shd w:val="clear"/>
                    <w:jc w:val="center"/>
                    <w:rPr>
                      <w:rFonts w:hint="eastAsia" w:cs="Times New Roman"/>
                      <w:color w:val="auto"/>
                      <w:sz w:val="21"/>
                      <w:szCs w:val="21"/>
                      <w:lang w:val="en-US" w:eastAsia="zh-CN"/>
                    </w:rPr>
                  </w:pPr>
                </w:p>
              </w:tc>
              <w:tc>
                <w:tcPr>
                  <w:tcW w:w="419"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50</w:t>
                  </w:r>
                </w:p>
              </w:tc>
              <w:tc>
                <w:tcPr>
                  <w:tcW w:w="428"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0.002</w:t>
                  </w:r>
                </w:p>
              </w:tc>
              <w:tc>
                <w:tcPr>
                  <w:tcW w:w="324" w:type="pct"/>
                  <w:vMerge w:val="continue"/>
                  <w:tcBorders>
                    <w:tl2br w:val="nil"/>
                    <w:tr2bl w:val="nil"/>
                  </w:tcBorders>
                  <w:vAlign w:val="center"/>
                </w:tcPr>
                <w:p>
                  <w:pPr>
                    <w:shd w:val="clear"/>
                    <w:jc w:val="center"/>
                    <w:rPr>
                      <w:rFonts w:hint="eastAsia"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7" w:hRule="atLeast"/>
                <w:jc w:val="center"/>
              </w:trPr>
              <w:tc>
                <w:tcPr>
                  <w:tcW w:w="318" w:type="pct"/>
                  <w:tcBorders>
                    <w:tl2br w:val="nil"/>
                    <w:tr2bl w:val="nil"/>
                  </w:tcBorders>
                  <w:vAlign w:val="center"/>
                </w:tcPr>
                <w:p>
                  <w:pPr>
                    <w:shd w:val="clear"/>
                    <w:jc w:val="center"/>
                    <w:rPr>
                      <w:rFonts w:hint="default" w:ascii="Times New Roman" w:hAnsi="Times New Roman" w:cs="Times New Roman"/>
                      <w:color w:val="auto"/>
                      <w:spacing w:val="-20"/>
                      <w:sz w:val="21"/>
                      <w:szCs w:val="21"/>
                    </w:rPr>
                  </w:pPr>
                  <w:r>
                    <w:rPr>
                      <w:rFonts w:hint="default" w:ascii="Times New Roman" w:hAnsi="Times New Roman" w:cs="Times New Roman"/>
                      <w:color w:val="auto"/>
                      <w:spacing w:val="-20"/>
                      <w:sz w:val="21"/>
                      <w:szCs w:val="21"/>
                    </w:rPr>
                    <w:t>车间地面冲洗废水</w:t>
                  </w:r>
                </w:p>
              </w:tc>
              <w:tc>
                <w:tcPr>
                  <w:tcW w:w="392"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SS</w:t>
                  </w:r>
                </w:p>
              </w:tc>
              <w:tc>
                <w:tcPr>
                  <w:tcW w:w="234"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类比法</w:t>
                  </w:r>
                </w:p>
              </w:tc>
              <w:tc>
                <w:tcPr>
                  <w:tcW w:w="547"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348.48</w:t>
                  </w:r>
                </w:p>
              </w:tc>
              <w:tc>
                <w:tcPr>
                  <w:tcW w:w="419"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300</w:t>
                  </w:r>
                </w:p>
              </w:tc>
              <w:tc>
                <w:tcPr>
                  <w:tcW w:w="444"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0.105</w:t>
                  </w:r>
                </w:p>
              </w:tc>
              <w:tc>
                <w:tcPr>
                  <w:tcW w:w="234"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33"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348.48</w:t>
                  </w:r>
                </w:p>
              </w:tc>
              <w:tc>
                <w:tcPr>
                  <w:tcW w:w="419"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300</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0.105</w:t>
                  </w:r>
                </w:p>
              </w:tc>
              <w:tc>
                <w:tcPr>
                  <w:tcW w:w="324"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318" w:type="pct"/>
                  <w:vMerge w:val="restart"/>
                  <w:tcBorders>
                    <w:tl2br w:val="nil"/>
                    <w:tr2bl w:val="nil"/>
                  </w:tcBorders>
                  <w:vAlign w:val="center"/>
                </w:tcPr>
                <w:p>
                  <w:pPr>
                    <w:shd w:val="clear"/>
                    <w:jc w:val="center"/>
                    <w:rPr>
                      <w:rFonts w:hint="default" w:ascii="Times New Roman" w:hAnsi="Times New Roman" w:cs="Times New Roman"/>
                      <w:color w:val="auto"/>
                      <w:spacing w:val="-20"/>
                      <w:sz w:val="21"/>
                      <w:szCs w:val="21"/>
                    </w:rPr>
                  </w:pPr>
                  <w:r>
                    <w:rPr>
                      <w:rFonts w:hint="default" w:ascii="Times New Roman" w:hAnsi="Times New Roman" w:cs="Times New Roman"/>
                      <w:color w:val="auto"/>
                      <w:spacing w:val="-20"/>
                      <w:sz w:val="21"/>
                      <w:szCs w:val="21"/>
                    </w:rPr>
                    <w:t>清洗</w:t>
                  </w:r>
                </w:p>
                <w:p>
                  <w:pPr>
                    <w:shd w:val="clear"/>
                    <w:jc w:val="center"/>
                    <w:rPr>
                      <w:rFonts w:hint="default" w:ascii="Times New Roman" w:hAnsi="Times New Roman" w:eastAsia="宋体" w:cs="Times New Roman"/>
                      <w:bCs/>
                      <w:color w:val="auto"/>
                      <w:spacing w:val="-20"/>
                      <w:sz w:val="21"/>
                      <w:szCs w:val="21"/>
                      <w:lang w:eastAsia="zh-CN"/>
                    </w:rPr>
                  </w:pPr>
                  <w:r>
                    <w:rPr>
                      <w:rFonts w:hint="default" w:ascii="Times New Roman" w:hAnsi="Times New Roman" w:cs="Times New Roman"/>
                      <w:color w:val="auto"/>
                      <w:spacing w:val="-20"/>
                      <w:sz w:val="21"/>
                      <w:szCs w:val="21"/>
                      <w:lang w:val="en-US" w:eastAsia="zh-CN"/>
                    </w:rPr>
                    <w:t>废水</w:t>
                  </w:r>
                </w:p>
              </w:tc>
              <w:tc>
                <w:tcPr>
                  <w:tcW w:w="392"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COD</w:t>
                  </w:r>
                </w:p>
              </w:tc>
              <w:tc>
                <w:tcPr>
                  <w:tcW w:w="234" w:type="pct"/>
                  <w:vMerge w:val="restar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lang w:eastAsia="zh-CN"/>
                    </w:rPr>
                    <w:t>类比法</w:t>
                  </w:r>
                </w:p>
              </w:tc>
              <w:tc>
                <w:tcPr>
                  <w:tcW w:w="547" w:type="pct"/>
                  <w:vMerge w:val="restar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2160</w:t>
                  </w:r>
                </w:p>
              </w:tc>
              <w:tc>
                <w:tcPr>
                  <w:tcW w:w="419"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120</w:t>
                  </w:r>
                </w:p>
              </w:tc>
              <w:tc>
                <w:tcPr>
                  <w:tcW w:w="444"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0.259</w:t>
                  </w:r>
                </w:p>
              </w:tc>
              <w:tc>
                <w:tcPr>
                  <w:tcW w:w="234" w:type="pct"/>
                  <w:vMerge w:val="restar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33"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vMerge w:val="restar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2160</w:t>
                  </w:r>
                </w:p>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120</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0.259</w:t>
                  </w:r>
                </w:p>
              </w:tc>
              <w:tc>
                <w:tcPr>
                  <w:tcW w:w="324" w:type="pct"/>
                  <w:vMerge w:val="restar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318" w:type="pct"/>
                  <w:vMerge w:val="continue"/>
                  <w:tcBorders>
                    <w:tl2br w:val="nil"/>
                    <w:tr2bl w:val="nil"/>
                  </w:tcBorders>
                  <w:vAlign w:val="center"/>
                </w:tcPr>
                <w:p>
                  <w:pPr>
                    <w:shd w:val="clear"/>
                    <w:jc w:val="center"/>
                    <w:rPr>
                      <w:rFonts w:hint="default" w:ascii="Times New Roman" w:hAnsi="Times New Roman" w:cs="Times New Roman"/>
                      <w:bCs/>
                      <w:color w:val="auto"/>
                      <w:spacing w:val="-20"/>
                      <w:sz w:val="21"/>
                      <w:szCs w:val="21"/>
                    </w:rPr>
                  </w:pPr>
                </w:p>
              </w:tc>
              <w:tc>
                <w:tcPr>
                  <w:tcW w:w="392"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氨氮</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9.09</w:t>
                  </w:r>
                </w:p>
              </w:tc>
              <w:tc>
                <w:tcPr>
                  <w:tcW w:w="444"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0.020</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33"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9.09</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0.020</w:t>
                  </w:r>
                </w:p>
              </w:tc>
              <w:tc>
                <w:tcPr>
                  <w:tcW w:w="324"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318" w:type="pct"/>
                  <w:vMerge w:val="continue"/>
                  <w:tcBorders>
                    <w:tl2br w:val="nil"/>
                    <w:tr2bl w:val="nil"/>
                  </w:tcBorders>
                  <w:vAlign w:val="center"/>
                </w:tcPr>
                <w:p>
                  <w:pPr>
                    <w:shd w:val="clear"/>
                    <w:jc w:val="center"/>
                    <w:rPr>
                      <w:rFonts w:hint="default" w:ascii="Times New Roman" w:hAnsi="Times New Roman" w:cs="Times New Roman"/>
                      <w:bCs/>
                      <w:color w:val="auto"/>
                      <w:spacing w:val="-20"/>
                      <w:sz w:val="21"/>
                      <w:szCs w:val="21"/>
                    </w:rPr>
                  </w:pPr>
                </w:p>
              </w:tc>
              <w:tc>
                <w:tcPr>
                  <w:tcW w:w="392"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SS</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85</w:t>
                  </w:r>
                </w:p>
              </w:tc>
              <w:tc>
                <w:tcPr>
                  <w:tcW w:w="444"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0.184</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33"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85</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0.184</w:t>
                  </w:r>
                </w:p>
              </w:tc>
              <w:tc>
                <w:tcPr>
                  <w:tcW w:w="324"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8" w:type="pct"/>
                  <w:vMerge w:val="continue"/>
                  <w:tcBorders>
                    <w:tl2br w:val="nil"/>
                    <w:tr2bl w:val="nil"/>
                  </w:tcBorders>
                  <w:vAlign w:val="center"/>
                </w:tcPr>
                <w:p>
                  <w:pPr>
                    <w:shd w:val="clear"/>
                    <w:jc w:val="center"/>
                    <w:rPr>
                      <w:rFonts w:hint="default" w:ascii="Times New Roman" w:hAnsi="Times New Roman" w:cs="Times New Roman"/>
                      <w:bCs/>
                      <w:color w:val="auto"/>
                      <w:spacing w:val="-20"/>
                      <w:sz w:val="21"/>
                      <w:szCs w:val="21"/>
                    </w:rPr>
                  </w:pPr>
                </w:p>
              </w:tc>
              <w:tc>
                <w:tcPr>
                  <w:tcW w:w="392"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BOD</w:t>
                  </w:r>
                  <w:r>
                    <w:rPr>
                      <w:rFonts w:hint="default" w:ascii="Times New Roman" w:hAnsi="Times New Roman" w:cs="Times New Roman"/>
                      <w:color w:val="auto"/>
                      <w:spacing w:val="-20"/>
                      <w:kern w:val="0"/>
                      <w:sz w:val="21"/>
                      <w:szCs w:val="21"/>
                      <w:vertAlign w:val="subscript"/>
                    </w:rPr>
                    <w:t>5</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45.1</w:t>
                  </w:r>
                </w:p>
              </w:tc>
              <w:tc>
                <w:tcPr>
                  <w:tcW w:w="444"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0.097</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33" w:type="pc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45.1</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0.097</w:t>
                  </w:r>
                </w:p>
              </w:tc>
              <w:tc>
                <w:tcPr>
                  <w:tcW w:w="324"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8" w:type="pct"/>
                  <w:vMerge w:val="restart"/>
                  <w:tcBorders>
                    <w:tl2br w:val="nil"/>
                    <w:tr2bl w:val="nil"/>
                  </w:tcBorders>
                  <w:vAlign w:val="center"/>
                </w:tcPr>
                <w:p>
                  <w:pPr>
                    <w:shd w:val="clear"/>
                    <w:jc w:val="center"/>
                    <w:rPr>
                      <w:rFonts w:hint="default" w:ascii="Times New Roman" w:hAnsi="Times New Roman" w:cs="Times New Roman"/>
                      <w:bCs/>
                      <w:color w:val="auto"/>
                      <w:spacing w:val="-20"/>
                      <w:sz w:val="21"/>
                      <w:szCs w:val="21"/>
                    </w:rPr>
                  </w:pPr>
                  <w:r>
                    <w:rPr>
                      <w:rFonts w:hint="default" w:ascii="Times New Roman" w:hAnsi="Times New Roman" w:cs="Times New Roman"/>
                      <w:color w:val="auto"/>
                      <w:spacing w:val="-20"/>
                      <w:sz w:val="21"/>
                      <w:szCs w:val="21"/>
                    </w:rPr>
                    <w:t>污水储罐混合废水</w:t>
                  </w:r>
                </w:p>
              </w:tc>
              <w:tc>
                <w:tcPr>
                  <w:tcW w:w="392"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COD</w:t>
                  </w:r>
                </w:p>
              </w:tc>
              <w:tc>
                <w:tcPr>
                  <w:tcW w:w="234" w:type="pct"/>
                  <w:vMerge w:val="restar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w:t>
                  </w:r>
                </w:p>
              </w:tc>
              <w:tc>
                <w:tcPr>
                  <w:tcW w:w="547" w:type="pct"/>
                  <w:vMerge w:val="restar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3707.73</w:t>
                  </w:r>
                </w:p>
              </w:tc>
              <w:tc>
                <w:tcPr>
                  <w:tcW w:w="419" w:type="pct"/>
                  <w:tcBorders>
                    <w:tl2br w:val="nil"/>
                    <w:tr2bl w:val="nil"/>
                  </w:tcBorders>
                  <w:vAlign w:val="center"/>
                </w:tcPr>
                <w:p>
                  <w:pPr>
                    <w:shd w:val="clea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76.</w:t>
                  </w:r>
                  <w:r>
                    <w:rPr>
                      <w:rFonts w:hint="eastAsia" w:cs="Times New Roman"/>
                      <w:color w:val="auto"/>
                      <w:sz w:val="21"/>
                      <w:szCs w:val="21"/>
                      <w:lang w:val="en-US" w:eastAsia="zh-CN"/>
                    </w:rPr>
                    <w:t>6</w:t>
                  </w:r>
                  <w:r>
                    <w:rPr>
                      <w:rFonts w:hint="eastAsia" w:ascii="Times New Roman" w:hAnsi="Times New Roman" w:eastAsia="宋体" w:cs="Times New Roman"/>
                      <w:color w:val="auto"/>
                      <w:sz w:val="21"/>
                      <w:szCs w:val="21"/>
                      <w:lang w:val="en-US" w:eastAsia="zh-CN"/>
                    </w:rPr>
                    <w:t xml:space="preserve">7 </w:t>
                  </w:r>
                </w:p>
              </w:tc>
              <w:tc>
                <w:tcPr>
                  <w:tcW w:w="444" w:type="pct"/>
                  <w:tcBorders>
                    <w:tl2br w:val="nil"/>
                    <w:tr2bl w:val="nil"/>
                  </w:tcBorders>
                  <w:vAlign w:val="center"/>
                </w:tcPr>
                <w:p>
                  <w:pPr>
                    <w:shd w:val="clea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0.28</w:t>
                  </w:r>
                  <w:r>
                    <w:rPr>
                      <w:rFonts w:hint="eastAsia" w:cs="Times New Roman"/>
                      <w:color w:val="auto"/>
                      <w:sz w:val="21"/>
                      <w:szCs w:val="21"/>
                      <w:lang w:val="en-US" w:eastAsia="zh-CN"/>
                    </w:rPr>
                    <w:t>8</w:t>
                  </w:r>
                </w:p>
              </w:tc>
              <w:tc>
                <w:tcPr>
                  <w:tcW w:w="234" w:type="pct"/>
                  <w:vMerge w:val="restar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33" w:type="pct"/>
                  <w:vMerge w:val="restar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57" w:type="pct"/>
                  <w:vMerge w:val="restar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547" w:type="pct"/>
                  <w:vMerge w:val="restar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3707.73</w:t>
                  </w:r>
                </w:p>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76.</w:t>
                  </w:r>
                  <w:r>
                    <w:rPr>
                      <w:rFonts w:hint="eastAsia" w:cs="Times New Roman"/>
                      <w:color w:val="auto"/>
                      <w:sz w:val="21"/>
                      <w:szCs w:val="21"/>
                      <w:lang w:val="en-US" w:eastAsia="zh-CN"/>
                    </w:rPr>
                    <w:t>6</w:t>
                  </w:r>
                  <w:r>
                    <w:rPr>
                      <w:rFonts w:hint="eastAsia" w:ascii="Times New Roman" w:hAnsi="Times New Roman" w:eastAsia="宋体" w:cs="Times New Roman"/>
                      <w:color w:val="auto"/>
                      <w:sz w:val="21"/>
                      <w:szCs w:val="21"/>
                      <w:lang w:val="en-US" w:eastAsia="zh-CN"/>
                    </w:rPr>
                    <w:t xml:space="preserve">7 </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0.28</w:t>
                  </w:r>
                  <w:r>
                    <w:rPr>
                      <w:rFonts w:hint="eastAsia" w:cs="Times New Roman"/>
                      <w:color w:val="auto"/>
                      <w:sz w:val="21"/>
                      <w:szCs w:val="21"/>
                      <w:lang w:val="en-US" w:eastAsia="zh-CN"/>
                    </w:rPr>
                    <w:t>8</w:t>
                  </w:r>
                </w:p>
              </w:tc>
              <w:tc>
                <w:tcPr>
                  <w:tcW w:w="324" w:type="pct"/>
                  <w:vMerge w:val="restart"/>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8" w:type="pct"/>
                  <w:vMerge w:val="continue"/>
                  <w:tcBorders>
                    <w:tl2br w:val="nil"/>
                    <w:tr2bl w:val="nil"/>
                  </w:tcBorders>
                  <w:vAlign w:val="center"/>
                </w:tcPr>
                <w:p>
                  <w:pPr>
                    <w:shd w:val="clear"/>
                    <w:jc w:val="center"/>
                    <w:rPr>
                      <w:rFonts w:hint="default" w:ascii="Times New Roman" w:hAnsi="Times New Roman" w:cs="Times New Roman"/>
                      <w:bCs/>
                      <w:color w:val="auto"/>
                      <w:spacing w:val="-20"/>
                      <w:sz w:val="21"/>
                      <w:szCs w:val="21"/>
                    </w:rPr>
                  </w:pPr>
                </w:p>
              </w:tc>
              <w:tc>
                <w:tcPr>
                  <w:tcW w:w="392"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氨氮</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93</w:t>
                  </w:r>
                </w:p>
              </w:tc>
              <w:tc>
                <w:tcPr>
                  <w:tcW w:w="444" w:type="pct"/>
                  <w:tcBorders>
                    <w:tl2br w:val="nil"/>
                    <w:tr2bl w:val="nil"/>
                  </w:tcBorders>
                  <w:vAlign w:val="center"/>
                </w:tcPr>
                <w:p>
                  <w:pPr>
                    <w:shd w:val="clea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0.022</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33"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93</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0.022</w:t>
                  </w:r>
                </w:p>
              </w:tc>
              <w:tc>
                <w:tcPr>
                  <w:tcW w:w="32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8" w:type="pct"/>
                  <w:vMerge w:val="continue"/>
                  <w:tcBorders>
                    <w:tl2br w:val="nil"/>
                    <w:tr2bl w:val="nil"/>
                  </w:tcBorders>
                  <w:vAlign w:val="center"/>
                </w:tcPr>
                <w:p>
                  <w:pPr>
                    <w:shd w:val="clear"/>
                    <w:jc w:val="center"/>
                    <w:rPr>
                      <w:rFonts w:hint="default" w:ascii="Times New Roman" w:hAnsi="Times New Roman" w:cs="Times New Roman"/>
                      <w:bCs/>
                      <w:color w:val="auto"/>
                      <w:spacing w:val="-20"/>
                      <w:sz w:val="21"/>
                      <w:szCs w:val="21"/>
                    </w:rPr>
                  </w:pPr>
                </w:p>
              </w:tc>
              <w:tc>
                <w:tcPr>
                  <w:tcW w:w="392"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SS</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79.29</w:t>
                  </w:r>
                  <w:r>
                    <w:rPr>
                      <w:rFonts w:hint="eastAsia" w:ascii="Times New Roman" w:hAnsi="Times New Roman" w:eastAsia="宋体" w:cs="Times New Roman"/>
                      <w:color w:val="auto"/>
                      <w:sz w:val="21"/>
                      <w:szCs w:val="21"/>
                      <w:lang w:val="en-US" w:eastAsia="zh-CN"/>
                    </w:rPr>
                    <w:t xml:space="preserve"> </w:t>
                  </w:r>
                </w:p>
              </w:tc>
              <w:tc>
                <w:tcPr>
                  <w:tcW w:w="444" w:type="pct"/>
                  <w:tcBorders>
                    <w:tl2br w:val="nil"/>
                    <w:tr2bl w:val="nil"/>
                  </w:tcBorders>
                  <w:vAlign w:val="center"/>
                </w:tcPr>
                <w:p>
                  <w:pPr>
                    <w:shd w:val="clea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0.294</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33"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79.29</w:t>
                  </w:r>
                  <w:r>
                    <w:rPr>
                      <w:rFonts w:hint="eastAsia" w:ascii="Times New Roman" w:hAnsi="Times New Roman" w:eastAsia="宋体" w:cs="Times New Roman"/>
                      <w:color w:val="auto"/>
                      <w:sz w:val="21"/>
                      <w:szCs w:val="21"/>
                      <w:lang w:val="en-US" w:eastAsia="zh-CN"/>
                    </w:rPr>
                    <w:t xml:space="preserve"> </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0.294</w:t>
                  </w:r>
                </w:p>
              </w:tc>
              <w:tc>
                <w:tcPr>
                  <w:tcW w:w="32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8" w:type="pct"/>
                  <w:vMerge w:val="continue"/>
                  <w:tcBorders>
                    <w:tl2br w:val="nil"/>
                    <w:tr2bl w:val="nil"/>
                  </w:tcBorders>
                  <w:vAlign w:val="center"/>
                </w:tcPr>
                <w:p>
                  <w:pPr>
                    <w:shd w:val="clear"/>
                    <w:jc w:val="center"/>
                    <w:rPr>
                      <w:rFonts w:hint="default" w:ascii="Times New Roman" w:hAnsi="Times New Roman" w:cs="Times New Roman"/>
                      <w:bCs/>
                      <w:color w:val="auto"/>
                      <w:spacing w:val="-20"/>
                      <w:sz w:val="21"/>
                      <w:szCs w:val="21"/>
                    </w:rPr>
                  </w:pPr>
                </w:p>
              </w:tc>
              <w:tc>
                <w:tcPr>
                  <w:tcW w:w="392" w:type="pct"/>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r>
                    <w:rPr>
                      <w:rFonts w:hint="default" w:ascii="Times New Roman" w:hAnsi="Times New Roman" w:cs="Times New Roman"/>
                      <w:color w:val="auto"/>
                      <w:spacing w:val="-20"/>
                      <w:kern w:val="0"/>
                      <w:sz w:val="21"/>
                      <w:szCs w:val="21"/>
                    </w:rPr>
                    <w:t>BOD</w:t>
                  </w:r>
                  <w:r>
                    <w:rPr>
                      <w:rFonts w:hint="default" w:ascii="Times New Roman" w:hAnsi="Times New Roman" w:cs="Times New Roman"/>
                      <w:color w:val="auto"/>
                      <w:spacing w:val="-20"/>
                      <w:kern w:val="0"/>
                      <w:sz w:val="21"/>
                      <w:szCs w:val="21"/>
                      <w:vertAlign w:val="subscript"/>
                    </w:rPr>
                    <w:t>5</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w:t>
                  </w:r>
                  <w:r>
                    <w:rPr>
                      <w:rFonts w:hint="eastAsia" w:cs="Times New Roman"/>
                      <w:color w:val="auto"/>
                      <w:sz w:val="21"/>
                      <w:szCs w:val="21"/>
                      <w:lang w:val="en-US" w:eastAsia="zh-CN"/>
                    </w:rPr>
                    <w:t>70</w:t>
                  </w:r>
                  <w:r>
                    <w:rPr>
                      <w:rFonts w:hint="eastAsia" w:ascii="Times New Roman" w:hAnsi="Times New Roman" w:eastAsia="宋体" w:cs="Times New Roman"/>
                      <w:color w:val="auto"/>
                      <w:sz w:val="21"/>
                      <w:szCs w:val="21"/>
                      <w:lang w:val="en-US" w:eastAsia="zh-CN"/>
                    </w:rPr>
                    <w:t xml:space="preserve"> </w:t>
                  </w:r>
                </w:p>
              </w:tc>
              <w:tc>
                <w:tcPr>
                  <w:tcW w:w="444" w:type="pct"/>
                  <w:tcBorders>
                    <w:tl2br w:val="nil"/>
                    <w:tr2bl w:val="nil"/>
                  </w:tcBorders>
                  <w:vAlign w:val="center"/>
                </w:tcPr>
                <w:p>
                  <w:pPr>
                    <w:shd w:val="clea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0.099</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33"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26.</w:t>
                  </w:r>
                  <w:r>
                    <w:rPr>
                      <w:rFonts w:hint="eastAsia" w:cs="Times New Roman"/>
                      <w:color w:val="auto"/>
                      <w:sz w:val="21"/>
                      <w:szCs w:val="21"/>
                      <w:lang w:val="en-US" w:eastAsia="zh-CN"/>
                    </w:rPr>
                    <w:t>70</w:t>
                  </w:r>
                  <w:r>
                    <w:rPr>
                      <w:rFonts w:hint="eastAsia" w:ascii="Times New Roman" w:hAnsi="Times New Roman" w:eastAsia="宋体" w:cs="Times New Roman"/>
                      <w:color w:val="auto"/>
                      <w:sz w:val="21"/>
                      <w:szCs w:val="21"/>
                      <w:lang w:val="en-US" w:eastAsia="zh-CN"/>
                    </w:rPr>
                    <w:t xml:space="preserve"> </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0.099</w:t>
                  </w:r>
                </w:p>
              </w:tc>
              <w:tc>
                <w:tcPr>
                  <w:tcW w:w="32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8" w:type="pct"/>
                  <w:vMerge w:val="continue"/>
                  <w:tcBorders>
                    <w:tl2br w:val="nil"/>
                    <w:tr2bl w:val="nil"/>
                  </w:tcBorders>
                  <w:vAlign w:val="center"/>
                </w:tcPr>
                <w:p>
                  <w:pPr>
                    <w:shd w:val="clear"/>
                    <w:jc w:val="center"/>
                    <w:rPr>
                      <w:rFonts w:hint="default" w:ascii="Times New Roman" w:hAnsi="Times New Roman" w:cs="Times New Roman"/>
                      <w:bCs/>
                      <w:color w:val="auto"/>
                      <w:spacing w:val="-20"/>
                      <w:sz w:val="21"/>
                      <w:szCs w:val="21"/>
                    </w:rPr>
                  </w:pPr>
                </w:p>
              </w:tc>
              <w:tc>
                <w:tcPr>
                  <w:tcW w:w="392" w:type="pct"/>
                  <w:tcBorders>
                    <w:tl2br w:val="nil"/>
                    <w:tr2bl w:val="nil"/>
                  </w:tcBorders>
                  <w:vAlign w:val="center"/>
                </w:tcPr>
                <w:p>
                  <w:pPr>
                    <w:shd w:val="clear"/>
                    <w:jc w:val="center"/>
                    <w:rPr>
                      <w:rFonts w:hint="eastAsia" w:ascii="Times New Roman" w:hAnsi="Times New Roman" w:eastAsia="宋体" w:cs="Times New Roman"/>
                      <w:color w:val="auto"/>
                      <w:spacing w:val="-20"/>
                      <w:kern w:val="0"/>
                      <w:sz w:val="21"/>
                      <w:szCs w:val="21"/>
                      <w:lang w:val="en-US" w:eastAsia="zh-CN"/>
                    </w:rPr>
                  </w:pPr>
                  <w:r>
                    <w:rPr>
                      <w:rFonts w:hint="eastAsia" w:cs="Times New Roman"/>
                      <w:color w:val="auto"/>
                      <w:spacing w:val="-20"/>
                      <w:kern w:val="0"/>
                      <w:sz w:val="21"/>
                      <w:szCs w:val="21"/>
                      <w:lang w:val="en-US" w:eastAsia="zh-CN"/>
                    </w:rPr>
                    <w:t>TDS</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left="-42" w:leftChars="-20" w:right="-42" w:rightChars="-2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r>
                    <w:rPr>
                      <w:rFonts w:hint="eastAsia" w:cs="Times New Roman"/>
                      <w:color w:val="auto"/>
                      <w:sz w:val="21"/>
                      <w:szCs w:val="21"/>
                      <w:lang w:val="en-US" w:eastAsia="zh-CN"/>
                    </w:rPr>
                    <w:t>4.33</w:t>
                  </w:r>
                </w:p>
              </w:tc>
              <w:tc>
                <w:tcPr>
                  <w:tcW w:w="444" w:type="pct"/>
                  <w:tcBorders>
                    <w:tl2br w:val="nil"/>
                    <w:tr2bl w:val="nil"/>
                  </w:tcBorders>
                  <w:vAlign w:val="center"/>
                </w:tcPr>
                <w:p>
                  <w:pPr>
                    <w:shd w:val="clea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0.461</w:t>
                  </w:r>
                </w:p>
              </w:tc>
              <w:tc>
                <w:tcPr>
                  <w:tcW w:w="234"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33"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25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547" w:type="pct"/>
                  <w:vMerge w:val="continue"/>
                  <w:tcBorders>
                    <w:tl2br w:val="nil"/>
                    <w:tr2bl w:val="nil"/>
                  </w:tcBorders>
                  <w:vAlign w:val="center"/>
                </w:tcPr>
                <w:p>
                  <w:pPr>
                    <w:shd w:val="clear"/>
                    <w:jc w:val="center"/>
                    <w:rPr>
                      <w:rFonts w:hint="default" w:ascii="Times New Roman" w:hAnsi="Times New Roman" w:cs="Times New Roman"/>
                      <w:color w:val="auto"/>
                      <w:sz w:val="21"/>
                      <w:szCs w:val="21"/>
                      <w:lang w:val="en-US" w:eastAsia="zh-CN"/>
                    </w:rPr>
                  </w:pPr>
                </w:p>
              </w:tc>
              <w:tc>
                <w:tcPr>
                  <w:tcW w:w="419" w:type="pct"/>
                  <w:tcBorders>
                    <w:tl2br w:val="nil"/>
                    <w:tr2bl w:val="nil"/>
                  </w:tcBorders>
                  <w:vAlign w:val="center"/>
                </w:tcPr>
                <w:p>
                  <w:pPr>
                    <w:keepNext w:val="0"/>
                    <w:keepLines w:val="0"/>
                    <w:pageBreakBefore w:val="0"/>
                    <w:widowControl w:val="0"/>
                    <w:shd w:val="clear"/>
                    <w:kinsoku/>
                    <w:wordWrap/>
                    <w:overflowPunct/>
                    <w:topLinePunct w:val="0"/>
                    <w:autoSpaceDE/>
                    <w:autoSpaceDN/>
                    <w:bidi w:val="0"/>
                    <w:adjustRightInd/>
                    <w:snapToGrid/>
                    <w:ind w:left="-42" w:leftChars="-20" w:right="-42" w:rightChars="-2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12</w:t>
                  </w:r>
                  <w:r>
                    <w:rPr>
                      <w:rFonts w:hint="eastAsia" w:cs="Times New Roman"/>
                      <w:color w:val="auto"/>
                      <w:sz w:val="21"/>
                      <w:szCs w:val="21"/>
                      <w:lang w:val="en-US" w:eastAsia="zh-CN"/>
                    </w:rPr>
                    <w:t>4.33</w:t>
                  </w:r>
                </w:p>
              </w:tc>
              <w:tc>
                <w:tcPr>
                  <w:tcW w:w="428" w:type="pct"/>
                  <w:tcBorders>
                    <w:tl2br w:val="nil"/>
                    <w:tr2bl w:val="nil"/>
                  </w:tcBorders>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0.461</w:t>
                  </w:r>
                </w:p>
              </w:tc>
              <w:tc>
                <w:tcPr>
                  <w:tcW w:w="324" w:type="pct"/>
                  <w:vMerge w:val="continue"/>
                  <w:tcBorders>
                    <w:tl2br w:val="nil"/>
                    <w:tr2bl w:val="nil"/>
                  </w:tcBorders>
                  <w:vAlign w:val="center"/>
                </w:tcPr>
                <w:p>
                  <w:pPr>
                    <w:shd w:val="clear"/>
                    <w:jc w:val="center"/>
                    <w:rPr>
                      <w:rFonts w:hint="default" w:ascii="Times New Roman" w:hAnsi="Times New Roman" w:cs="Times New Roman"/>
                      <w:color w:val="auto"/>
                      <w:spacing w:val="-20"/>
                      <w:kern w:val="0"/>
                      <w:sz w:val="21"/>
                      <w:szCs w:val="21"/>
                    </w:rPr>
                  </w:pPr>
                </w:p>
              </w:tc>
            </w:tr>
          </w:tbl>
          <w:p>
            <w:pPr>
              <w:shd w:val="clear"/>
              <w:adjustRightInd w:val="0"/>
              <w:snapToGrid w:val="0"/>
              <w:spacing w:line="240" w:lineRule="auto"/>
              <w:jc w:val="center"/>
              <w:rPr>
                <w:rFonts w:hint="eastAsia" w:ascii="Times New Roman" w:hAnsi="Times New Roman" w:eastAsia="宋体" w:cs="Times New Roman"/>
                <w:b/>
                <w:bCs/>
                <w:color w:val="auto"/>
                <w:kern w:val="0"/>
                <w:sz w:val="24"/>
                <w:szCs w:val="24"/>
                <w:lang w:val="en-US" w:eastAsia="zh-CN" w:bidi="ar-SA"/>
              </w:rPr>
            </w:pPr>
            <w:r>
              <w:rPr>
                <w:rFonts w:hint="eastAsia" w:ascii="Times New Roman" w:hAnsi="Times New Roman" w:eastAsia="宋体" w:cs="Times New Roman"/>
                <w:b/>
                <w:bCs/>
                <w:color w:val="auto"/>
                <w:kern w:val="0"/>
                <w:sz w:val="24"/>
                <w:szCs w:val="24"/>
                <w:lang w:val="en-US" w:eastAsia="zh-CN" w:bidi="ar-SA"/>
              </w:rPr>
              <w:t>表4-2  废水类别、污染物及污染治理设施信息表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544"/>
              <w:gridCol w:w="1051"/>
              <w:gridCol w:w="426"/>
              <w:gridCol w:w="726"/>
              <w:gridCol w:w="718"/>
              <w:gridCol w:w="718"/>
              <w:gridCol w:w="660"/>
              <w:gridCol w:w="881"/>
              <w:gridCol w:w="770"/>
              <w:gridCol w:w="15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58" w:type="pct"/>
                  <w:vMerge w:val="restart"/>
                  <w:tcBorders>
                    <w:tl2br w:val="nil"/>
                    <w:tr2bl w:val="nil"/>
                  </w:tcBorders>
                  <w:vAlign w:val="center"/>
                </w:tcPr>
                <w:p>
                  <w:pPr>
                    <w:shd w:val="clear"/>
                    <w:jc w:val="center"/>
                    <w:rPr>
                      <w:color w:val="auto"/>
                      <w:szCs w:val="21"/>
                    </w:rPr>
                  </w:pPr>
                  <w:r>
                    <w:rPr>
                      <w:color w:val="auto"/>
                      <w:szCs w:val="21"/>
                    </w:rPr>
                    <w:t>序号</w:t>
                  </w:r>
                </w:p>
              </w:tc>
              <w:tc>
                <w:tcPr>
                  <w:tcW w:w="396" w:type="pct"/>
                  <w:vMerge w:val="restart"/>
                  <w:tcBorders>
                    <w:tl2br w:val="nil"/>
                    <w:tr2bl w:val="nil"/>
                  </w:tcBorders>
                  <w:vAlign w:val="center"/>
                </w:tcPr>
                <w:p>
                  <w:pPr>
                    <w:shd w:val="clear"/>
                    <w:jc w:val="center"/>
                    <w:rPr>
                      <w:color w:val="auto"/>
                      <w:szCs w:val="21"/>
                    </w:rPr>
                  </w:pPr>
                  <w:r>
                    <w:rPr>
                      <w:color w:val="auto"/>
                      <w:szCs w:val="21"/>
                    </w:rPr>
                    <w:t>废水类别</w:t>
                  </w:r>
                </w:p>
              </w:tc>
              <w:tc>
                <w:tcPr>
                  <w:tcW w:w="500" w:type="pct"/>
                  <w:vMerge w:val="restart"/>
                  <w:tcBorders>
                    <w:tl2br w:val="nil"/>
                    <w:tr2bl w:val="nil"/>
                  </w:tcBorders>
                  <w:vAlign w:val="center"/>
                </w:tcPr>
                <w:p>
                  <w:pPr>
                    <w:shd w:val="clear"/>
                    <w:jc w:val="center"/>
                    <w:rPr>
                      <w:color w:val="auto"/>
                      <w:szCs w:val="21"/>
                    </w:rPr>
                  </w:pPr>
                  <w:r>
                    <w:rPr>
                      <w:color w:val="auto"/>
                      <w:szCs w:val="21"/>
                    </w:rPr>
                    <w:t>污染物种类</w:t>
                  </w:r>
                </w:p>
              </w:tc>
              <w:tc>
                <w:tcPr>
                  <w:tcW w:w="289" w:type="pct"/>
                  <w:vMerge w:val="restart"/>
                  <w:tcBorders>
                    <w:tl2br w:val="nil"/>
                    <w:tr2bl w:val="nil"/>
                  </w:tcBorders>
                  <w:vAlign w:val="center"/>
                </w:tcPr>
                <w:p>
                  <w:pPr>
                    <w:shd w:val="clear"/>
                    <w:jc w:val="center"/>
                    <w:rPr>
                      <w:color w:val="auto"/>
                      <w:szCs w:val="21"/>
                    </w:rPr>
                  </w:pPr>
                  <w:r>
                    <w:rPr>
                      <w:color w:val="auto"/>
                      <w:szCs w:val="21"/>
                    </w:rPr>
                    <w:t>排放去向</w:t>
                  </w:r>
                </w:p>
              </w:tc>
              <w:tc>
                <w:tcPr>
                  <w:tcW w:w="471" w:type="pct"/>
                  <w:vMerge w:val="restart"/>
                  <w:tcBorders>
                    <w:tl2br w:val="nil"/>
                    <w:tr2bl w:val="nil"/>
                  </w:tcBorders>
                  <w:vAlign w:val="center"/>
                </w:tcPr>
                <w:p>
                  <w:pPr>
                    <w:shd w:val="clear"/>
                    <w:jc w:val="center"/>
                    <w:rPr>
                      <w:color w:val="auto"/>
                      <w:szCs w:val="21"/>
                    </w:rPr>
                  </w:pPr>
                  <w:r>
                    <w:rPr>
                      <w:color w:val="auto"/>
                      <w:szCs w:val="21"/>
                    </w:rPr>
                    <w:t>排放规律</w:t>
                  </w:r>
                </w:p>
              </w:tc>
              <w:tc>
                <w:tcPr>
                  <w:tcW w:w="1355" w:type="pct"/>
                  <w:gridSpan w:val="3"/>
                  <w:tcBorders>
                    <w:tl2br w:val="nil"/>
                    <w:tr2bl w:val="nil"/>
                  </w:tcBorders>
                  <w:vAlign w:val="center"/>
                </w:tcPr>
                <w:p>
                  <w:pPr>
                    <w:shd w:val="clear"/>
                    <w:jc w:val="center"/>
                    <w:rPr>
                      <w:color w:val="auto"/>
                      <w:szCs w:val="21"/>
                    </w:rPr>
                  </w:pPr>
                  <w:r>
                    <w:rPr>
                      <w:color w:val="auto"/>
                      <w:szCs w:val="21"/>
                    </w:rPr>
                    <w:t>污染治理设施</w:t>
                  </w:r>
                </w:p>
              </w:tc>
              <w:tc>
                <w:tcPr>
                  <w:tcW w:w="258" w:type="pct"/>
                  <w:vMerge w:val="restart"/>
                  <w:tcBorders>
                    <w:tl2br w:val="nil"/>
                    <w:tr2bl w:val="nil"/>
                  </w:tcBorders>
                  <w:vAlign w:val="center"/>
                </w:tcPr>
                <w:p>
                  <w:pPr>
                    <w:shd w:val="clear"/>
                    <w:jc w:val="center"/>
                    <w:rPr>
                      <w:color w:val="auto"/>
                      <w:szCs w:val="21"/>
                    </w:rPr>
                  </w:pPr>
                  <w:r>
                    <w:rPr>
                      <w:color w:val="auto"/>
                      <w:szCs w:val="21"/>
                    </w:rPr>
                    <w:t>排放口编号</w:t>
                  </w:r>
                </w:p>
              </w:tc>
              <w:tc>
                <w:tcPr>
                  <w:tcW w:w="494" w:type="pct"/>
                  <w:vMerge w:val="restart"/>
                  <w:tcBorders>
                    <w:tl2br w:val="nil"/>
                    <w:tr2bl w:val="nil"/>
                  </w:tcBorders>
                  <w:vAlign w:val="center"/>
                </w:tcPr>
                <w:p>
                  <w:pPr>
                    <w:shd w:val="clear"/>
                    <w:jc w:val="center"/>
                    <w:rPr>
                      <w:color w:val="auto"/>
                      <w:szCs w:val="21"/>
                    </w:rPr>
                  </w:pPr>
                  <w:r>
                    <w:rPr>
                      <w:color w:val="auto"/>
                      <w:szCs w:val="21"/>
                    </w:rPr>
                    <w:t>排放口设置是否符合要求</w:t>
                  </w:r>
                </w:p>
              </w:tc>
              <w:tc>
                <w:tcPr>
                  <w:tcW w:w="980" w:type="pct"/>
                  <w:vMerge w:val="restart"/>
                  <w:tcBorders>
                    <w:tl2br w:val="nil"/>
                    <w:tr2bl w:val="nil"/>
                  </w:tcBorders>
                  <w:vAlign w:val="center"/>
                </w:tcPr>
                <w:p>
                  <w:pPr>
                    <w:shd w:val="clear"/>
                    <w:jc w:val="center"/>
                    <w:rPr>
                      <w:color w:val="auto"/>
                      <w:szCs w:val="21"/>
                    </w:rPr>
                  </w:pPr>
                  <w:r>
                    <w:rPr>
                      <w:color w:val="auto"/>
                      <w:szCs w:val="21"/>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258" w:type="pct"/>
                  <w:vMerge w:val="continue"/>
                  <w:tcBorders>
                    <w:tl2br w:val="nil"/>
                    <w:tr2bl w:val="nil"/>
                  </w:tcBorders>
                  <w:vAlign w:val="center"/>
                </w:tcPr>
                <w:p>
                  <w:pPr>
                    <w:widowControl/>
                    <w:shd w:val="clear"/>
                    <w:jc w:val="center"/>
                    <w:rPr>
                      <w:color w:val="auto"/>
                      <w:szCs w:val="21"/>
                    </w:rPr>
                  </w:pPr>
                </w:p>
              </w:tc>
              <w:tc>
                <w:tcPr>
                  <w:tcW w:w="396" w:type="pct"/>
                  <w:vMerge w:val="continue"/>
                  <w:tcBorders>
                    <w:tl2br w:val="nil"/>
                    <w:tr2bl w:val="nil"/>
                  </w:tcBorders>
                  <w:vAlign w:val="center"/>
                </w:tcPr>
                <w:p>
                  <w:pPr>
                    <w:widowControl/>
                    <w:shd w:val="clear"/>
                    <w:jc w:val="center"/>
                    <w:rPr>
                      <w:color w:val="auto"/>
                      <w:szCs w:val="21"/>
                    </w:rPr>
                  </w:pPr>
                </w:p>
              </w:tc>
              <w:tc>
                <w:tcPr>
                  <w:tcW w:w="500" w:type="pct"/>
                  <w:vMerge w:val="continue"/>
                  <w:tcBorders>
                    <w:tl2br w:val="nil"/>
                    <w:tr2bl w:val="nil"/>
                  </w:tcBorders>
                  <w:vAlign w:val="center"/>
                </w:tcPr>
                <w:p>
                  <w:pPr>
                    <w:widowControl/>
                    <w:shd w:val="clear"/>
                    <w:jc w:val="center"/>
                    <w:rPr>
                      <w:color w:val="auto"/>
                      <w:szCs w:val="21"/>
                    </w:rPr>
                  </w:pPr>
                </w:p>
              </w:tc>
              <w:tc>
                <w:tcPr>
                  <w:tcW w:w="289" w:type="pct"/>
                  <w:vMerge w:val="continue"/>
                  <w:tcBorders>
                    <w:tl2br w:val="nil"/>
                    <w:tr2bl w:val="nil"/>
                  </w:tcBorders>
                  <w:vAlign w:val="center"/>
                </w:tcPr>
                <w:p>
                  <w:pPr>
                    <w:widowControl/>
                    <w:shd w:val="clear"/>
                    <w:jc w:val="center"/>
                    <w:rPr>
                      <w:color w:val="auto"/>
                      <w:szCs w:val="21"/>
                    </w:rPr>
                  </w:pPr>
                </w:p>
              </w:tc>
              <w:tc>
                <w:tcPr>
                  <w:tcW w:w="471" w:type="pct"/>
                  <w:vMerge w:val="continue"/>
                  <w:tcBorders>
                    <w:tl2br w:val="nil"/>
                    <w:tr2bl w:val="nil"/>
                  </w:tcBorders>
                  <w:vAlign w:val="center"/>
                </w:tcPr>
                <w:p>
                  <w:pPr>
                    <w:widowControl/>
                    <w:shd w:val="clear"/>
                    <w:jc w:val="center"/>
                    <w:rPr>
                      <w:color w:val="auto"/>
                      <w:szCs w:val="21"/>
                    </w:rPr>
                  </w:pPr>
                </w:p>
              </w:tc>
              <w:tc>
                <w:tcPr>
                  <w:tcW w:w="463" w:type="pct"/>
                  <w:tcBorders>
                    <w:tl2br w:val="nil"/>
                    <w:tr2bl w:val="nil"/>
                  </w:tcBorders>
                  <w:vAlign w:val="center"/>
                </w:tcPr>
                <w:p>
                  <w:pPr>
                    <w:shd w:val="clear"/>
                    <w:jc w:val="center"/>
                    <w:rPr>
                      <w:color w:val="auto"/>
                      <w:szCs w:val="21"/>
                    </w:rPr>
                  </w:pPr>
                  <w:r>
                    <w:rPr>
                      <w:color w:val="auto"/>
                      <w:szCs w:val="21"/>
                    </w:rPr>
                    <w:t>污染治理设施编号</w:t>
                  </w:r>
                </w:p>
              </w:tc>
              <w:tc>
                <w:tcPr>
                  <w:tcW w:w="463" w:type="pct"/>
                  <w:tcBorders>
                    <w:tl2br w:val="nil"/>
                    <w:tr2bl w:val="nil"/>
                  </w:tcBorders>
                  <w:vAlign w:val="center"/>
                </w:tcPr>
                <w:p>
                  <w:pPr>
                    <w:shd w:val="clear"/>
                    <w:jc w:val="center"/>
                    <w:rPr>
                      <w:color w:val="auto"/>
                      <w:szCs w:val="21"/>
                    </w:rPr>
                  </w:pPr>
                  <w:r>
                    <w:rPr>
                      <w:color w:val="auto"/>
                      <w:szCs w:val="21"/>
                    </w:rPr>
                    <w:t>污染治理设施名称</w:t>
                  </w:r>
                </w:p>
              </w:tc>
              <w:tc>
                <w:tcPr>
                  <w:tcW w:w="428" w:type="pct"/>
                  <w:tcBorders>
                    <w:tl2br w:val="nil"/>
                    <w:tr2bl w:val="nil"/>
                  </w:tcBorders>
                  <w:vAlign w:val="center"/>
                </w:tcPr>
                <w:p>
                  <w:pPr>
                    <w:shd w:val="clear"/>
                    <w:jc w:val="center"/>
                    <w:rPr>
                      <w:color w:val="auto"/>
                      <w:szCs w:val="21"/>
                    </w:rPr>
                  </w:pPr>
                  <w:r>
                    <w:rPr>
                      <w:color w:val="auto"/>
                      <w:szCs w:val="21"/>
                    </w:rPr>
                    <w:t>污染治理设施工艺</w:t>
                  </w:r>
                </w:p>
              </w:tc>
              <w:tc>
                <w:tcPr>
                  <w:tcW w:w="258" w:type="pct"/>
                  <w:vMerge w:val="continue"/>
                  <w:tcBorders>
                    <w:tl2br w:val="nil"/>
                    <w:tr2bl w:val="nil"/>
                  </w:tcBorders>
                  <w:vAlign w:val="center"/>
                </w:tcPr>
                <w:p>
                  <w:pPr>
                    <w:widowControl/>
                    <w:shd w:val="clear"/>
                    <w:jc w:val="center"/>
                    <w:rPr>
                      <w:color w:val="auto"/>
                      <w:szCs w:val="21"/>
                    </w:rPr>
                  </w:pPr>
                </w:p>
              </w:tc>
              <w:tc>
                <w:tcPr>
                  <w:tcW w:w="494" w:type="pct"/>
                  <w:vMerge w:val="continue"/>
                  <w:tcBorders>
                    <w:tl2br w:val="nil"/>
                    <w:tr2bl w:val="nil"/>
                  </w:tcBorders>
                  <w:vAlign w:val="center"/>
                </w:tcPr>
                <w:p>
                  <w:pPr>
                    <w:widowControl/>
                    <w:shd w:val="clear"/>
                    <w:jc w:val="center"/>
                    <w:rPr>
                      <w:color w:val="auto"/>
                      <w:szCs w:val="21"/>
                    </w:rPr>
                  </w:pPr>
                </w:p>
              </w:tc>
              <w:tc>
                <w:tcPr>
                  <w:tcW w:w="980" w:type="pct"/>
                  <w:vMerge w:val="continue"/>
                  <w:tcBorders>
                    <w:tl2br w:val="nil"/>
                    <w:tr2bl w:val="nil"/>
                  </w:tcBorders>
                  <w:vAlign w:val="center"/>
                </w:tcPr>
                <w:p>
                  <w:pPr>
                    <w:widowControl/>
                    <w:shd w:val="clear"/>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258" w:type="pct"/>
                  <w:tcBorders>
                    <w:tl2br w:val="nil"/>
                    <w:tr2bl w:val="nil"/>
                  </w:tcBorders>
                  <w:vAlign w:val="center"/>
                </w:tcPr>
                <w:p>
                  <w:pPr>
                    <w:shd w:val="clear"/>
                    <w:jc w:val="center"/>
                    <w:rPr>
                      <w:color w:val="auto"/>
                      <w:szCs w:val="21"/>
                    </w:rPr>
                  </w:pPr>
                  <w:r>
                    <w:rPr>
                      <w:color w:val="auto"/>
                      <w:szCs w:val="21"/>
                    </w:rPr>
                    <w:t>1</w:t>
                  </w:r>
                </w:p>
              </w:tc>
              <w:tc>
                <w:tcPr>
                  <w:tcW w:w="396" w:type="pct"/>
                  <w:tcBorders>
                    <w:tl2br w:val="nil"/>
                    <w:tr2bl w:val="nil"/>
                  </w:tcBorders>
                  <w:vAlign w:val="center"/>
                </w:tcPr>
                <w:p>
                  <w:pPr>
                    <w:shd w:val="clear"/>
                    <w:jc w:val="center"/>
                    <w:rPr>
                      <w:color w:val="auto"/>
                      <w:szCs w:val="21"/>
                    </w:rPr>
                  </w:pPr>
                  <w:r>
                    <w:rPr>
                      <w:color w:val="auto"/>
                      <w:szCs w:val="21"/>
                    </w:rPr>
                    <w:t>废水</w:t>
                  </w:r>
                </w:p>
              </w:tc>
              <w:tc>
                <w:tcPr>
                  <w:tcW w:w="500" w:type="pct"/>
                  <w:tcBorders>
                    <w:tl2br w:val="nil"/>
                    <w:tr2bl w:val="nil"/>
                  </w:tcBorders>
                  <w:vAlign w:val="center"/>
                </w:tcPr>
                <w:p>
                  <w:pPr>
                    <w:shd w:val="clear"/>
                    <w:jc w:val="center"/>
                    <w:rPr>
                      <w:color w:val="auto"/>
                      <w:szCs w:val="21"/>
                    </w:rPr>
                  </w:pPr>
                  <w:r>
                    <w:rPr>
                      <w:color w:val="auto"/>
                      <w:szCs w:val="21"/>
                    </w:rPr>
                    <w:t>COD</w:t>
                  </w:r>
                  <w:r>
                    <w:rPr>
                      <w:rFonts w:hint="eastAsia"/>
                      <w:color w:val="auto"/>
                      <w:szCs w:val="21"/>
                    </w:rPr>
                    <w:t>、</w:t>
                  </w:r>
                </w:p>
                <w:p>
                  <w:pPr>
                    <w:pStyle w:val="9"/>
                    <w:shd w:val="clear"/>
                    <w:rPr>
                      <w:rFonts w:hint="default" w:eastAsia="宋体"/>
                      <w:color w:val="auto"/>
                      <w:sz w:val="21"/>
                      <w:szCs w:val="21"/>
                      <w:lang w:val="en-US" w:eastAsia="zh-CN"/>
                    </w:rPr>
                  </w:pPr>
                  <w:r>
                    <w:rPr>
                      <w:rFonts w:hint="eastAsia"/>
                      <w:color w:val="auto"/>
                      <w:sz w:val="21"/>
                      <w:szCs w:val="21"/>
                    </w:rPr>
                    <w:t>BOD</w:t>
                  </w:r>
                  <w:r>
                    <w:rPr>
                      <w:rFonts w:hint="eastAsia"/>
                      <w:color w:val="auto"/>
                      <w:sz w:val="21"/>
                      <w:szCs w:val="21"/>
                      <w:vertAlign w:val="subscript"/>
                    </w:rPr>
                    <w:t>5</w:t>
                  </w:r>
                  <w:r>
                    <w:rPr>
                      <w:rFonts w:hint="eastAsia"/>
                      <w:color w:val="auto"/>
                      <w:sz w:val="21"/>
                      <w:szCs w:val="21"/>
                    </w:rPr>
                    <w:t>、</w:t>
                  </w:r>
                  <w:r>
                    <w:rPr>
                      <w:color w:val="auto"/>
                      <w:sz w:val="21"/>
                      <w:szCs w:val="21"/>
                    </w:rPr>
                    <w:t>氨氮</w:t>
                  </w:r>
                  <w:r>
                    <w:rPr>
                      <w:rFonts w:hint="eastAsia"/>
                      <w:color w:val="auto"/>
                      <w:sz w:val="21"/>
                      <w:szCs w:val="21"/>
                    </w:rPr>
                    <w:t>、SS</w:t>
                  </w:r>
                  <w:r>
                    <w:rPr>
                      <w:rFonts w:hint="eastAsia"/>
                      <w:color w:val="auto"/>
                      <w:sz w:val="21"/>
                      <w:szCs w:val="21"/>
                      <w:lang w:eastAsia="zh-CN"/>
                    </w:rPr>
                    <w:t>、</w:t>
                  </w:r>
                  <w:r>
                    <w:rPr>
                      <w:rFonts w:hint="eastAsia"/>
                      <w:color w:val="auto"/>
                      <w:sz w:val="21"/>
                      <w:szCs w:val="21"/>
                      <w:lang w:val="en-US" w:eastAsia="zh-CN"/>
                    </w:rPr>
                    <w:t>TDS</w:t>
                  </w:r>
                </w:p>
              </w:tc>
              <w:tc>
                <w:tcPr>
                  <w:tcW w:w="289" w:type="pct"/>
                  <w:tcBorders>
                    <w:tl2br w:val="nil"/>
                    <w:tr2bl w:val="nil"/>
                  </w:tcBorders>
                  <w:vAlign w:val="center"/>
                </w:tcPr>
                <w:p>
                  <w:pPr>
                    <w:shd w:val="clear"/>
                    <w:jc w:val="center"/>
                    <w:rPr>
                      <w:color w:val="auto"/>
                      <w:szCs w:val="21"/>
                    </w:rPr>
                  </w:pPr>
                  <w:r>
                    <w:rPr>
                      <w:rFonts w:hint="eastAsia"/>
                      <w:bCs/>
                      <w:color w:val="auto"/>
                      <w:szCs w:val="21"/>
                    </w:rPr>
                    <w:t>海伦市污水处理厂</w:t>
                  </w:r>
                </w:p>
              </w:tc>
              <w:tc>
                <w:tcPr>
                  <w:tcW w:w="471" w:type="pct"/>
                  <w:tcBorders>
                    <w:tl2br w:val="nil"/>
                    <w:tr2bl w:val="nil"/>
                  </w:tcBorders>
                  <w:vAlign w:val="center"/>
                </w:tcPr>
                <w:p>
                  <w:pPr>
                    <w:shd w:val="clear"/>
                    <w:jc w:val="center"/>
                    <w:rPr>
                      <w:color w:val="auto"/>
                      <w:szCs w:val="21"/>
                    </w:rPr>
                  </w:pPr>
                  <w:r>
                    <w:rPr>
                      <w:color w:val="auto"/>
                      <w:szCs w:val="21"/>
                    </w:rPr>
                    <w:t>间断排放，排放期间流量不稳定且无规律，但不属于冲击性排放</w:t>
                  </w:r>
                </w:p>
              </w:tc>
              <w:tc>
                <w:tcPr>
                  <w:tcW w:w="463" w:type="pct"/>
                  <w:tcBorders>
                    <w:tl2br w:val="nil"/>
                    <w:tr2bl w:val="nil"/>
                  </w:tcBorders>
                  <w:vAlign w:val="center"/>
                </w:tcPr>
                <w:p>
                  <w:pPr>
                    <w:shd w:val="clear"/>
                    <w:jc w:val="center"/>
                    <w:rPr>
                      <w:color w:val="auto"/>
                      <w:szCs w:val="21"/>
                    </w:rPr>
                  </w:pPr>
                  <w:r>
                    <w:rPr>
                      <w:color w:val="auto"/>
                      <w:szCs w:val="21"/>
                    </w:rPr>
                    <w:t>-</w:t>
                  </w:r>
                </w:p>
              </w:tc>
              <w:tc>
                <w:tcPr>
                  <w:tcW w:w="463" w:type="pct"/>
                  <w:tcBorders>
                    <w:tl2br w:val="nil"/>
                    <w:tr2bl w:val="nil"/>
                  </w:tcBorders>
                  <w:vAlign w:val="center"/>
                </w:tcPr>
                <w:p>
                  <w:pPr>
                    <w:shd w:val="clear"/>
                    <w:jc w:val="center"/>
                    <w:rPr>
                      <w:color w:val="auto"/>
                      <w:szCs w:val="21"/>
                    </w:rPr>
                  </w:pPr>
                  <w:r>
                    <w:rPr>
                      <w:rFonts w:hint="eastAsia"/>
                      <w:color w:val="auto"/>
                      <w:szCs w:val="21"/>
                    </w:rPr>
                    <w:t>-</w:t>
                  </w:r>
                </w:p>
              </w:tc>
              <w:tc>
                <w:tcPr>
                  <w:tcW w:w="428" w:type="pct"/>
                  <w:tcBorders>
                    <w:tl2br w:val="nil"/>
                    <w:tr2bl w:val="nil"/>
                  </w:tcBorders>
                  <w:vAlign w:val="center"/>
                </w:tcPr>
                <w:p>
                  <w:pPr>
                    <w:shd w:val="clear"/>
                    <w:jc w:val="center"/>
                    <w:rPr>
                      <w:color w:val="auto"/>
                      <w:szCs w:val="21"/>
                    </w:rPr>
                  </w:pPr>
                  <w:r>
                    <w:rPr>
                      <w:rFonts w:hint="eastAsia"/>
                      <w:color w:val="auto"/>
                      <w:szCs w:val="21"/>
                    </w:rPr>
                    <w:t>-</w:t>
                  </w:r>
                </w:p>
              </w:tc>
              <w:tc>
                <w:tcPr>
                  <w:tcW w:w="258" w:type="pct"/>
                  <w:tcBorders>
                    <w:tl2br w:val="nil"/>
                    <w:tr2bl w:val="nil"/>
                  </w:tcBorders>
                  <w:vAlign w:val="center"/>
                </w:tcPr>
                <w:p>
                  <w:pPr>
                    <w:shd w:val="clear"/>
                    <w:jc w:val="center"/>
                    <w:rPr>
                      <w:color w:val="auto"/>
                      <w:szCs w:val="21"/>
                    </w:rPr>
                  </w:pPr>
                  <w:r>
                    <w:rPr>
                      <w:rFonts w:hint="eastAsia"/>
                      <w:color w:val="auto"/>
                      <w:szCs w:val="21"/>
                    </w:rPr>
                    <w:t>DW001</w:t>
                  </w:r>
                </w:p>
              </w:tc>
              <w:tc>
                <w:tcPr>
                  <w:tcW w:w="494" w:type="pct"/>
                  <w:tcBorders>
                    <w:tl2br w:val="nil"/>
                    <w:tr2bl w:val="nil"/>
                  </w:tcBorders>
                  <w:vAlign w:val="center"/>
                </w:tcPr>
                <w:p>
                  <w:pPr>
                    <w:shd w:val="clear"/>
                    <w:jc w:val="center"/>
                    <w:rPr>
                      <w:color w:val="auto"/>
                      <w:szCs w:val="21"/>
                    </w:rPr>
                  </w:pPr>
                  <w:r>
                    <w:rPr>
                      <w:color w:val="auto"/>
                      <w:szCs w:val="21"/>
                    </w:rPr>
                    <w:t>是</w:t>
                  </w:r>
                  <w:r>
                    <w:rPr>
                      <w:bCs/>
                      <w:color w:val="auto"/>
                      <w:kern w:val="0"/>
                      <w:szCs w:val="21"/>
                    </w:rPr>
                    <w:sym w:font="Wingdings 2" w:char="0052"/>
                  </w:r>
                </w:p>
                <w:p>
                  <w:pPr>
                    <w:shd w:val="clear"/>
                    <w:jc w:val="center"/>
                    <w:rPr>
                      <w:color w:val="auto"/>
                      <w:szCs w:val="21"/>
                    </w:rPr>
                  </w:pPr>
                  <w:r>
                    <w:rPr>
                      <w:color w:val="auto"/>
                      <w:szCs w:val="21"/>
                    </w:rPr>
                    <w:t>否</w:t>
                  </w:r>
                  <w:r>
                    <w:rPr>
                      <w:bCs/>
                      <w:color w:val="auto"/>
                      <w:kern w:val="0"/>
                      <w:szCs w:val="21"/>
                    </w:rPr>
                    <w:sym w:font="Wingdings 2" w:char="00A3"/>
                  </w:r>
                </w:p>
              </w:tc>
              <w:tc>
                <w:tcPr>
                  <w:tcW w:w="980" w:type="pct"/>
                  <w:tcBorders>
                    <w:tl2br w:val="nil"/>
                    <w:tr2bl w:val="nil"/>
                  </w:tcBorders>
                  <w:vAlign w:val="center"/>
                </w:tcPr>
                <w:p>
                  <w:pPr>
                    <w:shd w:val="clear"/>
                    <w:jc w:val="center"/>
                    <w:rPr>
                      <w:bCs/>
                      <w:color w:val="auto"/>
                      <w:kern w:val="0"/>
                      <w:szCs w:val="21"/>
                    </w:rPr>
                  </w:pPr>
                  <w:r>
                    <w:rPr>
                      <w:bCs/>
                      <w:color w:val="auto"/>
                      <w:kern w:val="0"/>
                      <w:szCs w:val="21"/>
                    </w:rPr>
                    <w:sym w:font="Wingdings 2" w:char="0052"/>
                  </w:r>
                  <w:r>
                    <w:rPr>
                      <w:bCs/>
                      <w:color w:val="auto"/>
                      <w:kern w:val="0"/>
                      <w:szCs w:val="21"/>
                    </w:rPr>
                    <w:t>企业总排</w:t>
                  </w:r>
                </w:p>
                <w:p>
                  <w:pPr>
                    <w:shd w:val="clear"/>
                    <w:jc w:val="center"/>
                    <w:rPr>
                      <w:bCs/>
                      <w:color w:val="auto"/>
                      <w:kern w:val="0"/>
                      <w:szCs w:val="21"/>
                    </w:rPr>
                  </w:pPr>
                  <w:r>
                    <w:rPr>
                      <w:bCs/>
                      <w:color w:val="auto"/>
                      <w:kern w:val="0"/>
                      <w:szCs w:val="21"/>
                    </w:rPr>
                    <w:sym w:font="Wingdings 2" w:char="00A3"/>
                  </w:r>
                  <w:r>
                    <w:rPr>
                      <w:bCs/>
                      <w:color w:val="auto"/>
                      <w:kern w:val="0"/>
                      <w:szCs w:val="21"/>
                    </w:rPr>
                    <w:t>雨水总排</w:t>
                  </w:r>
                </w:p>
                <w:p>
                  <w:pPr>
                    <w:shd w:val="clear"/>
                    <w:jc w:val="center"/>
                    <w:rPr>
                      <w:bCs/>
                      <w:color w:val="auto"/>
                      <w:kern w:val="0"/>
                      <w:szCs w:val="21"/>
                    </w:rPr>
                  </w:pPr>
                  <w:r>
                    <w:rPr>
                      <w:bCs/>
                      <w:color w:val="auto"/>
                      <w:kern w:val="0"/>
                      <w:szCs w:val="21"/>
                    </w:rPr>
                    <w:sym w:font="Wingdings 2" w:char="00A3"/>
                  </w:r>
                  <w:r>
                    <w:rPr>
                      <w:bCs/>
                      <w:color w:val="auto"/>
                      <w:kern w:val="0"/>
                      <w:szCs w:val="21"/>
                    </w:rPr>
                    <w:t>清净下水排放</w:t>
                  </w:r>
                </w:p>
                <w:p>
                  <w:pPr>
                    <w:shd w:val="clear"/>
                    <w:jc w:val="center"/>
                    <w:rPr>
                      <w:bCs/>
                      <w:color w:val="auto"/>
                      <w:kern w:val="0"/>
                      <w:szCs w:val="21"/>
                    </w:rPr>
                  </w:pPr>
                  <w:r>
                    <w:rPr>
                      <w:bCs/>
                      <w:color w:val="auto"/>
                      <w:kern w:val="0"/>
                      <w:szCs w:val="21"/>
                    </w:rPr>
                    <w:sym w:font="Wingdings 2" w:char="00A3"/>
                  </w:r>
                  <w:r>
                    <w:rPr>
                      <w:bCs/>
                      <w:color w:val="auto"/>
                      <w:kern w:val="0"/>
                      <w:szCs w:val="21"/>
                    </w:rPr>
                    <w:t>温排水排放</w:t>
                  </w:r>
                </w:p>
                <w:p>
                  <w:pPr>
                    <w:shd w:val="clear"/>
                    <w:jc w:val="center"/>
                    <w:rPr>
                      <w:color w:val="auto"/>
                      <w:szCs w:val="21"/>
                    </w:rPr>
                  </w:pPr>
                  <w:r>
                    <w:rPr>
                      <w:bCs/>
                      <w:color w:val="auto"/>
                      <w:kern w:val="0"/>
                      <w:szCs w:val="21"/>
                    </w:rPr>
                    <w:sym w:font="Wingdings 2" w:char="00A3"/>
                  </w:r>
                  <w:r>
                    <w:rPr>
                      <w:bCs/>
                      <w:color w:val="auto"/>
                      <w:kern w:val="0"/>
                      <w:szCs w:val="21"/>
                    </w:rPr>
                    <w:t>车间或车间处理设施排放</w:t>
                  </w:r>
                </w:p>
              </w:tc>
            </w:tr>
          </w:tbl>
          <w:p>
            <w:pPr>
              <w:shd w:val="clear"/>
              <w:adjustRightInd w:val="0"/>
              <w:snapToGrid w:val="0"/>
              <w:spacing w:line="240" w:lineRule="auto"/>
              <w:jc w:val="center"/>
              <w:rPr>
                <w:rFonts w:hint="eastAsia" w:ascii="Times New Roman" w:hAnsi="Times New Roman" w:eastAsia="宋体" w:cs="Times New Roman"/>
                <w:b/>
                <w:bCs/>
                <w:color w:val="auto"/>
                <w:kern w:val="0"/>
                <w:sz w:val="24"/>
                <w:szCs w:val="24"/>
                <w:lang w:val="en-US" w:eastAsia="zh-CN" w:bidi="ar-SA"/>
              </w:rPr>
            </w:pPr>
            <w:r>
              <w:rPr>
                <w:rFonts w:hint="eastAsia" w:ascii="Times New Roman" w:hAnsi="Times New Roman" w:eastAsia="宋体" w:cs="Times New Roman"/>
                <w:b/>
                <w:bCs/>
                <w:color w:val="auto"/>
                <w:kern w:val="0"/>
                <w:sz w:val="24"/>
                <w:szCs w:val="24"/>
                <w:lang w:val="en-US" w:eastAsia="zh-CN" w:bidi="ar-SA"/>
              </w:rPr>
              <w:t>表4-3  废水间接排放口基本情况表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4"/>
              <w:gridCol w:w="908"/>
              <w:gridCol w:w="1073"/>
              <w:gridCol w:w="961"/>
              <w:gridCol w:w="680"/>
              <w:gridCol w:w="666"/>
              <w:gridCol w:w="1001"/>
              <w:gridCol w:w="472"/>
              <w:gridCol w:w="438"/>
              <w:gridCol w:w="836"/>
              <w:gridCol w:w="10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5" w:type="pct"/>
                  <w:vMerge w:val="restart"/>
                  <w:tcBorders>
                    <w:tl2br w:val="nil"/>
                    <w:tr2bl w:val="nil"/>
                  </w:tcBorders>
                  <w:vAlign w:val="center"/>
                </w:tcPr>
                <w:p>
                  <w:pPr>
                    <w:shd w:val="clear"/>
                    <w:jc w:val="center"/>
                    <w:rPr>
                      <w:color w:val="auto"/>
                      <w:szCs w:val="21"/>
                    </w:rPr>
                  </w:pPr>
                  <w:r>
                    <w:rPr>
                      <w:color w:val="auto"/>
                      <w:szCs w:val="21"/>
                    </w:rPr>
                    <w:t>序号</w:t>
                  </w:r>
                </w:p>
              </w:tc>
              <w:tc>
                <w:tcPr>
                  <w:tcW w:w="533" w:type="pct"/>
                  <w:vMerge w:val="restart"/>
                  <w:tcBorders>
                    <w:tl2br w:val="nil"/>
                    <w:tr2bl w:val="nil"/>
                  </w:tcBorders>
                  <w:vAlign w:val="center"/>
                </w:tcPr>
                <w:p>
                  <w:pPr>
                    <w:shd w:val="clear"/>
                    <w:jc w:val="center"/>
                    <w:rPr>
                      <w:color w:val="auto"/>
                      <w:szCs w:val="21"/>
                    </w:rPr>
                  </w:pPr>
                  <w:r>
                    <w:rPr>
                      <w:color w:val="auto"/>
                      <w:szCs w:val="21"/>
                    </w:rPr>
                    <w:t>排放口编号</w:t>
                  </w:r>
                </w:p>
              </w:tc>
              <w:tc>
                <w:tcPr>
                  <w:tcW w:w="1194" w:type="pct"/>
                  <w:gridSpan w:val="2"/>
                  <w:tcBorders>
                    <w:tl2br w:val="nil"/>
                    <w:tr2bl w:val="nil"/>
                  </w:tcBorders>
                  <w:vAlign w:val="center"/>
                </w:tcPr>
                <w:p>
                  <w:pPr>
                    <w:shd w:val="clear"/>
                    <w:jc w:val="center"/>
                    <w:rPr>
                      <w:color w:val="auto"/>
                      <w:szCs w:val="21"/>
                      <w:vertAlign w:val="superscript"/>
                    </w:rPr>
                  </w:pPr>
                  <w:r>
                    <w:rPr>
                      <w:color w:val="auto"/>
                      <w:szCs w:val="21"/>
                    </w:rPr>
                    <w:t>排放口地理坐标</w:t>
                  </w:r>
                  <w:r>
                    <w:rPr>
                      <w:rFonts w:hint="eastAsia"/>
                      <w:color w:val="auto"/>
                      <w:szCs w:val="21"/>
                    </w:rPr>
                    <w:t>（°）</w:t>
                  </w:r>
                </w:p>
              </w:tc>
              <w:tc>
                <w:tcPr>
                  <w:tcW w:w="399" w:type="pct"/>
                  <w:vMerge w:val="restart"/>
                  <w:tcBorders>
                    <w:tl2br w:val="nil"/>
                    <w:tr2bl w:val="nil"/>
                  </w:tcBorders>
                  <w:vAlign w:val="center"/>
                </w:tcPr>
                <w:p>
                  <w:pPr>
                    <w:shd w:val="clear"/>
                    <w:jc w:val="center"/>
                    <w:rPr>
                      <w:color w:val="auto"/>
                      <w:szCs w:val="21"/>
                    </w:rPr>
                  </w:pPr>
                  <w:r>
                    <w:rPr>
                      <w:color w:val="auto"/>
                      <w:szCs w:val="21"/>
                    </w:rPr>
                    <w:t>废水排放量/（万t/a）</w:t>
                  </w:r>
                </w:p>
              </w:tc>
              <w:tc>
                <w:tcPr>
                  <w:tcW w:w="391" w:type="pct"/>
                  <w:vMerge w:val="restart"/>
                  <w:tcBorders>
                    <w:tl2br w:val="nil"/>
                    <w:tr2bl w:val="nil"/>
                  </w:tcBorders>
                  <w:vAlign w:val="center"/>
                </w:tcPr>
                <w:p>
                  <w:pPr>
                    <w:shd w:val="clear"/>
                    <w:jc w:val="center"/>
                    <w:rPr>
                      <w:color w:val="auto"/>
                      <w:szCs w:val="21"/>
                    </w:rPr>
                  </w:pPr>
                  <w:r>
                    <w:rPr>
                      <w:color w:val="auto"/>
                      <w:szCs w:val="21"/>
                    </w:rPr>
                    <w:t>排放去向</w:t>
                  </w:r>
                </w:p>
              </w:tc>
              <w:tc>
                <w:tcPr>
                  <w:tcW w:w="588" w:type="pct"/>
                  <w:vMerge w:val="restart"/>
                  <w:tcBorders>
                    <w:tl2br w:val="nil"/>
                    <w:tr2bl w:val="nil"/>
                  </w:tcBorders>
                  <w:vAlign w:val="center"/>
                </w:tcPr>
                <w:p>
                  <w:pPr>
                    <w:shd w:val="clear"/>
                    <w:jc w:val="center"/>
                    <w:rPr>
                      <w:color w:val="auto"/>
                      <w:szCs w:val="21"/>
                    </w:rPr>
                  </w:pPr>
                  <w:r>
                    <w:rPr>
                      <w:color w:val="auto"/>
                      <w:szCs w:val="21"/>
                    </w:rPr>
                    <w:t>排放规律</w:t>
                  </w:r>
                </w:p>
              </w:tc>
              <w:tc>
                <w:tcPr>
                  <w:tcW w:w="277" w:type="pct"/>
                  <w:vMerge w:val="restart"/>
                  <w:tcBorders>
                    <w:tl2br w:val="nil"/>
                    <w:tr2bl w:val="nil"/>
                  </w:tcBorders>
                  <w:vAlign w:val="center"/>
                </w:tcPr>
                <w:p>
                  <w:pPr>
                    <w:shd w:val="clear"/>
                    <w:jc w:val="center"/>
                    <w:rPr>
                      <w:color w:val="auto"/>
                      <w:szCs w:val="21"/>
                    </w:rPr>
                  </w:pPr>
                  <w:r>
                    <w:rPr>
                      <w:color w:val="auto"/>
                      <w:szCs w:val="21"/>
                    </w:rPr>
                    <w:t>间歇排放时段</w:t>
                  </w:r>
                </w:p>
              </w:tc>
              <w:tc>
                <w:tcPr>
                  <w:tcW w:w="1361" w:type="pct"/>
                  <w:gridSpan w:val="3"/>
                  <w:tcBorders>
                    <w:tl2br w:val="nil"/>
                    <w:tr2bl w:val="nil"/>
                  </w:tcBorders>
                  <w:vAlign w:val="center"/>
                </w:tcPr>
                <w:p>
                  <w:pPr>
                    <w:shd w:val="clear"/>
                    <w:jc w:val="center"/>
                    <w:rPr>
                      <w:color w:val="auto"/>
                      <w:szCs w:val="21"/>
                    </w:rPr>
                  </w:pPr>
                  <w:r>
                    <w:rPr>
                      <w:color w:val="auto"/>
                      <w:szCs w:val="21"/>
                    </w:rPr>
                    <w:t>受纳污水处理厂信息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5" w:type="pct"/>
                  <w:vMerge w:val="continue"/>
                  <w:tcBorders>
                    <w:tl2br w:val="nil"/>
                    <w:tr2bl w:val="nil"/>
                  </w:tcBorders>
                  <w:vAlign w:val="center"/>
                </w:tcPr>
                <w:p>
                  <w:pPr>
                    <w:widowControl/>
                    <w:shd w:val="clear"/>
                    <w:jc w:val="left"/>
                    <w:rPr>
                      <w:color w:val="auto"/>
                      <w:szCs w:val="21"/>
                    </w:rPr>
                  </w:pPr>
                </w:p>
              </w:tc>
              <w:tc>
                <w:tcPr>
                  <w:tcW w:w="533" w:type="pct"/>
                  <w:vMerge w:val="continue"/>
                  <w:tcBorders>
                    <w:tl2br w:val="nil"/>
                    <w:tr2bl w:val="nil"/>
                  </w:tcBorders>
                  <w:vAlign w:val="center"/>
                </w:tcPr>
                <w:p>
                  <w:pPr>
                    <w:widowControl/>
                    <w:shd w:val="clear"/>
                    <w:jc w:val="left"/>
                    <w:rPr>
                      <w:color w:val="auto"/>
                      <w:szCs w:val="21"/>
                    </w:rPr>
                  </w:pPr>
                </w:p>
              </w:tc>
              <w:tc>
                <w:tcPr>
                  <w:tcW w:w="630" w:type="pct"/>
                  <w:tcBorders>
                    <w:tl2br w:val="nil"/>
                    <w:tr2bl w:val="nil"/>
                  </w:tcBorders>
                  <w:vAlign w:val="center"/>
                </w:tcPr>
                <w:p>
                  <w:pPr>
                    <w:shd w:val="clear"/>
                    <w:jc w:val="center"/>
                    <w:rPr>
                      <w:color w:val="auto"/>
                      <w:szCs w:val="21"/>
                    </w:rPr>
                  </w:pPr>
                  <w:r>
                    <w:rPr>
                      <w:color w:val="auto"/>
                      <w:szCs w:val="21"/>
                    </w:rPr>
                    <w:t>经度</w:t>
                  </w:r>
                </w:p>
              </w:tc>
              <w:tc>
                <w:tcPr>
                  <w:tcW w:w="563" w:type="pct"/>
                  <w:tcBorders>
                    <w:tl2br w:val="nil"/>
                    <w:tr2bl w:val="nil"/>
                  </w:tcBorders>
                  <w:vAlign w:val="center"/>
                </w:tcPr>
                <w:p>
                  <w:pPr>
                    <w:shd w:val="clear"/>
                    <w:jc w:val="center"/>
                    <w:rPr>
                      <w:color w:val="auto"/>
                      <w:szCs w:val="21"/>
                    </w:rPr>
                  </w:pPr>
                  <w:r>
                    <w:rPr>
                      <w:color w:val="auto"/>
                      <w:szCs w:val="21"/>
                    </w:rPr>
                    <w:t>纬度</w:t>
                  </w:r>
                </w:p>
              </w:tc>
              <w:tc>
                <w:tcPr>
                  <w:tcW w:w="399" w:type="pct"/>
                  <w:vMerge w:val="continue"/>
                  <w:tcBorders>
                    <w:tl2br w:val="nil"/>
                    <w:tr2bl w:val="nil"/>
                  </w:tcBorders>
                  <w:vAlign w:val="center"/>
                </w:tcPr>
                <w:p>
                  <w:pPr>
                    <w:widowControl/>
                    <w:shd w:val="clear"/>
                    <w:jc w:val="left"/>
                    <w:rPr>
                      <w:color w:val="auto"/>
                      <w:szCs w:val="21"/>
                    </w:rPr>
                  </w:pPr>
                </w:p>
              </w:tc>
              <w:tc>
                <w:tcPr>
                  <w:tcW w:w="391" w:type="pct"/>
                  <w:vMerge w:val="continue"/>
                  <w:tcBorders>
                    <w:tl2br w:val="nil"/>
                    <w:tr2bl w:val="nil"/>
                  </w:tcBorders>
                  <w:vAlign w:val="center"/>
                </w:tcPr>
                <w:p>
                  <w:pPr>
                    <w:widowControl/>
                    <w:shd w:val="clear"/>
                    <w:jc w:val="left"/>
                    <w:rPr>
                      <w:color w:val="auto"/>
                      <w:szCs w:val="21"/>
                    </w:rPr>
                  </w:pPr>
                </w:p>
              </w:tc>
              <w:tc>
                <w:tcPr>
                  <w:tcW w:w="588" w:type="pct"/>
                  <w:vMerge w:val="continue"/>
                  <w:tcBorders>
                    <w:tl2br w:val="nil"/>
                    <w:tr2bl w:val="nil"/>
                  </w:tcBorders>
                  <w:vAlign w:val="center"/>
                </w:tcPr>
                <w:p>
                  <w:pPr>
                    <w:widowControl/>
                    <w:shd w:val="clear"/>
                    <w:jc w:val="left"/>
                    <w:rPr>
                      <w:color w:val="auto"/>
                      <w:szCs w:val="21"/>
                    </w:rPr>
                  </w:pPr>
                </w:p>
              </w:tc>
              <w:tc>
                <w:tcPr>
                  <w:tcW w:w="277" w:type="pct"/>
                  <w:vMerge w:val="continue"/>
                  <w:tcBorders>
                    <w:tl2br w:val="nil"/>
                    <w:tr2bl w:val="nil"/>
                  </w:tcBorders>
                  <w:vAlign w:val="center"/>
                </w:tcPr>
                <w:p>
                  <w:pPr>
                    <w:widowControl/>
                    <w:shd w:val="clear"/>
                    <w:jc w:val="left"/>
                    <w:rPr>
                      <w:color w:val="auto"/>
                      <w:szCs w:val="21"/>
                    </w:rPr>
                  </w:pPr>
                </w:p>
              </w:tc>
              <w:tc>
                <w:tcPr>
                  <w:tcW w:w="257" w:type="pct"/>
                  <w:tcBorders>
                    <w:tl2br w:val="nil"/>
                    <w:tr2bl w:val="nil"/>
                  </w:tcBorders>
                  <w:vAlign w:val="center"/>
                </w:tcPr>
                <w:p>
                  <w:pPr>
                    <w:shd w:val="clear"/>
                    <w:jc w:val="center"/>
                    <w:rPr>
                      <w:color w:val="auto"/>
                      <w:szCs w:val="21"/>
                    </w:rPr>
                  </w:pPr>
                  <w:r>
                    <w:rPr>
                      <w:color w:val="auto"/>
                      <w:szCs w:val="21"/>
                    </w:rPr>
                    <w:t>名称</w:t>
                  </w:r>
                </w:p>
              </w:tc>
              <w:tc>
                <w:tcPr>
                  <w:tcW w:w="491" w:type="pct"/>
                  <w:tcBorders>
                    <w:tl2br w:val="nil"/>
                    <w:tr2bl w:val="nil"/>
                  </w:tcBorders>
                  <w:vAlign w:val="center"/>
                </w:tcPr>
                <w:p>
                  <w:pPr>
                    <w:shd w:val="clear"/>
                    <w:jc w:val="center"/>
                    <w:rPr>
                      <w:color w:val="auto"/>
                      <w:szCs w:val="21"/>
                    </w:rPr>
                  </w:pPr>
                  <w:r>
                    <w:rPr>
                      <w:color w:val="auto"/>
                      <w:szCs w:val="21"/>
                    </w:rPr>
                    <w:t>污染物种类</w:t>
                  </w:r>
                </w:p>
              </w:tc>
              <w:tc>
                <w:tcPr>
                  <w:tcW w:w="612" w:type="pct"/>
                  <w:tcBorders>
                    <w:tl2br w:val="nil"/>
                    <w:tr2bl w:val="nil"/>
                  </w:tcBorders>
                  <w:vAlign w:val="center"/>
                </w:tcPr>
                <w:p>
                  <w:pPr>
                    <w:shd w:val="clear"/>
                    <w:jc w:val="center"/>
                    <w:rPr>
                      <w:color w:val="auto"/>
                      <w:szCs w:val="21"/>
                    </w:rPr>
                  </w:pPr>
                  <w:r>
                    <w:rPr>
                      <w:color w:val="auto"/>
                      <w:szCs w:val="21"/>
                    </w:rPr>
                    <w:t>国家或地方污染物排放标准浓度限值/(mg/L）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255" w:type="pct"/>
                  <w:vMerge w:val="restart"/>
                  <w:tcBorders>
                    <w:tl2br w:val="nil"/>
                    <w:tr2bl w:val="nil"/>
                  </w:tcBorders>
                  <w:vAlign w:val="center"/>
                </w:tcPr>
                <w:p>
                  <w:pPr>
                    <w:shd w:val="clear"/>
                    <w:jc w:val="center"/>
                    <w:rPr>
                      <w:color w:val="auto"/>
                      <w:szCs w:val="21"/>
                    </w:rPr>
                  </w:pPr>
                  <w:r>
                    <w:rPr>
                      <w:color w:val="auto"/>
                      <w:szCs w:val="21"/>
                    </w:rPr>
                    <w:t>1</w:t>
                  </w:r>
                </w:p>
              </w:tc>
              <w:tc>
                <w:tcPr>
                  <w:tcW w:w="533" w:type="pct"/>
                  <w:vMerge w:val="restart"/>
                  <w:tcBorders>
                    <w:tl2br w:val="nil"/>
                    <w:tr2bl w:val="nil"/>
                  </w:tcBorders>
                  <w:vAlign w:val="center"/>
                </w:tcPr>
                <w:p>
                  <w:pPr>
                    <w:shd w:val="clear"/>
                    <w:jc w:val="center"/>
                    <w:rPr>
                      <w:color w:val="auto"/>
                      <w:szCs w:val="21"/>
                    </w:rPr>
                  </w:pPr>
                  <w:r>
                    <w:rPr>
                      <w:rFonts w:hint="eastAsia"/>
                      <w:color w:val="auto"/>
                      <w:szCs w:val="21"/>
                    </w:rPr>
                    <w:t>DW001</w:t>
                  </w:r>
                </w:p>
              </w:tc>
              <w:tc>
                <w:tcPr>
                  <w:tcW w:w="630" w:type="pct"/>
                  <w:vMerge w:val="restart"/>
                  <w:tcBorders>
                    <w:tl2br w:val="nil"/>
                    <w:tr2bl w:val="nil"/>
                  </w:tcBorders>
                  <w:vAlign w:val="center"/>
                </w:tcPr>
                <w:p>
                  <w:pPr>
                    <w:shd w:val="clear"/>
                    <w:jc w:val="center"/>
                    <w:rPr>
                      <w:color w:val="auto"/>
                      <w:spacing w:val="-20"/>
                      <w:szCs w:val="21"/>
                    </w:rPr>
                  </w:pPr>
                  <w:r>
                    <w:rPr>
                      <w:rFonts w:hint="eastAsia"/>
                      <w:color w:val="auto"/>
                      <w:spacing w:val="-20"/>
                      <w:szCs w:val="21"/>
                    </w:rPr>
                    <w:t>126.938400</w:t>
                  </w:r>
                </w:p>
              </w:tc>
              <w:tc>
                <w:tcPr>
                  <w:tcW w:w="563" w:type="pct"/>
                  <w:vMerge w:val="restart"/>
                  <w:tcBorders>
                    <w:tl2br w:val="nil"/>
                    <w:tr2bl w:val="nil"/>
                  </w:tcBorders>
                  <w:vAlign w:val="center"/>
                </w:tcPr>
                <w:p>
                  <w:pPr>
                    <w:shd w:val="clear"/>
                    <w:jc w:val="center"/>
                    <w:rPr>
                      <w:color w:val="auto"/>
                      <w:spacing w:val="-20"/>
                      <w:szCs w:val="21"/>
                    </w:rPr>
                  </w:pPr>
                  <w:r>
                    <w:rPr>
                      <w:rFonts w:hint="eastAsia"/>
                      <w:color w:val="auto"/>
                      <w:spacing w:val="-20"/>
                      <w:szCs w:val="21"/>
                    </w:rPr>
                    <w:t>47.550637</w:t>
                  </w:r>
                </w:p>
              </w:tc>
              <w:tc>
                <w:tcPr>
                  <w:tcW w:w="399" w:type="pct"/>
                  <w:vMerge w:val="restart"/>
                  <w:tcBorders>
                    <w:tl2br w:val="nil"/>
                    <w:tr2bl w:val="nil"/>
                  </w:tcBorders>
                  <w:vAlign w:val="center"/>
                </w:tcPr>
                <w:p>
                  <w:pPr>
                    <w:shd w:val="clear"/>
                    <w:jc w:val="center"/>
                    <w:rPr>
                      <w:rFonts w:hint="default" w:eastAsia="宋体"/>
                      <w:color w:val="auto"/>
                      <w:szCs w:val="21"/>
                      <w:lang w:val="en-US" w:eastAsia="zh-CN"/>
                    </w:rPr>
                  </w:pPr>
                  <w:r>
                    <w:rPr>
                      <w:rFonts w:hint="eastAsia"/>
                      <w:color w:val="auto"/>
                      <w:szCs w:val="21"/>
                    </w:rPr>
                    <w:t>0.</w:t>
                  </w:r>
                  <w:r>
                    <w:rPr>
                      <w:rFonts w:hint="eastAsia"/>
                      <w:color w:val="auto"/>
                      <w:szCs w:val="21"/>
                      <w:lang w:val="en-US" w:eastAsia="zh-CN"/>
                    </w:rPr>
                    <w:t>37</w:t>
                  </w:r>
                </w:p>
              </w:tc>
              <w:tc>
                <w:tcPr>
                  <w:tcW w:w="391" w:type="pct"/>
                  <w:vMerge w:val="restart"/>
                  <w:tcBorders>
                    <w:tl2br w:val="nil"/>
                    <w:tr2bl w:val="nil"/>
                  </w:tcBorders>
                  <w:vAlign w:val="center"/>
                </w:tcPr>
                <w:p>
                  <w:pPr>
                    <w:shd w:val="clear"/>
                    <w:jc w:val="center"/>
                    <w:rPr>
                      <w:color w:val="auto"/>
                      <w:szCs w:val="21"/>
                    </w:rPr>
                  </w:pPr>
                  <w:r>
                    <w:rPr>
                      <w:color w:val="auto"/>
                      <w:szCs w:val="21"/>
                    </w:rPr>
                    <w:t>进入城市污水处理厂</w:t>
                  </w:r>
                </w:p>
              </w:tc>
              <w:tc>
                <w:tcPr>
                  <w:tcW w:w="588" w:type="pct"/>
                  <w:vMerge w:val="restart"/>
                  <w:tcBorders>
                    <w:tl2br w:val="nil"/>
                    <w:tr2bl w:val="nil"/>
                  </w:tcBorders>
                  <w:vAlign w:val="center"/>
                </w:tcPr>
                <w:p>
                  <w:pPr>
                    <w:shd w:val="clear"/>
                    <w:jc w:val="center"/>
                    <w:rPr>
                      <w:color w:val="auto"/>
                      <w:szCs w:val="21"/>
                    </w:rPr>
                  </w:pPr>
                  <w:r>
                    <w:rPr>
                      <w:color w:val="auto"/>
                      <w:szCs w:val="21"/>
                    </w:rPr>
                    <w:t>间断排放，排放期间流量不稳定且无规律，但不属于冲击性排放</w:t>
                  </w:r>
                </w:p>
              </w:tc>
              <w:tc>
                <w:tcPr>
                  <w:tcW w:w="277" w:type="pct"/>
                  <w:vMerge w:val="restart"/>
                  <w:tcBorders>
                    <w:tl2br w:val="nil"/>
                    <w:tr2bl w:val="nil"/>
                  </w:tcBorders>
                  <w:vAlign w:val="center"/>
                </w:tcPr>
                <w:p>
                  <w:pPr>
                    <w:shd w:val="clear"/>
                    <w:rPr>
                      <w:color w:val="auto"/>
                      <w:szCs w:val="21"/>
                    </w:rPr>
                  </w:pPr>
                  <w:r>
                    <w:rPr>
                      <w:color w:val="auto"/>
                      <w:szCs w:val="21"/>
                    </w:rPr>
                    <w:t>/</w:t>
                  </w:r>
                </w:p>
              </w:tc>
              <w:tc>
                <w:tcPr>
                  <w:tcW w:w="257" w:type="pct"/>
                  <w:vMerge w:val="restart"/>
                  <w:tcBorders>
                    <w:tl2br w:val="nil"/>
                    <w:tr2bl w:val="nil"/>
                  </w:tcBorders>
                  <w:vAlign w:val="center"/>
                </w:tcPr>
                <w:p>
                  <w:pPr>
                    <w:shd w:val="clear"/>
                    <w:jc w:val="center"/>
                    <w:rPr>
                      <w:color w:val="auto"/>
                      <w:szCs w:val="21"/>
                    </w:rPr>
                  </w:pPr>
                  <w:r>
                    <w:rPr>
                      <w:rFonts w:hint="eastAsia"/>
                      <w:bCs/>
                      <w:color w:val="auto"/>
                    </w:rPr>
                    <w:t>海伦市污水处理厂</w:t>
                  </w:r>
                </w:p>
              </w:tc>
              <w:tc>
                <w:tcPr>
                  <w:tcW w:w="491" w:type="pct"/>
                  <w:tcBorders>
                    <w:tl2br w:val="nil"/>
                    <w:tr2bl w:val="nil"/>
                  </w:tcBorders>
                  <w:vAlign w:val="center"/>
                </w:tcPr>
                <w:p>
                  <w:pPr>
                    <w:shd w:val="clear"/>
                    <w:jc w:val="center"/>
                    <w:rPr>
                      <w:color w:val="auto"/>
                      <w:szCs w:val="21"/>
                    </w:rPr>
                  </w:pPr>
                  <w:r>
                    <w:rPr>
                      <w:color w:val="auto"/>
                      <w:szCs w:val="21"/>
                    </w:rPr>
                    <w:t>COD</w:t>
                  </w:r>
                </w:p>
              </w:tc>
              <w:tc>
                <w:tcPr>
                  <w:tcW w:w="612" w:type="pct"/>
                  <w:tcBorders>
                    <w:tl2br w:val="nil"/>
                    <w:tr2bl w:val="nil"/>
                  </w:tcBorders>
                  <w:vAlign w:val="center"/>
                </w:tcPr>
                <w:p>
                  <w:pPr>
                    <w:pStyle w:val="23"/>
                    <w:shd w:val="clear"/>
                    <w:spacing w:before="0" w:beforeAutospacing="0" w:after="0" w:afterAutospacing="0"/>
                    <w:jc w:val="center"/>
                    <w:rPr>
                      <w:rFonts w:ascii="Times New Roman" w:hAnsi="Times New Roman"/>
                      <w:color w:val="auto"/>
                      <w:sz w:val="21"/>
                      <w:szCs w:val="21"/>
                    </w:rPr>
                  </w:pPr>
                  <w:r>
                    <w:rPr>
                      <w:rFonts w:hint="eastAsia" w:ascii="Times New Roman" w:hAnsi="Times New Roman"/>
                      <w:color w:val="auto"/>
                      <w:sz w:val="21"/>
                      <w:szCs w:val="21"/>
                      <w:lang w:val="en-US" w:eastAsia="zh-CN"/>
                    </w:rPr>
                    <w:t>5</w:t>
                  </w:r>
                  <w:r>
                    <w:rPr>
                      <w:rFonts w:ascii="Times New Roman" w:hAnsi="Times New Roman"/>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55" w:type="pct"/>
                  <w:vMerge w:val="continue"/>
                  <w:tcBorders>
                    <w:tl2br w:val="nil"/>
                    <w:tr2bl w:val="nil"/>
                  </w:tcBorders>
                  <w:vAlign w:val="center"/>
                </w:tcPr>
                <w:p>
                  <w:pPr>
                    <w:shd w:val="clear"/>
                    <w:jc w:val="center"/>
                    <w:rPr>
                      <w:color w:val="auto"/>
                      <w:szCs w:val="21"/>
                    </w:rPr>
                  </w:pPr>
                </w:p>
              </w:tc>
              <w:tc>
                <w:tcPr>
                  <w:tcW w:w="533" w:type="pct"/>
                  <w:vMerge w:val="continue"/>
                  <w:tcBorders>
                    <w:tl2br w:val="nil"/>
                    <w:tr2bl w:val="nil"/>
                  </w:tcBorders>
                  <w:vAlign w:val="center"/>
                </w:tcPr>
                <w:p>
                  <w:pPr>
                    <w:shd w:val="clear"/>
                    <w:jc w:val="center"/>
                    <w:rPr>
                      <w:color w:val="auto"/>
                      <w:szCs w:val="21"/>
                    </w:rPr>
                  </w:pPr>
                </w:p>
              </w:tc>
              <w:tc>
                <w:tcPr>
                  <w:tcW w:w="630" w:type="pct"/>
                  <w:vMerge w:val="continue"/>
                  <w:tcBorders>
                    <w:tl2br w:val="nil"/>
                    <w:tr2bl w:val="nil"/>
                  </w:tcBorders>
                  <w:vAlign w:val="center"/>
                </w:tcPr>
                <w:p>
                  <w:pPr>
                    <w:shd w:val="clear"/>
                    <w:jc w:val="center"/>
                    <w:rPr>
                      <w:color w:val="auto"/>
                      <w:szCs w:val="21"/>
                    </w:rPr>
                  </w:pPr>
                </w:p>
              </w:tc>
              <w:tc>
                <w:tcPr>
                  <w:tcW w:w="563" w:type="pct"/>
                  <w:vMerge w:val="continue"/>
                  <w:tcBorders>
                    <w:tl2br w:val="nil"/>
                    <w:tr2bl w:val="nil"/>
                  </w:tcBorders>
                  <w:vAlign w:val="center"/>
                </w:tcPr>
                <w:p>
                  <w:pPr>
                    <w:shd w:val="clear"/>
                    <w:jc w:val="center"/>
                    <w:rPr>
                      <w:color w:val="auto"/>
                      <w:szCs w:val="21"/>
                    </w:rPr>
                  </w:pPr>
                </w:p>
              </w:tc>
              <w:tc>
                <w:tcPr>
                  <w:tcW w:w="399" w:type="pct"/>
                  <w:vMerge w:val="continue"/>
                  <w:tcBorders>
                    <w:tl2br w:val="nil"/>
                    <w:tr2bl w:val="nil"/>
                  </w:tcBorders>
                  <w:vAlign w:val="center"/>
                </w:tcPr>
                <w:p>
                  <w:pPr>
                    <w:shd w:val="clear"/>
                    <w:jc w:val="center"/>
                    <w:rPr>
                      <w:color w:val="auto"/>
                      <w:szCs w:val="21"/>
                    </w:rPr>
                  </w:pPr>
                </w:p>
              </w:tc>
              <w:tc>
                <w:tcPr>
                  <w:tcW w:w="391" w:type="pct"/>
                  <w:vMerge w:val="continue"/>
                  <w:tcBorders>
                    <w:tl2br w:val="nil"/>
                    <w:tr2bl w:val="nil"/>
                  </w:tcBorders>
                  <w:vAlign w:val="center"/>
                </w:tcPr>
                <w:p>
                  <w:pPr>
                    <w:shd w:val="clear"/>
                    <w:jc w:val="center"/>
                    <w:rPr>
                      <w:color w:val="auto"/>
                      <w:szCs w:val="21"/>
                    </w:rPr>
                  </w:pPr>
                </w:p>
              </w:tc>
              <w:tc>
                <w:tcPr>
                  <w:tcW w:w="588" w:type="pct"/>
                  <w:vMerge w:val="continue"/>
                  <w:tcBorders>
                    <w:tl2br w:val="nil"/>
                    <w:tr2bl w:val="nil"/>
                  </w:tcBorders>
                  <w:vAlign w:val="center"/>
                </w:tcPr>
                <w:p>
                  <w:pPr>
                    <w:shd w:val="clear"/>
                    <w:jc w:val="center"/>
                    <w:rPr>
                      <w:color w:val="auto"/>
                      <w:szCs w:val="21"/>
                    </w:rPr>
                  </w:pPr>
                </w:p>
              </w:tc>
              <w:tc>
                <w:tcPr>
                  <w:tcW w:w="277" w:type="pct"/>
                  <w:vMerge w:val="continue"/>
                  <w:tcBorders>
                    <w:tl2br w:val="nil"/>
                    <w:tr2bl w:val="nil"/>
                  </w:tcBorders>
                  <w:vAlign w:val="center"/>
                </w:tcPr>
                <w:p>
                  <w:pPr>
                    <w:shd w:val="clear"/>
                    <w:rPr>
                      <w:color w:val="auto"/>
                      <w:szCs w:val="21"/>
                    </w:rPr>
                  </w:pPr>
                </w:p>
              </w:tc>
              <w:tc>
                <w:tcPr>
                  <w:tcW w:w="257" w:type="pct"/>
                  <w:vMerge w:val="continue"/>
                  <w:tcBorders>
                    <w:tl2br w:val="nil"/>
                    <w:tr2bl w:val="nil"/>
                  </w:tcBorders>
                  <w:vAlign w:val="center"/>
                </w:tcPr>
                <w:p>
                  <w:pPr>
                    <w:shd w:val="clear"/>
                    <w:jc w:val="center"/>
                    <w:rPr>
                      <w:bCs/>
                      <w:color w:val="auto"/>
                    </w:rPr>
                  </w:pPr>
                </w:p>
              </w:tc>
              <w:tc>
                <w:tcPr>
                  <w:tcW w:w="491" w:type="pct"/>
                  <w:tcBorders>
                    <w:tl2br w:val="nil"/>
                    <w:tr2bl w:val="nil"/>
                  </w:tcBorders>
                  <w:vAlign w:val="center"/>
                </w:tcPr>
                <w:p>
                  <w:pPr>
                    <w:shd w:val="clear"/>
                    <w:jc w:val="center"/>
                    <w:rPr>
                      <w:color w:val="auto"/>
                      <w:szCs w:val="21"/>
                    </w:rPr>
                  </w:pPr>
                  <w:r>
                    <w:rPr>
                      <w:rFonts w:hint="eastAsia"/>
                      <w:color w:val="auto"/>
                      <w:szCs w:val="21"/>
                    </w:rPr>
                    <w:t>BOD</w:t>
                  </w:r>
                  <w:r>
                    <w:rPr>
                      <w:rFonts w:hint="eastAsia"/>
                      <w:color w:val="auto"/>
                      <w:szCs w:val="21"/>
                      <w:vertAlign w:val="subscript"/>
                    </w:rPr>
                    <w:t>5</w:t>
                  </w:r>
                </w:p>
              </w:tc>
              <w:tc>
                <w:tcPr>
                  <w:tcW w:w="612" w:type="pct"/>
                  <w:tcBorders>
                    <w:tl2br w:val="nil"/>
                    <w:tr2bl w:val="nil"/>
                  </w:tcBorders>
                  <w:vAlign w:val="center"/>
                </w:tcPr>
                <w:p>
                  <w:pPr>
                    <w:pStyle w:val="23"/>
                    <w:shd w:val="clear"/>
                    <w:spacing w:before="0" w:beforeAutospacing="0" w:after="0" w:afterAutospacing="0"/>
                    <w:jc w:val="center"/>
                    <w:rPr>
                      <w:rFonts w:ascii="Times New Roman" w:hAnsi="Times New Roman"/>
                      <w:color w:val="auto"/>
                      <w:sz w:val="21"/>
                      <w:szCs w:val="21"/>
                    </w:rPr>
                  </w:pPr>
                  <w:r>
                    <w:rPr>
                      <w:rFonts w:hint="eastAsia" w:ascii="Times New Roman" w:hAnsi="Times New Roman"/>
                      <w:color w:val="auto"/>
                      <w:sz w:val="21"/>
                      <w:szCs w:val="21"/>
                      <w:lang w:val="en-US" w:eastAsia="zh-CN"/>
                    </w:rPr>
                    <w:t>1</w:t>
                  </w:r>
                  <w:r>
                    <w:rPr>
                      <w:rFonts w:hint="eastAsia" w:ascii="Times New Roman" w:hAnsi="Times New Roman"/>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255" w:type="pct"/>
                  <w:vMerge w:val="continue"/>
                  <w:tcBorders>
                    <w:tl2br w:val="nil"/>
                    <w:tr2bl w:val="nil"/>
                  </w:tcBorders>
                  <w:vAlign w:val="center"/>
                </w:tcPr>
                <w:p>
                  <w:pPr>
                    <w:shd w:val="clear"/>
                    <w:jc w:val="center"/>
                    <w:rPr>
                      <w:color w:val="auto"/>
                      <w:szCs w:val="21"/>
                    </w:rPr>
                  </w:pPr>
                </w:p>
              </w:tc>
              <w:tc>
                <w:tcPr>
                  <w:tcW w:w="533" w:type="pct"/>
                  <w:vMerge w:val="continue"/>
                  <w:tcBorders>
                    <w:tl2br w:val="nil"/>
                    <w:tr2bl w:val="nil"/>
                  </w:tcBorders>
                  <w:vAlign w:val="center"/>
                </w:tcPr>
                <w:p>
                  <w:pPr>
                    <w:shd w:val="clear"/>
                    <w:jc w:val="center"/>
                    <w:rPr>
                      <w:color w:val="auto"/>
                      <w:szCs w:val="21"/>
                    </w:rPr>
                  </w:pPr>
                </w:p>
              </w:tc>
              <w:tc>
                <w:tcPr>
                  <w:tcW w:w="630" w:type="pct"/>
                  <w:vMerge w:val="continue"/>
                  <w:tcBorders>
                    <w:tl2br w:val="nil"/>
                    <w:tr2bl w:val="nil"/>
                  </w:tcBorders>
                  <w:vAlign w:val="center"/>
                </w:tcPr>
                <w:p>
                  <w:pPr>
                    <w:shd w:val="clear"/>
                    <w:jc w:val="center"/>
                    <w:rPr>
                      <w:color w:val="auto"/>
                      <w:szCs w:val="21"/>
                    </w:rPr>
                  </w:pPr>
                </w:p>
              </w:tc>
              <w:tc>
                <w:tcPr>
                  <w:tcW w:w="563" w:type="pct"/>
                  <w:vMerge w:val="continue"/>
                  <w:tcBorders>
                    <w:tl2br w:val="nil"/>
                    <w:tr2bl w:val="nil"/>
                  </w:tcBorders>
                  <w:vAlign w:val="center"/>
                </w:tcPr>
                <w:p>
                  <w:pPr>
                    <w:shd w:val="clear"/>
                    <w:jc w:val="center"/>
                    <w:rPr>
                      <w:color w:val="auto"/>
                      <w:szCs w:val="21"/>
                    </w:rPr>
                  </w:pPr>
                </w:p>
              </w:tc>
              <w:tc>
                <w:tcPr>
                  <w:tcW w:w="399" w:type="pct"/>
                  <w:vMerge w:val="continue"/>
                  <w:tcBorders>
                    <w:tl2br w:val="nil"/>
                    <w:tr2bl w:val="nil"/>
                  </w:tcBorders>
                  <w:vAlign w:val="center"/>
                </w:tcPr>
                <w:p>
                  <w:pPr>
                    <w:shd w:val="clear"/>
                    <w:jc w:val="center"/>
                    <w:rPr>
                      <w:color w:val="auto"/>
                      <w:szCs w:val="21"/>
                    </w:rPr>
                  </w:pPr>
                </w:p>
              </w:tc>
              <w:tc>
                <w:tcPr>
                  <w:tcW w:w="391" w:type="pct"/>
                  <w:vMerge w:val="continue"/>
                  <w:tcBorders>
                    <w:tl2br w:val="nil"/>
                    <w:tr2bl w:val="nil"/>
                  </w:tcBorders>
                  <w:vAlign w:val="center"/>
                </w:tcPr>
                <w:p>
                  <w:pPr>
                    <w:shd w:val="clear"/>
                    <w:jc w:val="center"/>
                    <w:rPr>
                      <w:color w:val="auto"/>
                      <w:szCs w:val="21"/>
                    </w:rPr>
                  </w:pPr>
                </w:p>
              </w:tc>
              <w:tc>
                <w:tcPr>
                  <w:tcW w:w="588" w:type="pct"/>
                  <w:vMerge w:val="continue"/>
                  <w:tcBorders>
                    <w:tl2br w:val="nil"/>
                    <w:tr2bl w:val="nil"/>
                  </w:tcBorders>
                  <w:vAlign w:val="center"/>
                </w:tcPr>
                <w:p>
                  <w:pPr>
                    <w:shd w:val="clear"/>
                    <w:jc w:val="center"/>
                    <w:rPr>
                      <w:color w:val="auto"/>
                      <w:szCs w:val="21"/>
                    </w:rPr>
                  </w:pPr>
                </w:p>
              </w:tc>
              <w:tc>
                <w:tcPr>
                  <w:tcW w:w="277" w:type="pct"/>
                  <w:vMerge w:val="continue"/>
                  <w:tcBorders>
                    <w:tl2br w:val="nil"/>
                    <w:tr2bl w:val="nil"/>
                  </w:tcBorders>
                  <w:vAlign w:val="center"/>
                </w:tcPr>
                <w:p>
                  <w:pPr>
                    <w:shd w:val="clear"/>
                    <w:rPr>
                      <w:color w:val="auto"/>
                      <w:szCs w:val="21"/>
                    </w:rPr>
                  </w:pPr>
                </w:p>
              </w:tc>
              <w:tc>
                <w:tcPr>
                  <w:tcW w:w="257" w:type="pct"/>
                  <w:vMerge w:val="continue"/>
                  <w:tcBorders>
                    <w:tl2br w:val="nil"/>
                    <w:tr2bl w:val="nil"/>
                  </w:tcBorders>
                  <w:vAlign w:val="center"/>
                </w:tcPr>
                <w:p>
                  <w:pPr>
                    <w:shd w:val="clear"/>
                    <w:jc w:val="center"/>
                    <w:rPr>
                      <w:bCs/>
                      <w:color w:val="auto"/>
                    </w:rPr>
                  </w:pPr>
                </w:p>
              </w:tc>
              <w:tc>
                <w:tcPr>
                  <w:tcW w:w="491" w:type="pct"/>
                  <w:tcBorders>
                    <w:tl2br w:val="nil"/>
                    <w:tr2bl w:val="nil"/>
                  </w:tcBorders>
                  <w:vAlign w:val="center"/>
                </w:tcPr>
                <w:p>
                  <w:pPr>
                    <w:shd w:val="clear"/>
                    <w:jc w:val="center"/>
                    <w:rPr>
                      <w:color w:val="auto"/>
                      <w:szCs w:val="21"/>
                    </w:rPr>
                  </w:pPr>
                  <w:r>
                    <w:rPr>
                      <w:rFonts w:hint="eastAsia"/>
                      <w:color w:val="auto"/>
                      <w:szCs w:val="21"/>
                    </w:rPr>
                    <w:t>SS</w:t>
                  </w:r>
                </w:p>
              </w:tc>
              <w:tc>
                <w:tcPr>
                  <w:tcW w:w="612" w:type="pct"/>
                  <w:tcBorders>
                    <w:tl2br w:val="nil"/>
                    <w:tr2bl w:val="nil"/>
                  </w:tcBorders>
                  <w:vAlign w:val="center"/>
                </w:tcPr>
                <w:p>
                  <w:pPr>
                    <w:pStyle w:val="23"/>
                    <w:shd w:val="clear"/>
                    <w:spacing w:before="0" w:beforeAutospacing="0" w:after="0" w:afterAutospacing="0"/>
                    <w:jc w:val="center"/>
                    <w:rPr>
                      <w:rFonts w:ascii="Times New Roman" w:hAnsi="Times New Roman"/>
                      <w:color w:val="auto"/>
                      <w:sz w:val="21"/>
                      <w:szCs w:val="21"/>
                    </w:rPr>
                  </w:pPr>
                  <w:r>
                    <w:rPr>
                      <w:rFonts w:hint="eastAsia" w:ascii="Times New Roman" w:hAnsi="Times New Roman"/>
                      <w:color w:val="auto"/>
                      <w:sz w:val="21"/>
                      <w:szCs w:val="21"/>
                      <w:lang w:val="en-US" w:eastAsia="zh-CN"/>
                    </w:rPr>
                    <w:t>1</w:t>
                  </w:r>
                  <w:r>
                    <w:rPr>
                      <w:rFonts w:hint="eastAsia" w:ascii="Times New Roman" w:hAnsi="Times New Roman"/>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255" w:type="pct"/>
                  <w:vMerge w:val="continue"/>
                  <w:tcBorders>
                    <w:tl2br w:val="nil"/>
                    <w:tr2bl w:val="nil"/>
                  </w:tcBorders>
                  <w:vAlign w:val="center"/>
                </w:tcPr>
                <w:p>
                  <w:pPr>
                    <w:shd w:val="clear"/>
                    <w:jc w:val="center"/>
                    <w:rPr>
                      <w:color w:val="auto"/>
                      <w:szCs w:val="21"/>
                    </w:rPr>
                  </w:pPr>
                </w:p>
              </w:tc>
              <w:tc>
                <w:tcPr>
                  <w:tcW w:w="533" w:type="pct"/>
                  <w:vMerge w:val="continue"/>
                  <w:tcBorders>
                    <w:tl2br w:val="nil"/>
                    <w:tr2bl w:val="nil"/>
                  </w:tcBorders>
                  <w:vAlign w:val="center"/>
                </w:tcPr>
                <w:p>
                  <w:pPr>
                    <w:shd w:val="clear"/>
                    <w:jc w:val="center"/>
                    <w:rPr>
                      <w:color w:val="auto"/>
                      <w:szCs w:val="21"/>
                    </w:rPr>
                  </w:pPr>
                </w:p>
              </w:tc>
              <w:tc>
                <w:tcPr>
                  <w:tcW w:w="630" w:type="pct"/>
                  <w:vMerge w:val="continue"/>
                  <w:tcBorders>
                    <w:tl2br w:val="nil"/>
                    <w:tr2bl w:val="nil"/>
                  </w:tcBorders>
                  <w:vAlign w:val="center"/>
                </w:tcPr>
                <w:p>
                  <w:pPr>
                    <w:shd w:val="clear"/>
                    <w:jc w:val="center"/>
                    <w:rPr>
                      <w:color w:val="auto"/>
                      <w:szCs w:val="21"/>
                    </w:rPr>
                  </w:pPr>
                </w:p>
              </w:tc>
              <w:tc>
                <w:tcPr>
                  <w:tcW w:w="563" w:type="pct"/>
                  <w:vMerge w:val="continue"/>
                  <w:tcBorders>
                    <w:tl2br w:val="nil"/>
                    <w:tr2bl w:val="nil"/>
                  </w:tcBorders>
                  <w:vAlign w:val="center"/>
                </w:tcPr>
                <w:p>
                  <w:pPr>
                    <w:shd w:val="clear"/>
                    <w:jc w:val="center"/>
                    <w:rPr>
                      <w:color w:val="auto"/>
                      <w:szCs w:val="21"/>
                    </w:rPr>
                  </w:pPr>
                </w:p>
              </w:tc>
              <w:tc>
                <w:tcPr>
                  <w:tcW w:w="399" w:type="pct"/>
                  <w:vMerge w:val="continue"/>
                  <w:tcBorders>
                    <w:tl2br w:val="nil"/>
                    <w:tr2bl w:val="nil"/>
                  </w:tcBorders>
                  <w:vAlign w:val="center"/>
                </w:tcPr>
                <w:p>
                  <w:pPr>
                    <w:shd w:val="clear"/>
                    <w:jc w:val="center"/>
                    <w:rPr>
                      <w:color w:val="auto"/>
                      <w:szCs w:val="21"/>
                    </w:rPr>
                  </w:pPr>
                </w:p>
              </w:tc>
              <w:tc>
                <w:tcPr>
                  <w:tcW w:w="391" w:type="pct"/>
                  <w:vMerge w:val="continue"/>
                  <w:tcBorders>
                    <w:tl2br w:val="nil"/>
                    <w:tr2bl w:val="nil"/>
                  </w:tcBorders>
                  <w:vAlign w:val="center"/>
                </w:tcPr>
                <w:p>
                  <w:pPr>
                    <w:shd w:val="clear"/>
                    <w:jc w:val="center"/>
                    <w:rPr>
                      <w:color w:val="auto"/>
                      <w:szCs w:val="21"/>
                    </w:rPr>
                  </w:pPr>
                </w:p>
              </w:tc>
              <w:tc>
                <w:tcPr>
                  <w:tcW w:w="588" w:type="pct"/>
                  <w:vMerge w:val="continue"/>
                  <w:tcBorders>
                    <w:tl2br w:val="nil"/>
                    <w:tr2bl w:val="nil"/>
                  </w:tcBorders>
                  <w:vAlign w:val="center"/>
                </w:tcPr>
                <w:p>
                  <w:pPr>
                    <w:shd w:val="clear"/>
                    <w:jc w:val="center"/>
                    <w:rPr>
                      <w:color w:val="auto"/>
                      <w:szCs w:val="21"/>
                    </w:rPr>
                  </w:pPr>
                </w:p>
              </w:tc>
              <w:tc>
                <w:tcPr>
                  <w:tcW w:w="277" w:type="pct"/>
                  <w:vMerge w:val="continue"/>
                  <w:tcBorders>
                    <w:tl2br w:val="nil"/>
                    <w:tr2bl w:val="nil"/>
                  </w:tcBorders>
                  <w:vAlign w:val="center"/>
                </w:tcPr>
                <w:p>
                  <w:pPr>
                    <w:shd w:val="clear"/>
                    <w:rPr>
                      <w:color w:val="auto"/>
                      <w:szCs w:val="21"/>
                    </w:rPr>
                  </w:pPr>
                </w:p>
              </w:tc>
              <w:tc>
                <w:tcPr>
                  <w:tcW w:w="257" w:type="pct"/>
                  <w:vMerge w:val="continue"/>
                  <w:tcBorders>
                    <w:tl2br w:val="nil"/>
                    <w:tr2bl w:val="nil"/>
                  </w:tcBorders>
                  <w:vAlign w:val="center"/>
                </w:tcPr>
                <w:p>
                  <w:pPr>
                    <w:shd w:val="clear"/>
                    <w:jc w:val="center"/>
                    <w:rPr>
                      <w:bCs/>
                      <w:color w:val="auto"/>
                    </w:rPr>
                  </w:pPr>
                </w:p>
              </w:tc>
              <w:tc>
                <w:tcPr>
                  <w:tcW w:w="491" w:type="pct"/>
                  <w:tcBorders>
                    <w:tl2br w:val="nil"/>
                    <w:tr2bl w:val="nil"/>
                  </w:tcBorders>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color w:val="auto"/>
                      <w:szCs w:val="21"/>
                    </w:rPr>
                    <w:t>NH</w:t>
                  </w:r>
                  <w:r>
                    <w:rPr>
                      <w:color w:val="auto"/>
                      <w:szCs w:val="21"/>
                      <w:vertAlign w:val="subscript"/>
                    </w:rPr>
                    <w:t>3</w:t>
                  </w:r>
                  <w:r>
                    <w:rPr>
                      <w:color w:val="auto"/>
                      <w:szCs w:val="21"/>
                    </w:rPr>
                    <w:t>-N</w:t>
                  </w:r>
                </w:p>
              </w:tc>
              <w:tc>
                <w:tcPr>
                  <w:tcW w:w="612" w:type="pct"/>
                  <w:tcBorders>
                    <w:tl2br w:val="nil"/>
                    <w:tr2bl w:val="nil"/>
                  </w:tcBorders>
                  <w:vAlign w:val="center"/>
                </w:tcPr>
                <w:p>
                  <w:pPr>
                    <w:pStyle w:val="23"/>
                    <w:shd w:val="clear"/>
                    <w:spacing w:before="0" w:beforeAutospacing="0" w:after="0" w:afterAutospacing="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olor w:val="auto"/>
                      <w:sz w:val="21"/>
                      <w:szCs w:val="21"/>
                      <w:lang w:val="en-US" w:eastAsia="zh-CN"/>
                    </w:rPr>
                    <w:t>5</w:t>
                  </w:r>
                  <w:r>
                    <w:rPr>
                      <w:rFonts w:hint="eastAsia" w:ascii="Times New Roman" w:hAnsi="Times New Roman"/>
                      <w:color w:val="auto"/>
                      <w:sz w:val="21"/>
                      <w:szCs w:val="21"/>
                    </w:rPr>
                    <w:t>（</w:t>
                  </w:r>
                  <w:r>
                    <w:rPr>
                      <w:rFonts w:hint="eastAsia" w:ascii="Times New Roman" w:hAnsi="Times New Roman"/>
                      <w:color w:val="auto"/>
                      <w:sz w:val="21"/>
                      <w:szCs w:val="21"/>
                      <w:lang w:val="en-US" w:eastAsia="zh-CN"/>
                    </w:rPr>
                    <w:t>8</w:t>
                  </w:r>
                  <w:r>
                    <w:rPr>
                      <w:rFonts w:hint="eastAsia" w:ascii="Times New Roman" w:hAnsi="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255" w:type="pct"/>
                  <w:vMerge w:val="continue"/>
                  <w:tcBorders>
                    <w:tl2br w:val="nil"/>
                    <w:tr2bl w:val="nil"/>
                  </w:tcBorders>
                  <w:vAlign w:val="center"/>
                </w:tcPr>
                <w:p>
                  <w:pPr>
                    <w:shd w:val="clear"/>
                    <w:jc w:val="center"/>
                    <w:rPr>
                      <w:color w:val="auto"/>
                      <w:szCs w:val="21"/>
                    </w:rPr>
                  </w:pPr>
                </w:p>
              </w:tc>
              <w:tc>
                <w:tcPr>
                  <w:tcW w:w="533" w:type="pct"/>
                  <w:vMerge w:val="continue"/>
                  <w:tcBorders>
                    <w:tl2br w:val="nil"/>
                    <w:tr2bl w:val="nil"/>
                  </w:tcBorders>
                  <w:vAlign w:val="center"/>
                </w:tcPr>
                <w:p>
                  <w:pPr>
                    <w:shd w:val="clear"/>
                    <w:jc w:val="center"/>
                    <w:rPr>
                      <w:color w:val="auto"/>
                      <w:szCs w:val="21"/>
                    </w:rPr>
                  </w:pPr>
                </w:p>
              </w:tc>
              <w:tc>
                <w:tcPr>
                  <w:tcW w:w="630" w:type="pct"/>
                  <w:vMerge w:val="continue"/>
                  <w:tcBorders>
                    <w:tl2br w:val="nil"/>
                    <w:tr2bl w:val="nil"/>
                  </w:tcBorders>
                  <w:vAlign w:val="center"/>
                </w:tcPr>
                <w:p>
                  <w:pPr>
                    <w:shd w:val="clear"/>
                    <w:jc w:val="center"/>
                    <w:rPr>
                      <w:color w:val="auto"/>
                      <w:szCs w:val="21"/>
                    </w:rPr>
                  </w:pPr>
                </w:p>
              </w:tc>
              <w:tc>
                <w:tcPr>
                  <w:tcW w:w="563" w:type="pct"/>
                  <w:vMerge w:val="continue"/>
                  <w:tcBorders>
                    <w:tl2br w:val="nil"/>
                    <w:tr2bl w:val="nil"/>
                  </w:tcBorders>
                  <w:vAlign w:val="center"/>
                </w:tcPr>
                <w:p>
                  <w:pPr>
                    <w:shd w:val="clear"/>
                    <w:jc w:val="center"/>
                    <w:rPr>
                      <w:color w:val="auto"/>
                      <w:szCs w:val="21"/>
                    </w:rPr>
                  </w:pPr>
                </w:p>
              </w:tc>
              <w:tc>
                <w:tcPr>
                  <w:tcW w:w="399" w:type="pct"/>
                  <w:vMerge w:val="continue"/>
                  <w:tcBorders>
                    <w:tl2br w:val="nil"/>
                    <w:tr2bl w:val="nil"/>
                  </w:tcBorders>
                  <w:vAlign w:val="center"/>
                </w:tcPr>
                <w:p>
                  <w:pPr>
                    <w:shd w:val="clear"/>
                    <w:jc w:val="center"/>
                    <w:rPr>
                      <w:color w:val="auto"/>
                      <w:szCs w:val="21"/>
                    </w:rPr>
                  </w:pPr>
                </w:p>
              </w:tc>
              <w:tc>
                <w:tcPr>
                  <w:tcW w:w="391" w:type="pct"/>
                  <w:vMerge w:val="continue"/>
                  <w:tcBorders>
                    <w:tl2br w:val="nil"/>
                    <w:tr2bl w:val="nil"/>
                  </w:tcBorders>
                  <w:vAlign w:val="center"/>
                </w:tcPr>
                <w:p>
                  <w:pPr>
                    <w:shd w:val="clear"/>
                    <w:jc w:val="center"/>
                    <w:rPr>
                      <w:color w:val="auto"/>
                      <w:szCs w:val="21"/>
                    </w:rPr>
                  </w:pPr>
                </w:p>
              </w:tc>
              <w:tc>
                <w:tcPr>
                  <w:tcW w:w="588" w:type="pct"/>
                  <w:vMerge w:val="continue"/>
                  <w:tcBorders>
                    <w:tl2br w:val="nil"/>
                    <w:tr2bl w:val="nil"/>
                  </w:tcBorders>
                  <w:vAlign w:val="center"/>
                </w:tcPr>
                <w:p>
                  <w:pPr>
                    <w:shd w:val="clear"/>
                    <w:jc w:val="center"/>
                    <w:rPr>
                      <w:color w:val="auto"/>
                      <w:szCs w:val="21"/>
                    </w:rPr>
                  </w:pPr>
                </w:p>
              </w:tc>
              <w:tc>
                <w:tcPr>
                  <w:tcW w:w="277" w:type="pct"/>
                  <w:vMerge w:val="continue"/>
                  <w:tcBorders>
                    <w:tl2br w:val="nil"/>
                    <w:tr2bl w:val="nil"/>
                  </w:tcBorders>
                  <w:vAlign w:val="center"/>
                </w:tcPr>
                <w:p>
                  <w:pPr>
                    <w:shd w:val="clear"/>
                    <w:jc w:val="center"/>
                    <w:rPr>
                      <w:color w:val="auto"/>
                      <w:szCs w:val="21"/>
                    </w:rPr>
                  </w:pPr>
                </w:p>
              </w:tc>
              <w:tc>
                <w:tcPr>
                  <w:tcW w:w="257" w:type="pct"/>
                  <w:vMerge w:val="continue"/>
                  <w:tcBorders>
                    <w:tl2br w:val="nil"/>
                    <w:tr2bl w:val="nil"/>
                  </w:tcBorders>
                  <w:vAlign w:val="center"/>
                </w:tcPr>
                <w:p>
                  <w:pPr>
                    <w:shd w:val="clear"/>
                    <w:jc w:val="center"/>
                    <w:rPr>
                      <w:color w:val="auto"/>
                      <w:szCs w:val="21"/>
                    </w:rPr>
                  </w:pPr>
                </w:p>
              </w:tc>
              <w:tc>
                <w:tcPr>
                  <w:tcW w:w="491" w:type="pct"/>
                  <w:tcBorders>
                    <w:tl2br w:val="nil"/>
                    <w:tr2bl w:val="nil"/>
                  </w:tcBorders>
                  <w:vAlign w:val="center"/>
                </w:tcPr>
                <w:p>
                  <w:pPr>
                    <w:shd w:val="clear"/>
                    <w:jc w:val="center"/>
                    <w:rPr>
                      <w:rFonts w:hint="eastAsia" w:eastAsia="宋体"/>
                      <w:color w:val="auto"/>
                      <w:szCs w:val="21"/>
                      <w:lang w:val="en-US" w:eastAsia="zh-CN"/>
                    </w:rPr>
                  </w:pPr>
                  <w:r>
                    <w:rPr>
                      <w:rFonts w:hint="eastAsia"/>
                      <w:color w:val="auto"/>
                      <w:szCs w:val="21"/>
                      <w:lang w:val="en-US" w:eastAsia="zh-CN"/>
                    </w:rPr>
                    <w:t>TDS</w:t>
                  </w:r>
                </w:p>
              </w:tc>
              <w:tc>
                <w:tcPr>
                  <w:tcW w:w="612" w:type="pct"/>
                  <w:tcBorders>
                    <w:tl2br w:val="nil"/>
                    <w:tr2bl w:val="nil"/>
                  </w:tcBorders>
                  <w:vAlign w:val="center"/>
                </w:tcPr>
                <w:p>
                  <w:pPr>
                    <w:pStyle w:val="23"/>
                    <w:shd w:val="clear"/>
                    <w:spacing w:before="0" w:beforeAutospacing="0" w:after="0" w:afterAutospacing="0"/>
                    <w:jc w:val="center"/>
                    <w:rPr>
                      <w:rFonts w:hint="eastAsia"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w:t>
                  </w:r>
                </w:p>
              </w:tc>
            </w:tr>
          </w:tbl>
          <w:p>
            <w:pPr>
              <w:shd w:val="clear"/>
              <w:adjustRightInd w:val="0"/>
              <w:snapToGrid w:val="0"/>
              <w:spacing w:line="360" w:lineRule="auto"/>
              <w:ind w:firstLine="480" w:firstLineChars="200"/>
              <w:rPr>
                <w:b/>
                <w:bCs/>
                <w:color w:val="0000FF"/>
                <w:sz w:val="24"/>
              </w:rPr>
            </w:pPr>
            <w:r>
              <w:rPr>
                <w:rFonts w:hint="eastAsia"/>
                <w:color w:val="0000FF"/>
                <w:sz w:val="24"/>
              </w:rPr>
              <w:t>2.</w:t>
            </w:r>
            <w:r>
              <w:rPr>
                <w:color w:val="0000FF"/>
                <w:kern w:val="0"/>
                <w:sz w:val="24"/>
              </w:rPr>
              <w:t>本项目排水进入</w:t>
            </w:r>
            <w:r>
              <w:rPr>
                <w:rFonts w:hint="eastAsia"/>
                <w:color w:val="0000FF"/>
                <w:sz w:val="24"/>
              </w:rPr>
              <w:t>海伦市污水处理厂可行性分析</w:t>
            </w:r>
          </w:p>
          <w:p>
            <w:pPr>
              <w:pStyle w:val="36"/>
              <w:shd w:val="clear"/>
              <w:spacing w:line="360" w:lineRule="auto"/>
              <w:ind w:firstLine="480" w:firstLineChars="200"/>
              <w:jc w:val="both"/>
              <w:rPr>
                <w:rFonts w:ascii="Times New Roman" w:hAnsi="Times New Roman" w:eastAsia="宋体" w:cs="Times New Roman"/>
                <w:bCs/>
                <w:color w:val="0000FF"/>
              </w:rPr>
            </w:pPr>
            <w:r>
              <w:rPr>
                <w:rFonts w:hint="eastAsia" w:ascii="Times New Roman" w:hAnsi="Times New Roman" w:eastAsia="宋体" w:cs="Times New Roman"/>
                <w:color w:val="0000FF"/>
              </w:rPr>
              <w:t>海伦市污水处理厂位于黑龙江省海伦市北郊工业园区路西，设计处理能力为</w:t>
            </w:r>
            <w:r>
              <w:rPr>
                <w:rFonts w:hint="eastAsia" w:ascii="Times New Roman" w:hAnsi="Times New Roman" w:eastAsia="宋体" w:cs="Times New Roman"/>
                <w:color w:val="0000FF"/>
                <w:lang w:val="en-US" w:eastAsia="zh-CN"/>
              </w:rPr>
              <w:t>4</w:t>
            </w:r>
            <w:r>
              <w:rPr>
                <w:rFonts w:hint="eastAsia" w:ascii="Times New Roman" w:hAnsi="Times New Roman" w:eastAsia="宋体" w:cs="Times New Roman"/>
                <w:color w:val="0000FF"/>
              </w:rPr>
              <w:t>万m</w:t>
            </w:r>
            <w:r>
              <w:rPr>
                <w:rFonts w:hint="eastAsia" w:ascii="Times New Roman" w:hAnsi="Times New Roman" w:eastAsia="宋体" w:cs="Times New Roman"/>
                <w:color w:val="0000FF"/>
                <w:vertAlign w:val="superscript"/>
              </w:rPr>
              <w:t>3</w:t>
            </w:r>
            <w:r>
              <w:rPr>
                <w:rFonts w:hint="eastAsia" w:ascii="Times New Roman" w:hAnsi="Times New Roman" w:eastAsia="宋体" w:cs="Times New Roman"/>
                <w:color w:val="0000FF"/>
              </w:rPr>
              <w:t>/d</w:t>
            </w:r>
            <w:r>
              <w:rPr>
                <w:rFonts w:hint="eastAsia" w:ascii="Times New Roman" w:hAnsi="Times New Roman" w:eastAsia="宋体" w:cs="Times New Roman"/>
                <w:color w:val="0000FF"/>
                <w:lang w:eastAsia="zh-CN"/>
              </w:rPr>
              <w:t>，现状处理能量32000m</w:t>
            </w:r>
            <w:r>
              <w:rPr>
                <w:rFonts w:hint="eastAsia" w:ascii="Times New Roman" w:hAnsi="Times New Roman" w:eastAsia="宋体" w:cs="Times New Roman"/>
                <w:color w:val="0000FF"/>
                <w:vertAlign w:val="superscript"/>
                <w:lang w:eastAsia="zh-CN"/>
              </w:rPr>
              <w:t>3</w:t>
            </w:r>
            <w:r>
              <w:rPr>
                <w:rFonts w:hint="eastAsia" w:ascii="Times New Roman" w:hAnsi="Times New Roman" w:eastAsia="宋体" w:cs="Times New Roman"/>
                <w:color w:val="0000FF"/>
                <w:lang w:eastAsia="zh-CN"/>
              </w:rPr>
              <w:t>/d</w:t>
            </w:r>
            <w:r>
              <w:rPr>
                <w:rFonts w:hint="eastAsia" w:ascii="Times New Roman" w:hAnsi="Times New Roman" w:eastAsia="宋体" w:cs="Times New Roman"/>
                <w:color w:val="0000FF"/>
              </w:rPr>
              <w:t>。海伦市污水处理厂于2012年6月正式投入运行，采用</w:t>
            </w:r>
            <w:r>
              <w:rPr>
                <w:rFonts w:hint="eastAsia" w:ascii="Times New Roman" w:hAnsi="Times New Roman" w:eastAsia="宋体" w:cs="Times New Roman"/>
                <w:color w:val="0000FF"/>
                <w:lang w:eastAsia="zh-CN"/>
              </w:rPr>
              <w:t>A2/O</w:t>
            </w:r>
            <w:r>
              <w:rPr>
                <w:rFonts w:hint="eastAsia" w:ascii="Times New Roman" w:hAnsi="Times New Roman" w:eastAsia="宋体" w:cs="Times New Roman"/>
                <w:color w:val="0000FF"/>
              </w:rPr>
              <w:t>处理工艺，经处理后污水满足《城镇污水处理厂污染物排放标准》（GB18918-2002）</w:t>
            </w:r>
            <w:r>
              <w:rPr>
                <w:rFonts w:hint="eastAsia" w:ascii="Times New Roman" w:hAnsi="Times New Roman" w:eastAsia="宋体" w:cs="Times New Roman"/>
                <w:color w:val="0000FF"/>
                <w:lang w:eastAsia="zh-CN"/>
              </w:rPr>
              <w:t>一级A</w:t>
            </w:r>
            <w:r>
              <w:rPr>
                <w:rFonts w:hint="eastAsia" w:ascii="Times New Roman" w:hAnsi="Times New Roman" w:eastAsia="宋体" w:cs="Times New Roman"/>
                <w:color w:val="0000FF"/>
              </w:rPr>
              <w:t>标准后排入扎音河。</w:t>
            </w:r>
            <w:r>
              <w:rPr>
                <w:rFonts w:hint="eastAsia" w:ascii="Times New Roman" w:hAnsi="Times New Roman" w:eastAsia="宋体" w:cs="Times New Roman"/>
                <w:color w:val="0000FF"/>
                <w:lang w:val="en-US" w:eastAsia="zh-CN"/>
              </w:rPr>
              <w:t>污水处理厂进水水质为COD350mg/L、BOD</w:t>
            </w:r>
            <w:r>
              <w:rPr>
                <w:rFonts w:hint="eastAsia" w:ascii="Times New Roman" w:hAnsi="Times New Roman" w:eastAsia="宋体" w:cs="Times New Roman"/>
                <w:color w:val="0000FF"/>
                <w:vertAlign w:val="subscript"/>
                <w:lang w:val="en-US" w:eastAsia="zh-CN"/>
              </w:rPr>
              <w:t>5</w:t>
            </w:r>
            <w:r>
              <w:rPr>
                <w:rFonts w:hint="eastAsia" w:ascii="Times New Roman" w:hAnsi="Times New Roman" w:eastAsia="宋体" w:cs="Times New Roman"/>
                <w:color w:val="0000FF"/>
                <w:lang w:val="en-US" w:eastAsia="zh-CN"/>
              </w:rPr>
              <w:t>230mg/L、SS250mg/L、氨氮55mg/L、总磷3mg/L、总氮35mg/L，</w:t>
            </w:r>
            <w:r>
              <w:rPr>
                <w:rFonts w:hint="eastAsia" w:ascii="Times New Roman" w:hAnsi="Times New Roman" w:eastAsia="宋体" w:cs="Times New Roman"/>
                <w:color w:val="0000FF"/>
              </w:rPr>
              <w:t>本项目污水日排放量为</w:t>
            </w:r>
            <w:r>
              <w:rPr>
                <w:rFonts w:hint="eastAsia" w:ascii="Times New Roman" w:hAnsi="Times New Roman" w:eastAsia="宋体" w:cs="Times New Roman"/>
                <w:color w:val="0000FF"/>
                <w:lang w:val="en-US" w:eastAsia="zh-CN"/>
              </w:rPr>
              <w:t>41.197</w:t>
            </w:r>
            <w:r>
              <w:rPr>
                <w:rFonts w:hint="eastAsia" w:ascii="Times New Roman" w:hAnsi="Times New Roman" w:eastAsia="宋体" w:cs="Times New Roman"/>
                <w:color w:val="0000FF"/>
              </w:rPr>
              <w:t>m</w:t>
            </w:r>
            <w:r>
              <w:rPr>
                <w:rFonts w:hint="eastAsia" w:ascii="Times New Roman" w:hAnsi="Times New Roman" w:eastAsia="宋体" w:cs="Times New Roman"/>
                <w:color w:val="0000FF"/>
                <w:vertAlign w:val="superscript"/>
              </w:rPr>
              <w:t>3</w:t>
            </w:r>
            <w:r>
              <w:rPr>
                <w:rFonts w:hint="eastAsia" w:ascii="Times New Roman" w:hAnsi="Times New Roman" w:eastAsia="宋体" w:cs="Times New Roman"/>
                <w:color w:val="0000FF"/>
              </w:rPr>
              <w:t>，远小于污水处理厂日处理规模，</w:t>
            </w:r>
            <w:r>
              <w:rPr>
                <w:rFonts w:hint="eastAsia" w:ascii="Times New Roman" w:hAnsi="Times New Roman" w:eastAsia="宋体" w:cs="Times New Roman"/>
                <w:color w:val="0000FF"/>
                <w:lang w:val="en-US" w:eastAsia="zh-CN"/>
              </w:rPr>
              <w:t>废水浓度及排放量满足污水处理厂要求，</w:t>
            </w:r>
            <w:r>
              <w:rPr>
                <w:rFonts w:hint="eastAsia" w:ascii="Times New Roman" w:hAnsi="Times New Roman" w:eastAsia="宋体" w:cs="Times New Roman"/>
                <w:bCs/>
                <w:color w:val="0000FF"/>
              </w:rPr>
              <w:t>因此，项目废水排入海伦市污水处理厂可行。</w:t>
            </w:r>
          </w:p>
          <w:p>
            <w:pPr>
              <w:pStyle w:val="36"/>
              <w:shd w:val="clear"/>
              <w:spacing w:line="360" w:lineRule="auto"/>
              <w:ind w:firstLine="480" w:firstLineChars="200"/>
              <w:jc w:val="both"/>
              <w:rPr>
                <w:rFonts w:ascii="Times New Roman" w:hAnsi="Times New Roman" w:eastAsia="宋体" w:cs="Times New Roman"/>
                <w:color w:val="auto"/>
              </w:rPr>
            </w:pPr>
            <w:r>
              <w:rPr>
                <w:rFonts w:hint="eastAsia" w:ascii="Times New Roman" w:hAnsi="Times New Roman" w:eastAsia="宋体" w:cs="Times New Roman"/>
                <w:color w:val="auto"/>
              </w:rPr>
              <w:t>3.监测计划</w:t>
            </w:r>
          </w:p>
          <w:p>
            <w:pPr>
              <w:shd w:val="clear"/>
              <w:adjustRightInd w:val="0"/>
              <w:snapToGrid w:val="0"/>
              <w:spacing w:line="360" w:lineRule="auto"/>
              <w:ind w:firstLine="480" w:firstLineChars="200"/>
              <w:rPr>
                <w:color w:val="auto"/>
                <w:sz w:val="24"/>
              </w:rPr>
            </w:pPr>
            <w:r>
              <w:rPr>
                <w:rFonts w:hint="eastAsia"/>
                <w:color w:val="auto"/>
                <w:sz w:val="24"/>
              </w:rPr>
              <w:t>根据《排污单位自行监测技术指南 总则》（HJ819-2017），并结合本项目的实际排污状况制定废水监测计划。</w:t>
            </w:r>
          </w:p>
          <w:p>
            <w:pPr>
              <w:shd w:val="clear"/>
              <w:adjustRightInd w:val="0"/>
              <w:snapToGrid w:val="0"/>
              <w:spacing w:line="240" w:lineRule="auto"/>
              <w:jc w:val="center"/>
              <w:rPr>
                <w:rFonts w:hint="eastAsia" w:ascii="Times New Roman" w:hAnsi="Times New Roman" w:eastAsia="宋体" w:cs="Times New Roman"/>
                <w:b/>
                <w:bCs/>
                <w:color w:val="auto"/>
                <w:kern w:val="0"/>
                <w:sz w:val="24"/>
                <w:szCs w:val="24"/>
                <w:lang w:val="en-US" w:eastAsia="zh-CN" w:bidi="ar-SA"/>
              </w:rPr>
            </w:pPr>
            <w:r>
              <w:rPr>
                <w:rFonts w:hint="eastAsia" w:ascii="Times New Roman" w:hAnsi="Times New Roman" w:eastAsia="宋体" w:cs="Times New Roman"/>
                <w:b/>
                <w:bCs/>
                <w:color w:val="auto"/>
                <w:kern w:val="0"/>
                <w:sz w:val="24"/>
                <w:szCs w:val="24"/>
                <w:lang w:val="en-US" w:eastAsia="zh-CN" w:bidi="ar-SA"/>
              </w:rPr>
              <w:t>表4-4  水环境监测要求</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1191"/>
              <w:gridCol w:w="1180"/>
              <w:gridCol w:w="1920"/>
              <w:gridCol w:w="1090"/>
              <w:gridCol w:w="24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3" w:type="pct"/>
                  <w:tcBorders>
                    <w:tl2br w:val="nil"/>
                    <w:tr2bl w:val="nil"/>
                  </w:tcBorders>
                  <w:vAlign w:val="center"/>
                </w:tcPr>
                <w:p>
                  <w:pPr>
                    <w:pStyle w:val="67"/>
                    <w:shd w:val="clear"/>
                    <w:rPr>
                      <w:bCs/>
                      <w:color w:val="auto"/>
                      <w:szCs w:val="21"/>
                      <w:lang w:val="en-US"/>
                    </w:rPr>
                  </w:pPr>
                  <w:r>
                    <w:rPr>
                      <w:bCs/>
                      <w:color w:val="auto"/>
                      <w:szCs w:val="21"/>
                      <w:lang w:val="en-US"/>
                    </w:rPr>
                    <w:t>序号</w:t>
                  </w:r>
                </w:p>
              </w:tc>
              <w:tc>
                <w:tcPr>
                  <w:tcW w:w="699" w:type="pct"/>
                  <w:tcBorders>
                    <w:tl2br w:val="nil"/>
                    <w:tr2bl w:val="nil"/>
                  </w:tcBorders>
                  <w:vAlign w:val="center"/>
                </w:tcPr>
                <w:p>
                  <w:pPr>
                    <w:pStyle w:val="67"/>
                    <w:shd w:val="clear"/>
                    <w:rPr>
                      <w:bCs/>
                      <w:color w:val="auto"/>
                      <w:szCs w:val="21"/>
                      <w:lang w:val="en-US"/>
                    </w:rPr>
                  </w:pPr>
                  <w:r>
                    <w:rPr>
                      <w:bCs/>
                      <w:color w:val="auto"/>
                      <w:szCs w:val="21"/>
                      <w:lang w:val="en-US"/>
                    </w:rPr>
                    <w:t>污染源名称</w:t>
                  </w:r>
                </w:p>
              </w:tc>
              <w:tc>
                <w:tcPr>
                  <w:tcW w:w="693" w:type="pct"/>
                  <w:tcBorders>
                    <w:tl2br w:val="nil"/>
                    <w:tr2bl w:val="nil"/>
                  </w:tcBorders>
                  <w:vAlign w:val="center"/>
                </w:tcPr>
                <w:p>
                  <w:pPr>
                    <w:pStyle w:val="67"/>
                    <w:shd w:val="clear"/>
                    <w:rPr>
                      <w:bCs/>
                      <w:color w:val="auto"/>
                      <w:szCs w:val="21"/>
                      <w:lang w:val="en-US"/>
                    </w:rPr>
                  </w:pPr>
                  <w:r>
                    <w:rPr>
                      <w:bCs/>
                      <w:color w:val="auto"/>
                      <w:szCs w:val="21"/>
                      <w:lang w:val="en-US"/>
                    </w:rPr>
                    <w:t>监测位置</w:t>
                  </w:r>
                </w:p>
              </w:tc>
              <w:tc>
                <w:tcPr>
                  <w:tcW w:w="1127" w:type="pct"/>
                  <w:tcBorders>
                    <w:tl2br w:val="nil"/>
                    <w:tr2bl w:val="nil"/>
                  </w:tcBorders>
                  <w:vAlign w:val="center"/>
                </w:tcPr>
                <w:p>
                  <w:pPr>
                    <w:pStyle w:val="67"/>
                    <w:shd w:val="clear"/>
                    <w:rPr>
                      <w:bCs/>
                      <w:color w:val="auto"/>
                      <w:szCs w:val="21"/>
                      <w:lang w:val="en-US"/>
                    </w:rPr>
                  </w:pPr>
                  <w:r>
                    <w:rPr>
                      <w:bCs/>
                      <w:color w:val="auto"/>
                      <w:szCs w:val="21"/>
                      <w:lang w:val="en-US"/>
                    </w:rPr>
                    <w:t>监测项目</w:t>
                  </w:r>
                </w:p>
              </w:tc>
              <w:tc>
                <w:tcPr>
                  <w:tcW w:w="640" w:type="pct"/>
                  <w:tcBorders>
                    <w:tl2br w:val="nil"/>
                    <w:tr2bl w:val="nil"/>
                  </w:tcBorders>
                  <w:vAlign w:val="center"/>
                </w:tcPr>
                <w:p>
                  <w:pPr>
                    <w:pStyle w:val="67"/>
                    <w:shd w:val="clear"/>
                    <w:rPr>
                      <w:bCs/>
                      <w:color w:val="auto"/>
                      <w:szCs w:val="21"/>
                      <w:lang w:val="en-US"/>
                    </w:rPr>
                  </w:pPr>
                  <w:r>
                    <w:rPr>
                      <w:bCs/>
                      <w:color w:val="auto"/>
                      <w:szCs w:val="21"/>
                      <w:lang w:val="en-US"/>
                    </w:rPr>
                    <w:t>监测频次</w:t>
                  </w:r>
                </w:p>
              </w:tc>
              <w:tc>
                <w:tcPr>
                  <w:tcW w:w="1458" w:type="pct"/>
                  <w:tcBorders>
                    <w:tl2br w:val="nil"/>
                    <w:tr2bl w:val="nil"/>
                  </w:tcBorders>
                  <w:vAlign w:val="center"/>
                </w:tcPr>
                <w:p>
                  <w:pPr>
                    <w:pStyle w:val="67"/>
                    <w:shd w:val="clear"/>
                    <w:rPr>
                      <w:bCs/>
                      <w:color w:val="auto"/>
                      <w:szCs w:val="21"/>
                      <w:lang w:val="en-US"/>
                    </w:rPr>
                  </w:pPr>
                  <w:r>
                    <w:rPr>
                      <w:bCs/>
                      <w:color w:val="auto"/>
                      <w:szCs w:val="21"/>
                      <w:lang w:val="en-US"/>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3" w:type="pct"/>
                  <w:tcBorders>
                    <w:tl2br w:val="nil"/>
                    <w:tr2bl w:val="nil"/>
                  </w:tcBorders>
                  <w:vAlign w:val="center"/>
                </w:tcPr>
                <w:p>
                  <w:pPr>
                    <w:pStyle w:val="67"/>
                    <w:shd w:val="clear"/>
                    <w:rPr>
                      <w:color w:val="auto"/>
                      <w:szCs w:val="21"/>
                      <w:lang w:val="en-US"/>
                    </w:rPr>
                  </w:pPr>
                  <w:r>
                    <w:rPr>
                      <w:rFonts w:hint="eastAsia"/>
                      <w:color w:val="auto"/>
                      <w:szCs w:val="21"/>
                      <w:lang w:val="en-US"/>
                    </w:rPr>
                    <w:t>1</w:t>
                  </w:r>
                </w:p>
              </w:tc>
              <w:tc>
                <w:tcPr>
                  <w:tcW w:w="699" w:type="pct"/>
                  <w:tcBorders>
                    <w:tl2br w:val="nil"/>
                    <w:tr2bl w:val="nil"/>
                  </w:tcBorders>
                  <w:vAlign w:val="center"/>
                </w:tcPr>
                <w:p>
                  <w:pPr>
                    <w:shd w:val="clear"/>
                    <w:jc w:val="center"/>
                    <w:rPr>
                      <w:color w:val="auto"/>
                      <w:szCs w:val="21"/>
                    </w:rPr>
                  </w:pPr>
                  <w:r>
                    <w:rPr>
                      <w:rFonts w:hint="eastAsia"/>
                      <w:color w:val="auto"/>
                      <w:szCs w:val="21"/>
                    </w:rPr>
                    <w:t>废水</w:t>
                  </w:r>
                </w:p>
              </w:tc>
              <w:tc>
                <w:tcPr>
                  <w:tcW w:w="693" w:type="pct"/>
                  <w:tcBorders>
                    <w:tl2br w:val="nil"/>
                    <w:tr2bl w:val="nil"/>
                  </w:tcBorders>
                  <w:vAlign w:val="center"/>
                </w:tcPr>
                <w:p>
                  <w:pPr>
                    <w:shd w:val="clear"/>
                    <w:jc w:val="center"/>
                    <w:rPr>
                      <w:color w:val="auto"/>
                      <w:szCs w:val="21"/>
                    </w:rPr>
                  </w:pPr>
                  <w:r>
                    <w:rPr>
                      <w:rFonts w:hint="eastAsia"/>
                      <w:color w:val="auto"/>
                      <w:szCs w:val="21"/>
                    </w:rPr>
                    <w:t>总排口</w:t>
                  </w:r>
                </w:p>
              </w:tc>
              <w:tc>
                <w:tcPr>
                  <w:tcW w:w="1127" w:type="pct"/>
                  <w:tcBorders>
                    <w:tl2br w:val="nil"/>
                    <w:tr2bl w:val="nil"/>
                  </w:tcBorders>
                  <w:vAlign w:val="center"/>
                </w:tcPr>
                <w:p>
                  <w:pPr>
                    <w:shd w:val="clear"/>
                    <w:jc w:val="center"/>
                    <w:rPr>
                      <w:rFonts w:hint="eastAsia" w:eastAsia="宋体"/>
                      <w:color w:val="auto"/>
                      <w:szCs w:val="21"/>
                      <w:lang w:eastAsia="zh-CN"/>
                    </w:rPr>
                  </w:pPr>
                  <w:r>
                    <w:rPr>
                      <w:rFonts w:hint="eastAsia"/>
                      <w:color w:val="auto"/>
                      <w:szCs w:val="21"/>
                    </w:rPr>
                    <w:t>COD、SS、</w:t>
                  </w:r>
                  <w:r>
                    <w:rPr>
                      <w:color w:val="auto"/>
                      <w:szCs w:val="21"/>
                    </w:rPr>
                    <w:t>氨氮</w:t>
                  </w:r>
                  <w:r>
                    <w:rPr>
                      <w:rFonts w:hint="eastAsia"/>
                      <w:color w:val="auto"/>
                      <w:szCs w:val="21"/>
                    </w:rPr>
                    <w:t>、总磷、总氮</w:t>
                  </w:r>
                  <w:r>
                    <w:rPr>
                      <w:rFonts w:hint="eastAsia"/>
                      <w:color w:val="auto"/>
                      <w:szCs w:val="21"/>
                      <w:lang w:eastAsia="zh-CN"/>
                    </w:rPr>
                    <w:t>、</w:t>
                  </w:r>
                  <w:r>
                    <w:rPr>
                      <w:rFonts w:hint="default" w:ascii="Times New Roman" w:hAnsi="Times New Roman" w:cs="Times New Roman"/>
                      <w:color w:val="auto"/>
                      <w:szCs w:val="21"/>
                      <w:highlight w:val="none"/>
                      <w:lang w:val="en-US" w:eastAsia="zh-CN"/>
                    </w:rPr>
                    <w:t>BOD</w:t>
                  </w:r>
                  <w:r>
                    <w:rPr>
                      <w:rFonts w:hint="default" w:ascii="Times New Roman" w:hAnsi="Times New Roman" w:cs="Times New Roman"/>
                      <w:color w:val="auto"/>
                      <w:szCs w:val="21"/>
                      <w:highlight w:val="none"/>
                      <w:vertAlign w:val="subscript"/>
                      <w:lang w:val="en-US" w:eastAsia="zh-CN"/>
                    </w:rPr>
                    <w:t>5</w:t>
                  </w:r>
                </w:p>
              </w:tc>
              <w:tc>
                <w:tcPr>
                  <w:tcW w:w="640" w:type="pct"/>
                  <w:tcBorders>
                    <w:tl2br w:val="nil"/>
                    <w:tr2bl w:val="nil"/>
                  </w:tcBorders>
                  <w:vAlign w:val="center"/>
                </w:tcPr>
                <w:p>
                  <w:pPr>
                    <w:shd w:val="clear"/>
                    <w:jc w:val="center"/>
                    <w:rPr>
                      <w:color w:val="auto"/>
                      <w:szCs w:val="21"/>
                    </w:rPr>
                  </w:pPr>
                  <w:r>
                    <w:rPr>
                      <w:color w:val="auto"/>
                      <w:szCs w:val="21"/>
                    </w:rPr>
                    <w:t>1次/</w:t>
                  </w:r>
                  <w:r>
                    <w:rPr>
                      <w:rFonts w:hint="eastAsia"/>
                      <w:color w:val="auto"/>
                      <w:szCs w:val="21"/>
                    </w:rPr>
                    <w:t>半年</w:t>
                  </w:r>
                </w:p>
              </w:tc>
              <w:tc>
                <w:tcPr>
                  <w:tcW w:w="1458" w:type="pct"/>
                  <w:tcBorders>
                    <w:tl2br w:val="nil"/>
                    <w:tr2bl w:val="nil"/>
                  </w:tcBorders>
                  <w:vAlign w:val="center"/>
                </w:tcPr>
                <w:p>
                  <w:pPr>
                    <w:shd w:val="clear"/>
                    <w:jc w:val="center"/>
                    <w:rPr>
                      <w:color w:val="auto"/>
                      <w:szCs w:val="21"/>
                    </w:rPr>
                  </w:pPr>
                  <w:r>
                    <w:rPr>
                      <w:color w:val="auto"/>
                      <w:szCs w:val="21"/>
                    </w:rPr>
                    <w:t>《污水综合排放标准》（GB8978－1996）三级标准</w:t>
                  </w:r>
                  <w:r>
                    <w:rPr>
                      <w:rFonts w:hint="eastAsia"/>
                      <w:color w:val="auto"/>
                      <w:szCs w:val="21"/>
                    </w:rPr>
                    <w:t>要求</w:t>
                  </w:r>
                  <w:r>
                    <w:rPr>
                      <w:rFonts w:hint="eastAsia"/>
                      <w:color w:val="auto"/>
                    </w:rPr>
                    <w:t>及海伦市污水处理厂进水水质标准</w:t>
                  </w:r>
                </w:p>
              </w:tc>
            </w:tr>
          </w:tbl>
          <w:p>
            <w:pPr>
              <w:pStyle w:val="36"/>
              <w:shd w:val="clear"/>
              <w:spacing w:line="360" w:lineRule="auto"/>
              <w:ind w:firstLine="480" w:firstLineChars="200"/>
              <w:jc w:val="both"/>
              <w:rPr>
                <w:rFonts w:ascii="Times New Roman" w:hAnsi="Times New Roman" w:eastAsia="宋体" w:cs="Times New Roman"/>
                <w:color w:val="auto"/>
              </w:rPr>
            </w:pPr>
            <w:r>
              <w:rPr>
                <w:rFonts w:hint="eastAsia" w:ascii="Times New Roman" w:hAnsi="Times New Roman" w:eastAsia="宋体" w:cs="Times New Roman"/>
                <w:color w:val="auto"/>
              </w:rPr>
              <w:t>4.污染物防治措施可行性及达标分析</w:t>
            </w:r>
          </w:p>
          <w:p>
            <w:pPr>
              <w:pStyle w:val="36"/>
              <w:shd w:val="clear"/>
              <w:spacing w:line="360" w:lineRule="auto"/>
              <w:ind w:firstLine="480" w:firstLineChars="200"/>
              <w:jc w:val="both"/>
              <w:rPr>
                <w:rFonts w:ascii="Times New Roman" w:hAnsi="Times New Roman" w:eastAsia="宋体" w:cs="Times New Roman"/>
                <w:color w:val="auto"/>
              </w:rPr>
            </w:pPr>
            <w:r>
              <w:rPr>
                <w:rFonts w:hint="eastAsia" w:ascii="Times New Roman" w:hAnsi="Times New Roman" w:eastAsia="宋体" w:cs="Times New Roman"/>
                <w:color w:val="auto"/>
              </w:rPr>
              <w:t>本项目生活污水排入防渗</w:t>
            </w:r>
            <w:r>
              <w:rPr>
                <w:rFonts w:hint="eastAsia" w:ascii="Times New Roman" w:hAnsi="Times New Roman" w:eastAsia="宋体" w:cs="Times New Roman"/>
                <w:color w:val="auto"/>
                <w:lang w:val="en-US" w:eastAsia="zh-CN"/>
              </w:rPr>
              <w:t>化粪池</w:t>
            </w:r>
            <w:r>
              <w:rPr>
                <w:rFonts w:hint="eastAsia" w:ascii="Times New Roman" w:hAnsi="Times New Roman" w:eastAsia="宋体" w:cs="Times New Roman"/>
                <w:color w:val="auto"/>
              </w:rPr>
              <w:t>，定期清掏。</w:t>
            </w:r>
            <w:r>
              <w:rPr>
                <w:rFonts w:ascii="Times New Roman" w:hAnsi="Times New Roman" w:eastAsia="宋体" w:cs="Times New Roman"/>
                <w:bCs/>
                <w:color w:val="auto"/>
              </w:rPr>
              <w:t>车间地面冲洗废水、</w:t>
            </w:r>
            <w:r>
              <w:rPr>
                <w:rFonts w:hint="eastAsia" w:ascii="Times New Roman" w:hAnsi="Times New Roman" w:eastAsia="宋体" w:cs="Times New Roman"/>
                <w:bCs/>
                <w:color w:val="auto"/>
                <w:lang w:val="en-US" w:eastAsia="zh-CN"/>
              </w:rPr>
              <w:t>清洗废水、</w:t>
            </w:r>
            <w:r>
              <w:rPr>
                <w:rFonts w:ascii="Times New Roman" w:hAnsi="Times New Roman" w:eastAsia="宋体" w:cs="Times New Roman"/>
                <w:bCs/>
                <w:color w:val="auto"/>
              </w:rPr>
              <w:t>锅炉排污水及软化废水</w:t>
            </w:r>
            <w:r>
              <w:rPr>
                <w:rFonts w:hint="eastAsia" w:ascii="Times New Roman" w:hAnsi="Times New Roman" w:eastAsia="宋体" w:cs="Times New Roman"/>
                <w:bCs/>
                <w:color w:val="auto"/>
                <w:lang w:eastAsia="zh-CN"/>
              </w:rPr>
              <w:t>、</w:t>
            </w:r>
            <w:r>
              <w:rPr>
                <w:rFonts w:hint="eastAsia" w:ascii="Times New Roman" w:hAnsi="Times New Roman" w:eastAsia="宋体" w:cs="Times New Roman"/>
                <w:bCs/>
                <w:color w:val="auto"/>
                <w:lang w:val="en-US" w:eastAsia="zh-CN"/>
              </w:rPr>
              <w:t>高温杀菌废水</w:t>
            </w:r>
            <w:r>
              <w:rPr>
                <w:rFonts w:hint="eastAsia" w:ascii="Times New Roman" w:hAnsi="Times New Roman" w:eastAsia="宋体" w:cs="Times New Roman"/>
                <w:color w:val="auto"/>
              </w:rPr>
              <w:t>混合后，COD排放浓度为</w:t>
            </w:r>
            <w:r>
              <w:rPr>
                <w:rFonts w:hint="eastAsia" w:ascii="Times New Roman" w:hAnsi="Times New Roman" w:eastAsia="宋体" w:cs="Times New Roman"/>
                <w:color w:val="auto"/>
                <w:lang w:val="en-US" w:eastAsia="zh-CN"/>
              </w:rPr>
              <w:t>76.67</w:t>
            </w:r>
            <w:r>
              <w:rPr>
                <w:rFonts w:hint="eastAsia" w:ascii="Times New Roman" w:hAnsi="Times New Roman" w:eastAsia="宋体" w:cs="Times New Roman"/>
                <w:color w:val="auto"/>
              </w:rPr>
              <w:t>mg/L，氨氮排放浓度为</w:t>
            </w:r>
            <w:r>
              <w:rPr>
                <w:rFonts w:hint="eastAsia" w:ascii="Times New Roman" w:hAnsi="Times New Roman" w:eastAsia="宋体" w:cs="Times New Roman"/>
                <w:color w:val="auto"/>
                <w:lang w:val="en-US" w:eastAsia="zh-CN"/>
              </w:rPr>
              <w:t>5.93</w:t>
            </w:r>
            <w:r>
              <w:rPr>
                <w:rFonts w:hint="eastAsia" w:ascii="Times New Roman" w:hAnsi="Times New Roman" w:eastAsia="宋体" w:cs="Times New Roman"/>
                <w:color w:val="auto"/>
              </w:rPr>
              <w:t>mg/L，SS排放浓度为</w:t>
            </w:r>
            <w:r>
              <w:rPr>
                <w:rFonts w:hint="eastAsia" w:ascii="Times New Roman" w:hAnsi="Times New Roman" w:eastAsia="宋体" w:cs="Times New Roman"/>
                <w:color w:val="auto"/>
                <w:lang w:val="en-US" w:eastAsia="zh-CN"/>
              </w:rPr>
              <w:t>79.29</w:t>
            </w:r>
            <w:r>
              <w:rPr>
                <w:rFonts w:hint="eastAsia" w:ascii="Times New Roman" w:hAnsi="Times New Roman" w:eastAsia="宋体" w:cs="Times New Roman"/>
                <w:color w:val="auto"/>
              </w:rPr>
              <w:t>mg/L，BOD</w:t>
            </w:r>
            <w:r>
              <w:rPr>
                <w:rFonts w:hint="eastAsia" w:ascii="Times New Roman" w:hAnsi="Times New Roman" w:eastAsia="宋体" w:cs="Times New Roman"/>
                <w:color w:val="auto"/>
                <w:vertAlign w:val="subscript"/>
              </w:rPr>
              <w:t>5</w:t>
            </w:r>
            <w:r>
              <w:rPr>
                <w:rFonts w:hint="eastAsia" w:ascii="Times New Roman" w:hAnsi="Times New Roman" w:eastAsia="宋体" w:cs="Times New Roman"/>
                <w:color w:val="auto"/>
              </w:rPr>
              <w:t>排放浓度为</w:t>
            </w:r>
            <w:r>
              <w:rPr>
                <w:rFonts w:hint="eastAsia" w:ascii="Times New Roman" w:hAnsi="Times New Roman" w:eastAsia="宋体" w:cs="Times New Roman"/>
                <w:color w:val="auto"/>
                <w:lang w:val="en-US" w:eastAsia="zh-CN"/>
              </w:rPr>
              <w:t>26.70</w:t>
            </w:r>
            <w:r>
              <w:rPr>
                <w:rFonts w:hint="eastAsia" w:ascii="Times New Roman" w:hAnsi="Times New Roman" w:eastAsia="宋体" w:cs="Times New Roman"/>
                <w:color w:val="auto"/>
              </w:rPr>
              <w:t>mg/L，</w:t>
            </w:r>
            <w:r>
              <w:rPr>
                <w:rFonts w:hint="eastAsia" w:ascii="Times New Roman" w:hAnsi="Times New Roman" w:eastAsia="宋体" w:cs="Times New Roman"/>
                <w:color w:val="auto"/>
                <w:lang w:val="en-US" w:eastAsia="zh-CN"/>
              </w:rPr>
              <w:t>TDS124.33</w:t>
            </w:r>
            <w:r>
              <w:rPr>
                <w:rFonts w:hint="eastAsia" w:ascii="Times New Roman" w:hAnsi="Times New Roman" w:eastAsia="宋体" w:cs="Times New Roman"/>
                <w:color w:val="auto"/>
              </w:rPr>
              <w:t>mg/L能够满足《污水综合排放标准》（GB8978-1996）三级标准及海伦市污水处理厂进水水质标准，项目废水暂存厂区30m³密闭储罐，每天由专用罐车拉运至海伦市污水处理厂处理，经海伦市污水处理厂处理达标后排放，属于可行技术。</w:t>
            </w:r>
          </w:p>
          <w:p>
            <w:pPr>
              <w:pStyle w:val="36"/>
              <w:shd w:val="clear"/>
              <w:spacing w:line="360" w:lineRule="auto"/>
              <w:ind w:firstLine="480" w:firstLineChars="200"/>
              <w:jc w:val="both"/>
              <w:rPr>
                <w:rFonts w:ascii="Times New Roman" w:hAnsi="Times New Roman" w:eastAsia="宋体" w:cs="Times New Roman"/>
                <w:color w:val="auto"/>
              </w:rPr>
            </w:pPr>
            <w:r>
              <w:rPr>
                <w:rFonts w:hint="eastAsia" w:ascii="Times New Roman" w:hAnsi="Times New Roman" w:eastAsia="宋体" w:cs="Times New Roman"/>
                <w:color w:val="auto"/>
              </w:rPr>
              <w:t>5.污水运输方案及管控要求</w:t>
            </w:r>
          </w:p>
          <w:p>
            <w:pPr>
              <w:pStyle w:val="36"/>
              <w:shd w:val="clear"/>
              <w:spacing w:line="360" w:lineRule="auto"/>
              <w:ind w:firstLine="480" w:firstLineChars="200"/>
              <w:jc w:val="both"/>
              <w:rPr>
                <w:rFonts w:ascii="Times New Roman" w:hAnsi="Times New Roman" w:eastAsia="宋体" w:cs="Times New Roman"/>
                <w:color w:val="auto"/>
              </w:rPr>
            </w:pPr>
            <w:r>
              <w:rPr>
                <w:rFonts w:hint="eastAsia" w:ascii="Times New Roman" w:hAnsi="Times New Roman" w:eastAsia="宋体" w:cs="Times New Roman"/>
                <w:color w:val="auto"/>
              </w:rPr>
              <w:t>运输方案：本项目生产废水为间歇排放，暂存于密闭储罐内，每天委托有资质单位采用密闭罐车进行转移运输，按照制定的运输路线进行运输，保证运输的废水均达到接收单位进行安全处理。待项目建成后，签订合作协议。</w:t>
            </w:r>
          </w:p>
          <w:p>
            <w:pPr>
              <w:pStyle w:val="36"/>
              <w:shd w:val="clear"/>
              <w:spacing w:line="360" w:lineRule="auto"/>
              <w:ind w:firstLine="480" w:firstLineChars="200"/>
              <w:jc w:val="both"/>
              <w:rPr>
                <w:rFonts w:ascii="Times New Roman" w:hAnsi="Times New Roman" w:eastAsia="宋体" w:cs="Times New Roman"/>
                <w:color w:val="auto"/>
              </w:rPr>
            </w:pPr>
            <w:r>
              <w:rPr>
                <w:rFonts w:hint="eastAsia" w:ascii="Times New Roman" w:hAnsi="Times New Roman" w:eastAsia="宋体" w:cs="Times New Roman"/>
                <w:color w:val="auto"/>
              </w:rPr>
              <w:t>废水外运的管控要求：每次运输废水做好台账记录，记录废水运输频次，运输水量、运输时间，留存每次转移运输废水的照片；运输人员应当接受专业培训，预防人为因素造成废水外漏风险；运输单位应制定在发生意外事故时采取的应急措施和防范措施；运输时发生突发性事故必须立即采取措施消除或者减轻对环境的污染危害。</w:t>
            </w:r>
          </w:p>
          <w:p>
            <w:pPr>
              <w:pStyle w:val="36"/>
              <w:shd w:val="clear"/>
              <w:spacing w:line="360" w:lineRule="auto"/>
              <w:ind w:firstLine="480" w:firstLineChars="200"/>
              <w:jc w:val="both"/>
              <w:rPr>
                <w:rFonts w:ascii="Times New Roman" w:hAnsi="Times New Roman" w:eastAsia="宋体" w:cs="Times New Roman"/>
                <w:color w:val="auto"/>
              </w:rPr>
            </w:pPr>
            <w:r>
              <w:rPr>
                <w:rFonts w:hint="eastAsia" w:ascii="Times New Roman" w:hAnsi="Times New Roman" w:eastAsia="宋体" w:cs="Times New Roman"/>
                <w:color w:val="auto"/>
              </w:rPr>
              <w:t>6.环境影响评价结论</w:t>
            </w:r>
          </w:p>
          <w:p>
            <w:pPr>
              <w:pStyle w:val="36"/>
              <w:shd w:val="clear"/>
              <w:spacing w:line="360" w:lineRule="auto"/>
              <w:ind w:firstLine="480" w:firstLineChars="200"/>
              <w:jc w:val="both"/>
              <w:rPr>
                <w:rFonts w:ascii="Times New Roman" w:hAnsi="Times New Roman" w:eastAsia="宋体" w:cs="Times New Roman"/>
                <w:color w:val="auto"/>
              </w:rPr>
            </w:pPr>
            <w:r>
              <w:rPr>
                <w:rFonts w:hint="eastAsia" w:ascii="Times New Roman" w:hAnsi="Times New Roman" w:eastAsia="宋体" w:cs="Times New Roman"/>
                <w:color w:val="auto"/>
              </w:rPr>
              <w:t>本项目生活污水排入防渗</w:t>
            </w:r>
            <w:r>
              <w:rPr>
                <w:rFonts w:hint="eastAsia" w:ascii="Times New Roman" w:hAnsi="Times New Roman" w:eastAsia="宋体" w:cs="Times New Roman"/>
                <w:color w:val="auto"/>
                <w:lang w:val="en-US" w:eastAsia="zh-CN"/>
              </w:rPr>
              <w:t>化粪池</w:t>
            </w:r>
            <w:r>
              <w:rPr>
                <w:rFonts w:hint="eastAsia" w:ascii="Times New Roman" w:hAnsi="Times New Roman" w:eastAsia="宋体" w:cs="Times New Roman"/>
                <w:color w:val="auto"/>
              </w:rPr>
              <w:t>，定期清掏。</w:t>
            </w:r>
            <w:r>
              <w:rPr>
                <w:rFonts w:ascii="Times New Roman" w:hAnsi="Times New Roman" w:eastAsia="宋体" w:cs="Times New Roman"/>
                <w:bCs/>
                <w:color w:val="auto"/>
              </w:rPr>
              <w:t>车间地面冲洗废水、</w:t>
            </w:r>
            <w:r>
              <w:rPr>
                <w:rFonts w:hint="eastAsia" w:ascii="Times New Roman" w:hAnsi="Times New Roman" w:eastAsia="宋体" w:cs="Times New Roman"/>
                <w:bCs/>
                <w:color w:val="auto"/>
                <w:lang w:val="en-US" w:eastAsia="zh-CN"/>
              </w:rPr>
              <w:t>清洗废水、</w:t>
            </w:r>
            <w:r>
              <w:rPr>
                <w:rFonts w:ascii="Times New Roman" w:hAnsi="Times New Roman" w:eastAsia="宋体" w:cs="Times New Roman"/>
                <w:bCs/>
                <w:color w:val="auto"/>
              </w:rPr>
              <w:t>锅炉排污水及软化</w:t>
            </w:r>
            <w:r>
              <w:rPr>
                <w:rFonts w:hint="eastAsia" w:ascii="Times New Roman" w:hAnsi="Times New Roman" w:eastAsia="宋体" w:cs="Times New Roman"/>
                <w:color w:val="auto"/>
              </w:rPr>
              <w:t>废水</w:t>
            </w:r>
            <w:r>
              <w:rPr>
                <w:rFonts w:hint="eastAsia" w:ascii="Times New Roman" w:hAnsi="Times New Roman" w:eastAsia="宋体" w:cs="Times New Roman"/>
                <w:color w:val="auto"/>
                <w:lang w:eastAsia="zh-CN"/>
              </w:rPr>
              <w:t>、</w:t>
            </w:r>
            <w:r>
              <w:rPr>
                <w:rFonts w:hint="eastAsia" w:ascii="Times New Roman" w:hAnsi="Times New Roman" w:eastAsia="宋体" w:cs="Times New Roman"/>
                <w:bCs/>
                <w:color w:val="auto"/>
                <w:lang w:val="en-US" w:eastAsia="zh-CN"/>
              </w:rPr>
              <w:t>高温杀菌废水</w:t>
            </w:r>
            <w:r>
              <w:rPr>
                <w:rFonts w:hint="eastAsia" w:ascii="Times New Roman" w:hAnsi="Times New Roman" w:eastAsia="宋体" w:cs="Times New Roman"/>
                <w:color w:val="auto"/>
              </w:rPr>
              <w:t>暂存厂区</w:t>
            </w:r>
            <w:r>
              <w:rPr>
                <w:rFonts w:hint="eastAsia" w:ascii="Times New Roman" w:hAnsi="Times New Roman" w:eastAsia="宋体" w:cs="Times New Roman"/>
                <w:color w:val="auto"/>
                <w:lang w:val="en-US" w:eastAsia="zh-CN"/>
              </w:rPr>
              <w:t>6</w:t>
            </w:r>
            <w:r>
              <w:rPr>
                <w:rFonts w:hint="eastAsia" w:ascii="Times New Roman" w:hAnsi="Times New Roman" w:eastAsia="宋体" w:cs="Times New Roman"/>
                <w:color w:val="auto"/>
              </w:rPr>
              <w:t>0m³密闭储罐内，每天由专用罐车拉运至海伦市污水处理厂处理，经海伦市污水处理厂处理达标后排放。本项目产生的废水中COD、氨氮、SS、BOD</w:t>
            </w:r>
            <w:r>
              <w:rPr>
                <w:rFonts w:hint="eastAsia" w:ascii="Times New Roman" w:hAnsi="Times New Roman" w:eastAsia="宋体" w:cs="Times New Roman"/>
                <w:color w:val="auto"/>
                <w:vertAlign w:val="subscript"/>
              </w:rPr>
              <w:t>5</w:t>
            </w:r>
            <w:r>
              <w:rPr>
                <w:rFonts w:hint="eastAsia" w:ascii="Times New Roman" w:hAnsi="Times New Roman" w:eastAsia="宋体" w:cs="Times New Roman"/>
                <w:color w:val="auto"/>
              </w:rPr>
              <w:t>、pH的排放浓度满足《污水综合排放标准》（GB8978-1996）三级标准及海伦市污水处理厂进水水质标准。本项目产生的</w:t>
            </w:r>
            <w:r>
              <w:rPr>
                <w:rFonts w:hint="eastAsia" w:ascii="Times New Roman" w:hAnsi="Times New Roman" w:eastAsia="宋体" w:cs="Times New Roman"/>
                <w:color w:val="auto"/>
                <w:lang w:val="en-US" w:eastAsia="zh-CN"/>
              </w:rPr>
              <w:t>废水</w:t>
            </w:r>
            <w:r>
              <w:rPr>
                <w:rFonts w:hint="eastAsia" w:ascii="Times New Roman" w:hAnsi="Times New Roman" w:eastAsia="宋体" w:cs="Times New Roman"/>
                <w:color w:val="auto"/>
              </w:rPr>
              <w:t>对地表水体环境影响较小。</w:t>
            </w:r>
          </w:p>
          <w:p>
            <w:pPr>
              <w:numPr>
                <w:ilvl w:val="0"/>
                <w:numId w:val="5"/>
              </w:numPr>
              <w:shd w:val="clear"/>
              <w:adjustRightInd w:val="0"/>
              <w:snapToGrid w:val="0"/>
              <w:spacing w:line="360" w:lineRule="auto"/>
              <w:ind w:firstLine="482" w:firstLineChars="200"/>
              <w:jc w:val="left"/>
              <w:rPr>
                <w:b/>
                <w:bCs/>
                <w:color w:val="0000FF"/>
                <w:sz w:val="24"/>
              </w:rPr>
            </w:pPr>
            <w:r>
              <w:rPr>
                <w:rFonts w:hint="eastAsia"/>
                <w:b/>
                <w:bCs/>
                <w:color w:val="0000FF"/>
                <w:sz w:val="24"/>
              </w:rPr>
              <w:t>废气</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FF"/>
                <w:sz w:val="24"/>
                <w:szCs w:val="32"/>
                <w:lang w:val="en-US" w:eastAsia="zh-CN"/>
              </w:rPr>
            </w:pPr>
            <w:r>
              <w:rPr>
                <w:rFonts w:hint="default" w:ascii="Times New Roman" w:hAnsi="Times New Roman" w:cs="Times New Roman"/>
                <w:color w:val="0000FF"/>
                <w:sz w:val="24"/>
                <w:szCs w:val="32"/>
                <w:lang w:val="en-US" w:eastAsia="zh-CN"/>
              </w:rPr>
              <w:t>1</w:t>
            </w:r>
            <w:r>
              <w:rPr>
                <w:rFonts w:hint="default" w:ascii="Times New Roman" w:hAnsi="Times New Roman" w:cs="Times New Roman"/>
                <w:color w:val="0000FF"/>
                <w:sz w:val="24"/>
                <w:szCs w:val="32"/>
              </w:rPr>
              <w:t>、</w:t>
            </w:r>
            <w:r>
              <w:rPr>
                <w:rFonts w:hint="default" w:ascii="Times New Roman" w:hAnsi="Times New Roman" w:cs="Times New Roman"/>
                <w:color w:val="0000FF"/>
                <w:sz w:val="24"/>
                <w:szCs w:val="32"/>
                <w:lang w:val="en-US" w:eastAsia="zh-CN"/>
              </w:rPr>
              <w:t>正常工况废气产生及排放情况</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FF"/>
                <w:sz w:val="24"/>
                <w:szCs w:val="32"/>
                <w:lang w:val="en-US" w:eastAsia="zh-CN"/>
              </w:rPr>
            </w:pPr>
            <w:r>
              <w:rPr>
                <w:rFonts w:hint="default" w:ascii="Times New Roman" w:hAnsi="Times New Roman" w:cs="Times New Roman"/>
                <w:color w:val="0000FF"/>
                <w:sz w:val="24"/>
                <w:szCs w:val="32"/>
                <w:lang w:val="en-US" w:eastAsia="zh-CN"/>
              </w:rPr>
              <w:t>本项目运营期产生的废气主要为锅炉烟气，污染物为颗粒物、SO</w:t>
            </w:r>
            <w:r>
              <w:rPr>
                <w:rFonts w:hint="default" w:ascii="Times New Roman" w:hAnsi="Times New Roman" w:cs="Times New Roman"/>
                <w:color w:val="0000FF"/>
                <w:sz w:val="24"/>
                <w:szCs w:val="32"/>
                <w:vertAlign w:val="subscript"/>
                <w:lang w:val="en-US" w:eastAsia="zh-CN"/>
              </w:rPr>
              <w:t>2</w:t>
            </w:r>
            <w:r>
              <w:rPr>
                <w:rFonts w:hint="default" w:ascii="Times New Roman" w:hAnsi="Times New Roman" w:cs="Times New Roman"/>
                <w:color w:val="0000FF"/>
                <w:sz w:val="24"/>
                <w:szCs w:val="32"/>
                <w:lang w:val="en-US" w:eastAsia="zh-CN"/>
              </w:rPr>
              <w:t>、NOx；</w:t>
            </w:r>
            <w:r>
              <w:rPr>
                <w:rFonts w:hint="default" w:ascii="Times New Roman" w:hAnsi="Times New Roman" w:cs="Times New Roman"/>
                <w:color w:val="0000FF"/>
                <w:sz w:val="24"/>
                <w:szCs w:val="32"/>
                <w:lang w:eastAsia="zh-CN"/>
              </w:rPr>
              <w:t>高温杀菌工序异味，</w:t>
            </w:r>
            <w:r>
              <w:rPr>
                <w:rFonts w:hint="default" w:ascii="Times New Roman" w:hAnsi="Times New Roman" w:cs="Times New Roman"/>
                <w:color w:val="0000FF"/>
                <w:sz w:val="24"/>
                <w:szCs w:val="32"/>
                <w:lang w:val="en-US" w:eastAsia="zh-CN"/>
              </w:rPr>
              <w:t>污染物为臭气浓度；</w:t>
            </w:r>
            <w:r>
              <w:rPr>
                <w:rFonts w:hint="default" w:ascii="Times New Roman" w:hAnsi="Times New Roman" w:cs="Times New Roman"/>
                <w:color w:val="0000FF"/>
                <w:sz w:val="24"/>
                <w:szCs w:val="32"/>
                <w:lang w:eastAsia="zh-CN"/>
              </w:rPr>
              <w:t>灰渣储存产生的粉尘，</w:t>
            </w:r>
            <w:r>
              <w:rPr>
                <w:rFonts w:hint="default" w:ascii="Times New Roman" w:hAnsi="Times New Roman" w:cs="Times New Roman"/>
                <w:color w:val="0000FF"/>
                <w:sz w:val="24"/>
                <w:szCs w:val="32"/>
                <w:lang w:val="en-US" w:eastAsia="zh-CN"/>
              </w:rPr>
              <w:t>污染物为颗粒物；</w:t>
            </w:r>
            <w:r>
              <w:rPr>
                <w:rFonts w:hint="default" w:ascii="Times New Roman" w:hAnsi="Times New Roman" w:cs="Times New Roman"/>
                <w:color w:val="0000FF"/>
                <w:sz w:val="24"/>
                <w:szCs w:val="32"/>
                <w:lang w:eastAsia="zh-CN"/>
              </w:rPr>
              <w:t>食堂油烟。</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FF"/>
                <w:sz w:val="24"/>
                <w:szCs w:val="32"/>
                <w:lang w:eastAsia="zh-CN"/>
              </w:rPr>
            </w:pPr>
            <w:r>
              <w:rPr>
                <w:rFonts w:hint="default" w:ascii="Times New Roman" w:hAnsi="Times New Roman" w:cs="Times New Roman"/>
                <w:color w:val="0000FF"/>
                <w:sz w:val="24"/>
                <w:szCs w:val="32"/>
                <w:lang w:val="en-US" w:eastAsia="zh-CN"/>
              </w:rPr>
              <w:t>废气</w:t>
            </w:r>
            <w:r>
              <w:rPr>
                <w:rFonts w:hint="default" w:ascii="Times New Roman" w:hAnsi="Times New Roman" w:cs="Times New Roman"/>
                <w:color w:val="0000FF"/>
                <w:sz w:val="24"/>
                <w:szCs w:val="32"/>
                <w:lang w:eastAsia="zh-CN"/>
              </w:rPr>
              <w:t>产生及排放情况见表4-</w:t>
            </w:r>
            <w:r>
              <w:rPr>
                <w:rFonts w:hint="eastAsia" w:cs="Times New Roman"/>
                <w:color w:val="0000FF"/>
                <w:sz w:val="24"/>
                <w:szCs w:val="32"/>
                <w:lang w:val="en-US" w:eastAsia="zh-CN"/>
              </w:rPr>
              <w:t>5</w:t>
            </w:r>
            <w:r>
              <w:rPr>
                <w:rFonts w:hint="default" w:ascii="Times New Roman" w:hAnsi="Times New Roman" w:cs="Times New Roman"/>
                <w:color w:val="0000FF"/>
                <w:sz w:val="24"/>
                <w:szCs w:val="32"/>
                <w:lang w:eastAsia="zh-CN"/>
              </w:rPr>
              <w:t>。</w:t>
            </w:r>
          </w:p>
          <w:p>
            <w:pPr>
              <w:pStyle w:val="93"/>
              <w:shd w:val="clear"/>
              <w:spacing w:line="240" w:lineRule="auto"/>
              <w:rPr>
                <w:rFonts w:hint="default" w:ascii="Times New Roman" w:hAnsi="Times New Roman" w:cs="Times New Roman" w:eastAsiaTheme="minorEastAsia"/>
                <w:b/>
                <w:bCs/>
                <w:color w:val="0000FF"/>
                <w:sz w:val="24"/>
                <w:szCs w:val="24"/>
                <w:lang w:val="en-US" w:eastAsia="zh-CN"/>
              </w:rPr>
            </w:pPr>
            <w:r>
              <w:rPr>
                <w:rFonts w:hint="default" w:ascii="Times New Roman" w:hAnsi="Times New Roman" w:cs="Times New Roman" w:eastAsiaTheme="minorEastAsia"/>
                <w:b/>
                <w:bCs/>
                <w:color w:val="0000FF"/>
                <w:sz w:val="24"/>
                <w:szCs w:val="24"/>
                <w:shd w:val="clear"/>
                <w:lang w:val="en-US" w:eastAsia="zh-CN"/>
              </w:rPr>
              <w:t>表4-</w:t>
            </w:r>
            <w:r>
              <w:rPr>
                <w:rFonts w:hint="eastAsia" w:ascii="Times New Roman" w:hAnsi="Times New Roman" w:cs="Times New Roman" w:eastAsiaTheme="minorEastAsia"/>
                <w:b/>
                <w:bCs/>
                <w:color w:val="0000FF"/>
                <w:sz w:val="24"/>
                <w:szCs w:val="24"/>
                <w:shd w:val="clear"/>
                <w:lang w:val="en-US" w:eastAsia="zh-CN"/>
              </w:rPr>
              <w:t>5</w:t>
            </w:r>
            <w:r>
              <w:rPr>
                <w:rFonts w:hint="default" w:ascii="Times New Roman" w:hAnsi="Times New Roman" w:cs="Times New Roman" w:eastAsiaTheme="minorEastAsia"/>
                <w:b/>
                <w:bCs/>
                <w:color w:val="0000FF"/>
                <w:sz w:val="24"/>
                <w:szCs w:val="24"/>
                <w:shd w:val="clear"/>
                <w:lang w:val="en-US" w:eastAsia="zh-CN"/>
              </w:rPr>
              <w:t xml:space="preserve"> 锅炉烟气产生及排放情</w:t>
            </w:r>
            <w:r>
              <w:rPr>
                <w:rFonts w:hint="default" w:ascii="Times New Roman" w:hAnsi="Times New Roman" w:cs="Times New Roman" w:eastAsiaTheme="minorEastAsia"/>
                <w:b/>
                <w:bCs/>
                <w:color w:val="0000FF"/>
                <w:sz w:val="24"/>
                <w:szCs w:val="24"/>
                <w:lang w:val="en-US" w:eastAsia="zh-CN"/>
              </w:rPr>
              <w:t>况一览表</w:t>
            </w:r>
          </w:p>
          <w:tbl>
            <w:tblPr>
              <w:tblStyle w:val="27"/>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363"/>
              <w:gridCol w:w="506"/>
              <w:gridCol w:w="670"/>
              <w:gridCol w:w="594"/>
              <w:gridCol w:w="686"/>
              <w:gridCol w:w="686"/>
              <w:gridCol w:w="363"/>
              <w:gridCol w:w="840"/>
              <w:gridCol w:w="363"/>
              <w:gridCol w:w="670"/>
              <w:gridCol w:w="686"/>
              <w:gridCol w:w="778"/>
              <w:gridCol w:w="640"/>
              <w:gridCol w:w="67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13"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产排污环节</w:t>
                  </w:r>
                </w:p>
              </w:tc>
              <w:tc>
                <w:tcPr>
                  <w:tcW w:w="297"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污</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染</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物</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种</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类</w:t>
                  </w:r>
                </w:p>
              </w:tc>
              <w:tc>
                <w:tcPr>
                  <w:tcW w:w="1144" w:type="pct"/>
                  <w:gridSpan w:val="3"/>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产生情况</w:t>
                  </w:r>
                </w:p>
              </w:tc>
              <w:tc>
                <w:tcPr>
                  <w:tcW w:w="402"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废气量m</w:t>
                  </w:r>
                  <w:r>
                    <w:rPr>
                      <w:rFonts w:hint="default" w:ascii="Times New Roman" w:hAnsi="Times New Roman" w:cs="Times New Roman"/>
                      <w:color w:val="0000FF"/>
                      <w:sz w:val="21"/>
                      <w:szCs w:val="21"/>
                      <w:vertAlign w:val="superscript"/>
                      <w:lang w:val="en-US" w:eastAsia="zh-CN"/>
                    </w:rPr>
                    <w:t>3</w:t>
                  </w:r>
                  <w:r>
                    <w:rPr>
                      <w:rFonts w:hint="default" w:ascii="Times New Roman" w:hAnsi="Times New Roman" w:cs="Times New Roman"/>
                      <w:color w:val="0000FF"/>
                      <w:sz w:val="21"/>
                      <w:szCs w:val="21"/>
                      <w:lang w:val="en-US" w:eastAsia="zh-CN"/>
                    </w:rPr>
                    <w:t>/h</w:t>
                  </w:r>
                </w:p>
              </w:tc>
              <w:tc>
                <w:tcPr>
                  <w:tcW w:w="213"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排</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放</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形</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式</w:t>
                  </w:r>
                </w:p>
              </w:tc>
              <w:tc>
                <w:tcPr>
                  <w:tcW w:w="706" w:type="pct"/>
                  <w:gridSpan w:val="2"/>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治理设施</w:t>
                  </w:r>
                </w:p>
              </w:tc>
              <w:tc>
                <w:tcPr>
                  <w:tcW w:w="1252" w:type="pct"/>
                  <w:gridSpan w:val="3"/>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排放情况</w:t>
                  </w:r>
                </w:p>
              </w:tc>
              <w:tc>
                <w:tcPr>
                  <w:tcW w:w="375"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排放时间</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（h）</w:t>
                  </w:r>
                </w:p>
              </w:tc>
              <w:tc>
                <w:tcPr>
                  <w:tcW w:w="393"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标准值</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排放浓度</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mg/m</w:t>
                  </w:r>
                  <w:r>
                    <w:rPr>
                      <w:rFonts w:hint="default" w:ascii="Times New Roman" w:hAnsi="Times New Roman" w:cs="Times New Roman"/>
                      <w:color w:val="0000FF"/>
                      <w:sz w:val="21"/>
                      <w:szCs w:val="21"/>
                      <w:vertAlign w:val="superscript"/>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1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297"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浓度</w:t>
                  </w:r>
                </w:p>
              </w:tc>
              <w:tc>
                <w:tcPr>
                  <w:tcW w:w="751" w:type="pct"/>
                  <w:gridSpan w:val="2"/>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产生量</w:t>
                  </w:r>
                </w:p>
              </w:tc>
              <w:tc>
                <w:tcPr>
                  <w:tcW w:w="402"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21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493"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处理能力、收集效率、治理工艺去除率</w:t>
                  </w:r>
                </w:p>
              </w:tc>
              <w:tc>
                <w:tcPr>
                  <w:tcW w:w="213"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是否为可行</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技术</w:t>
                  </w: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浓度</w:t>
                  </w:r>
                </w:p>
              </w:tc>
              <w:tc>
                <w:tcPr>
                  <w:tcW w:w="859" w:type="pct"/>
                  <w:gridSpan w:val="2"/>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排放量</w:t>
                  </w:r>
                </w:p>
              </w:tc>
              <w:tc>
                <w:tcPr>
                  <w:tcW w:w="375"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39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1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297"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mg/m</w:t>
                  </w:r>
                  <w:r>
                    <w:rPr>
                      <w:rFonts w:hint="default" w:ascii="Times New Roman" w:hAnsi="Times New Roman" w:cs="Times New Roman"/>
                      <w:color w:val="0000FF"/>
                      <w:sz w:val="21"/>
                      <w:szCs w:val="21"/>
                      <w:vertAlign w:val="superscript"/>
                      <w:lang w:val="en-US" w:eastAsia="zh-CN"/>
                    </w:rPr>
                    <w:t>3</w:t>
                  </w:r>
                </w:p>
              </w:tc>
              <w:tc>
                <w:tcPr>
                  <w:tcW w:w="348"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kg/h</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t/a</w:t>
                  </w:r>
                </w:p>
              </w:tc>
              <w:tc>
                <w:tcPr>
                  <w:tcW w:w="402"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21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49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213" w:type="pct"/>
                  <w:vMerge w:val="continue"/>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mg/m</w:t>
                  </w:r>
                  <w:r>
                    <w:rPr>
                      <w:rFonts w:hint="default" w:ascii="Times New Roman" w:hAnsi="Times New Roman" w:cs="Times New Roman"/>
                      <w:color w:val="0000FF"/>
                      <w:sz w:val="21"/>
                      <w:szCs w:val="21"/>
                      <w:vertAlign w:val="superscript"/>
                      <w:lang w:val="en-US" w:eastAsia="zh-CN"/>
                    </w:rPr>
                    <w:t>3</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kg/h</w:t>
                  </w:r>
                </w:p>
              </w:tc>
              <w:tc>
                <w:tcPr>
                  <w:tcW w:w="456"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t/a</w:t>
                  </w:r>
                </w:p>
              </w:tc>
              <w:tc>
                <w:tcPr>
                  <w:tcW w:w="375"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39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13"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left"/>
                    <w:textAlignment w:val="center"/>
                    <w:rPr>
                      <w:rFonts w:hint="default" w:ascii="Times New Roman" w:hAnsi="Times New Roman" w:cs="Times New Roman"/>
                      <w:color w:val="0000FF"/>
                      <w:sz w:val="21"/>
                      <w:szCs w:val="21"/>
                      <w:lang w:eastAsia="zh-CN"/>
                    </w:rPr>
                  </w:pPr>
                  <w:r>
                    <w:rPr>
                      <w:rFonts w:hint="default" w:ascii="Times New Roman" w:hAnsi="Times New Roman" w:cs="Times New Roman"/>
                      <w:color w:val="0000FF"/>
                      <w:sz w:val="21"/>
                      <w:szCs w:val="21"/>
                      <w:lang w:val="en-US" w:eastAsia="zh-CN"/>
                    </w:rPr>
                    <w:t>锅炉</w:t>
                  </w:r>
                  <w:r>
                    <w:rPr>
                      <w:rFonts w:hint="default" w:ascii="Times New Roman" w:hAnsi="Times New Roman" w:cs="Times New Roman"/>
                      <w:color w:val="0000FF"/>
                      <w:sz w:val="21"/>
                      <w:szCs w:val="21"/>
                      <w:lang w:eastAsia="zh-CN"/>
                    </w:rPr>
                    <w:t>烟气</w:t>
                  </w:r>
                </w:p>
              </w:tc>
              <w:tc>
                <w:tcPr>
                  <w:tcW w:w="297"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颗粒物</w:t>
                  </w: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6920</w:t>
                  </w:r>
                </w:p>
              </w:tc>
              <w:tc>
                <w:tcPr>
                  <w:tcW w:w="348"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3.15</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28</w:t>
                  </w:r>
                </w:p>
              </w:tc>
              <w:tc>
                <w:tcPr>
                  <w:tcW w:w="402"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rPr>
                  </w:pPr>
                  <w:r>
                    <w:rPr>
                      <w:rFonts w:hint="eastAsia" w:cs="Times New Roman"/>
                      <w:color w:val="0000FF"/>
                      <w:sz w:val="21"/>
                      <w:szCs w:val="21"/>
                      <w:lang w:val="en-US" w:eastAsia="zh-CN"/>
                    </w:rPr>
                    <w:t>3644.3</w:t>
                  </w:r>
                </w:p>
              </w:tc>
              <w:tc>
                <w:tcPr>
                  <w:tcW w:w="213"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有</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组</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织</w:t>
                  </w:r>
                </w:p>
              </w:tc>
              <w:tc>
                <w:tcPr>
                  <w:tcW w:w="493"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布袋除尘器+</w:t>
                  </w:r>
                  <w:r>
                    <w:rPr>
                      <w:rFonts w:hint="eastAsia" w:cs="Times New Roman"/>
                      <w:color w:val="0000FF"/>
                      <w:sz w:val="21"/>
                      <w:szCs w:val="21"/>
                      <w:lang w:val="en-US" w:eastAsia="zh-CN"/>
                    </w:rPr>
                    <w:t>35</w:t>
                  </w:r>
                  <w:r>
                    <w:rPr>
                      <w:rFonts w:hint="default" w:ascii="Times New Roman" w:hAnsi="Times New Roman" w:cs="Times New Roman"/>
                      <w:color w:val="0000FF"/>
                      <w:sz w:val="21"/>
                      <w:szCs w:val="21"/>
                      <w:lang w:val="en-US" w:eastAsia="zh-CN"/>
                    </w:rPr>
                    <w:t>m烟囱（除尘效率99.</w:t>
                  </w:r>
                  <w:r>
                    <w:rPr>
                      <w:rFonts w:hint="eastAsia" w:cs="Times New Roman"/>
                      <w:color w:val="0000FF"/>
                      <w:sz w:val="21"/>
                      <w:szCs w:val="21"/>
                      <w:lang w:val="en-US" w:eastAsia="zh-CN"/>
                    </w:rPr>
                    <w:t>9</w:t>
                  </w:r>
                  <w:r>
                    <w:rPr>
                      <w:rFonts w:hint="default" w:ascii="Times New Roman" w:hAnsi="Times New Roman" w:cs="Times New Roman"/>
                      <w:color w:val="0000FF"/>
                      <w:sz w:val="21"/>
                      <w:szCs w:val="21"/>
                      <w:lang w:val="en-US" w:eastAsia="zh-CN"/>
                    </w:rPr>
                    <w:t>%）</w:t>
                  </w:r>
                </w:p>
              </w:tc>
              <w:tc>
                <w:tcPr>
                  <w:tcW w:w="213"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是</w:t>
                  </w: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cs="Times New Roman"/>
                      <w:color w:val="0000FF"/>
                      <w:sz w:val="21"/>
                      <w:szCs w:val="21"/>
                      <w:lang w:val="en-US" w:eastAsia="zh-CN"/>
                    </w:rPr>
                    <w:t>6.92</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cs="Times New Roman"/>
                      <w:color w:val="0000FF"/>
                      <w:sz w:val="21"/>
                      <w:szCs w:val="21"/>
                      <w:lang w:val="en-US" w:eastAsia="zh-CN"/>
                    </w:rPr>
                    <w:t>0.0315</w:t>
                  </w:r>
                </w:p>
              </w:tc>
              <w:tc>
                <w:tcPr>
                  <w:tcW w:w="456"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cs="Times New Roman"/>
                      <w:color w:val="0000FF"/>
                      <w:sz w:val="21"/>
                      <w:szCs w:val="21"/>
                      <w:lang w:val="en-US" w:eastAsia="zh-CN"/>
                    </w:rPr>
                    <w:t>0.028</w:t>
                  </w:r>
                </w:p>
              </w:tc>
              <w:tc>
                <w:tcPr>
                  <w:tcW w:w="375" w:type="pct"/>
                  <w:vMerge w:val="restar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rPr>
                  </w:pPr>
                  <w:r>
                    <w:rPr>
                      <w:rFonts w:hint="eastAsia" w:cs="Times New Roman"/>
                      <w:color w:val="0000FF"/>
                      <w:sz w:val="21"/>
                      <w:szCs w:val="21"/>
                      <w:lang w:val="en-US" w:eastAsia="zh-CN"/>
                    </w:rPr>
                    <w:t>900</w:t>
                  </w: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rPr>
                  </w:pPr>
                  <w:r>
                    <w:rPr>
                      <w:rFonts w:hint="eastAsia" w:cs="Times New Roman"/>
                      <w:color w:val="0000FF"/>
                      <w:sz w:val="21"/>
                      <w:szCs w:val="21"/>
                      <w:lang w:val="en-US" w:eastAsia="zh-CN"/>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1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297"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SO</w:t>
                  </w:r>
                  <w:r>
                    <w:rPr>
                      <w:rFonts w:hint="default" w:ascii="Times New Roman" w:hAnsi="Times New Roman" w:cs="Times New Roman"/>
                      <w:color w:val="0000FF"/>
                      <w:sz w:val="21"/>
                      <w:szCs w:val="21"/>
                      <w:vertAlign w:val="subscript"/>
                      <w:lang w:val="en-US" w:eastAsia="zh-CN"/>
                    </w:rPr>
                    <w:t>2</w:t>
                  </w: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kern w:val="2"/>
                      <w:sz w:val="21"/>
                      <w:szCs w:val="21"/>
                      <w:lang w:val="en-US" w:eastAsia="zh-CN" w:bidi="ar-SA"/>
                    </w:rPr>
                  </w:pPr>
                  <w:r>
                    <w:rPr>
                      <w:rFonts w:hint="eastAsia" w:cs="Times New Roman"/>
                      <w:color w:val="0000FF"/>
                      <w:sz w:val="21"/>
                      <w:szCs w:val="21"/>
                      <w:lang w:val="en-US" w:eastAsia="zh-CN"/>
                    </w:rPr>
                    <w:t>38.78</w:t>
                  </w:r>
                </w:p>
              </w:tc>
              <w:tc>
                <w:tcPr>
                  <w:tcW w:w="348"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kern w:val="2"/>
                      <w:sz w:val="21"/>
                      <w:szCs w:val="21"/>
                      <w:lang w:val="en-US" w:eastAsia="zh-CN" w:bidi="ar-SA"/>
                    </w:rPr>
                  </w:pPr>
                  <w:r>
                    <w:rPr>
                      <w:rFonts w:hint="eastAsia" w:cs="Times New Roman"/>
                      <w:color w:val="0000FF"/>
                      <w:sz w:val="21"/>
                      <w:szCs w:val="21"/>
                      <w:lang w:val="en-US" w:eastAsia="zh-CN"/>
                    </w:rPr>
                    <w:t>0.177</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kern w:val="2"/>
                      <w:sz w:val="21"/>
                      <w:szCs w:val="21"/>
                      <w:lang w:val="en-US" w:eastAsia="zh-CN" w:bidi="ar-SA"/>
                    </w:rPr>
                  </w:pPr>
                  <w:r>
                    <w:rPr>
                      <w:rFonts w:hint="eastAsia" w:cs="Times New Roman"/>
                      <w:color w:val="0000FF"/>
                      <w:sz w:val="21"/>
                      <w:szCs w:val="21"/>
                      <w:lang w:val="en-US" w:eastAsia="zh-CN"/>
                    </w:rPr>
                    <w:t>0.159</w:t>
                  </w:r>
                </w:p>
              </w:tc>
              <w:tc>
                <w:tcPr>
                  <w:tcW w:w="402" w:type="pct"/>
                  <w:vMerge w:val="continue"/>
                  <w:tcBorders>
                    <w:tl2br w:val="nil"/>
                    <w:tr2bl w:val="nil"/>
                  </w:tcBorders>
                  <w:noWrap w:val="0"/>
                  <w:vAlign w:val="center"/>
                </w:tcPr>
                <w:p>
                  <w:pPr>
                    <w:keepNext w:val="0"/>
                    <w:keepLines w:val="0"/>
                    <w:pageBreakBefore w:val="0"/>
                    <w:widowControl/>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21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49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21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cs="Times New Roman"/>
                      <w:color w:val="0000FF"/>
                      <w:sz w:val="21"/>
                      <w:szCs w:val="21"/>
                      <w:lang w:val="en-US" w:eastAsia="zh-CN"/>
                    </w:rPr>
                    <w:t>38.78</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cs="Times New Roman"/>
                      <w:color w:val="0000FF"/>
                      <w:sz w:val="21"/>
                      <w:szCs w:val="21"/>
                      <w:lang w:val="en-US" w:eastAsia="zh-CN"/>
                    </w:rPr>
                    <w:t>0.177</w:t>
                  </w:r>
                </w:p>
              </w:tc>
              <w:tc>
                <w:tcPr>
                  <w:tcW w:w="456"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cs="Times New Roman"/>
                      <w:color w:val="0000FF"/>
                      <w:sz w:val="21"/>
                      <w:szCs w:val="21"/>
                      <w:lang w:val="en-US" w:eastAsia="zh-CN"/>
                    </w:rPr>
                    <w:t>0.159</w:t>
                  </w:r>
                </w:p>
              </w:tc>
              <w:tc>
                <w:tcPr>
                  <w:tcW w:w="375"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300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1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297"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NO</w:t>
                  </w:r>
                  <w:r>
                    <w:rPr>
                      <w:rFonts w:hint="default" w:ascii="Times New Roman" w:hAnsi="Times New Roman" w:cs="Times New Roman"/>
                      <w:color w:val="0000FF"/>
                      <w:sz w:val="21"/>
                      <w:szCs w:val="21"/>
                      <w:vertAlign w:val="subscript"/>
                      <w:lang w:val="en-US" w:eastAsia="zh-CN"/>
                    </w:rPr>
                    <w:t>x</w:t>
                  </w: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kern w:val="2"/>
                      <w:sz w:val="21"/>
                      <w:szCs w:val="21"/>
                      <w:lang w:val="en-US" w:eastAsia="zh-CN" w:bidi="ar-SA"/>
                    </w:rPr>
                  </w:pPr>
                  <w:r>
                    <w:rPr>
                      <w:rFonts w:hint="eastAsia" w:cs="Times New Roman"/>
                      <w:color w:val="0000FF"/>
                      <w:sz w:val="21"/>
                      <w:szCs w:val="21"/>
                      <w:lang w:val="en-US" w:eastAsia="zh-CN"/>
                    </w:rPr>
                    <w:t>200</w:t>
                  </w:r>
                </w:p>
              </w:tc>
              <w:tc>
                <w:tcPr>
                  <w:tcW w:w="348"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kern w:val="2"/>
                      <w:sz w:val="21"/>
                      <w:szCs w:val="21"/>
                      <w:lang w:val="en-US" w:eastAsia="zh-CN" w:bidi="ar-SA"/>
                    </w:rPr>
                  </w:pPr>
                  <w:r>
                    <w:rPr>
                      <w:rFonts w:hint="eastAsia" w:cs="Times New Roman"/>
                      <w:color w:val="0000FF"/>
                      <w:sz w:val="21"/>
                      <w:szCs w:val="21"/>
                      <w:lang w:val="en-US" w:eastAsia="zh-CN"/>
                    </w:rPr>
                    <w:t>0.911</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kern w:val="2"/>
                      <w:sz w:val="21"/>
                      <w:szCs w:val="21"/>
                      <w:lang w:val="en-US" w:eastAsia="zh-CN" w:bidi="ar-SA"/>
                    </w:rPr>
                  </w:pPr>
                  <w:r>
                    <w:rPr>
                      <w:rFonts w:hint="eastAsia" w:cs="Times New Roman"/>
                      <w:color w:val="0000FF"/>
                      <w:sz w:val="21"/>
                      <w:szCs w:val="21"/>
                      <w:lang w:val="en-US" w:eastAsia="zh-CN"/>
                    </w:rPr>
                    <w:t>0.82</w:t>
                  </w:r>
                </w:p>
              </w:tc>
              <w:tc>
                <w:tcPr>
                  <w:tcW w:w="402" w:type="pct"/>
                  <w:vMerge w:val="continue"/>
                  <w:tcBorders>
                    <w:tl2br w:val="nil"/>
                    <w:tr2bl w:val="nil"/>
                  </w:tcBorders>
                  <w:noWrap w:val="0"/>
                  <w:vAlign w:val="center"/>
                </w:tcPr>
                <w:p>
                  <w:pPr>
                    <w:keepNext w:val="0"/>
                    <w:keepLines w:val="0"/>
                    <w:pageBreakBefore w:val="0"/>
                    <w:widowControl/>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21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49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213"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cs="Times New Roman"/>
                      <w:color w:val="0000FF"/>
                      <w:sz w:val="21"/>
                      <w:szCs w:val="21"/>
                      <w:lang w:val="en-US" w:eastAsia="zh-CN"/>
                    </w:rPr>
                    <w:t>200</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cs="Times New Roman"/>
                      <w:color w:val="0000FF"/>
                      <w:sz w:val="21"/>
                      <w:szCs w:val="21"/>
                      <w:lang w:val="en-US" w:eastAsia="zh-CN"/>
                    </w:rPr>
                    <w:t>0.911</w:t>
                  </w:r>
                </w:p>
              </w:tc>
              <w:tc>
                <w:tcPr>
                  <w:tcW w:w="456"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cs="Times New Roman"/>
                      <w:color w:val="0000FF"/>
                      <w:sz w:val="21"/>
                      <w:szCs w:val="21"/>
                      <w:lang w:val="en-US" w:eastAsia="zh-CN"/>
                    </w:rPr>
                    <w:t>0.82</w:t>
                  </w:r>
                </w:p>
              </w:tc>
              <w:tc>
                <w:tcPr>
                  <w:tcW w:w="375" w:type="pct"/>
                  <w:vMerge w:val="continue"/>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rPr>
                  </w:pP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rPr>
                  </w:pPr>
                  <w:r>
                    <w:rPr>
                      <w:rFonts w:hint="eastAsia" w:cs="Times New Roman"/>
                      <w:color w:val="0000FF"/>
                      <w:sz w:val="21"/>
                      <w:szCs w:val="21"/>
                      <w:lang w:val="en-US" w:eastAsia="zh-CN"/>
                    </w:rPr>
                    <w:t>300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13"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蒸煮</w:t>
                  </w:r>
                </w:p>
              </w:tc>
              <w:tc>
                <w:tcPr>
                  <w:tcW w:w="297"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臭气浓度</w:t>
                  </w: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w:t>
                  </w:r>
                </w:p>
              </w:tc>
              <w:tc>
                <w:tcPr>
                  <w:tcW w:w="348"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w:t>
                  </w:r>
                </w:p>
              </w:tc>
              <w:tc>
                <w:tcPr>
                  <w:tcW w:w="402" w:type="pct"/>
                  <w:tcBorders>
                    <w:tl2br w:val="nil"/>
                    <w:tr2bl w:val="nil"/>
                  </w:tcBorders>
                  <w:noWrap w:val="0"/>
                  <w:vAlign w:val="center"/>
                </w:tcPr>
                <w:p>
                  <w:pPr>
                    <w:keepNext w:val="0"/>
                    <w:keepLines w:val="0"/>
                    <w:pageBreakBefore w:val="0"/>
                    <w:widowControl/>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w:t>
                  </w:r>
                </w:p>
              </w:tc>
              <w:tc>
                <w:tcPr>
                  <w:tcW w:w="213"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无</w:t>
                  </w:r>
                </w:p>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组</w:t>
                  </w:r>
                </w:p>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rPr>
                    <w:t>织</w:t>
                  </w:r>
                </w:p>
              </w:tc>
              <w:tc>
                <w:tcPr>
                  <w:tcW w:w="4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加强车间通风</w:t>
                  </w:r>
                </w:p>
              </w:tc>
              <w:tc>
                <w:tcPr>
                  <w:tcW w:w="213"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是</w:t>
                  </w: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w:t>
                  </w:r>
                </w:p>
              </w:tc>
              <w:tc>
                <w:tcPr>
                  <w:tcW w:w="456"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w:t>
                  </w:r>
                </w:p>
              </w:tc>
              <w:tc>
                <w:tcPr>
                  <w:tcW w:w="375"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900</w:t>
                  </w:r>
                </w:p>
              </w:tc>
              <w:tc>
                <w:tcPr>
                  <w:tcW w:w="393"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13"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灰渣间</w:t>
                  </w:r>
                </w:p>
              </w:tc>
              <w:tc>
                <w:tcPr>
                  <w:tcW w:w="297"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颗粒物</w:t>
                  </w: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w:t>
                  </w:r>
                </w:p>
              </w:tc>
              <w:tc>
                <w:tcPr>
                  <w:tcW w:w="348"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0.072</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0.065</w:t>
                  </w:r>
                </w:p>
              </w:tc>
              <w:tc>
                <w:tcPr>
                  <w:tcW w:w="402" w:type="pct"/>
                  <w:tcBorders>
                    <w:tl2br w:val="nil"/>
                    <w:tr2bl w:val="nil"/>
                  </w:tcBorders>
                  <w:noWrap w:val="0"/>
                  <w:vAlign w:val="center"/>
                </w:tcPr>
                <w:p>
                  <w:pPr>
                    <w:keepNext w:val="0"/>
                    <w:keepLines w:val="0"/>
                    <w:pageBreakBefore w:val="0"/>
                    <w:widowControl/>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w:t>
                  </w:r>
                </w:p>
              </w:tc>
              <w:tc>
                <w:tcPr>
                  <w:tcW w:w="213"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无</w:t>
                  </w:r>
                </w:p>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组</w:t>
                  </w:r>
                </w:p>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rPr>
                    <w:t>织</w:t>
                  </w:r>
                </w:p>
              </w:tc>
              <w:tc>
                <w:tcPr>
                  <w:tcW w:w="4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洒水降尘</w:t>
                  </w:r>
                </w:p>
              </w:tc>
              <w:tc>
                <w:tcPr>
                  <w:tcW w:w="213"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是</w:t>
                  </w: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0.022</w:t>
                  </w:r>
                </w:p>
              </w:tc>
              <w:tc>
                <w:tcPr>
                  <w:tcW w:w="456"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0.0195</w:t>
                  </w:r>
                </w:p>
              </w:tc>
              <w:tc>
                <w:tcPr>
                  <w:tcW w:w="375"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900</w:t>
                  </w:r>
                </w:p>
              </w:tc>
              <w:tc>
                <w:tcPr>
                  <w:tcW w:w="393"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1</w:t>
                  </w:r>
                  <w:r>
                    <w:rPr>
                      <w:rFonts w:hint="default" w:ascii="Times New Roman" w:hAnsi="Times New Roman" w:cs="Times New Roman"/>
                      <w:color w:val="0000FF"/>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13"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食堂</w:t>
                  </w:r>
                </w:p>
              </w:tc>
              <w:tc>
                <w:tcPr>
                  <w:tcW w:w="297"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油烟</w:t>
                  </w: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5.00</w:t>
                  </w:r>
                </w:p>
              </w:tc>
              <w:tc>
                <w:tcPr>
                  <w:tcW w:w="348"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0.03</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0.0054</w:t>
                  </w:r>
                </w:p>
              </w:tc>
              <w:tc>
                <w:tcPr>
                  <w:tcW w:w="402" w:type="pct"/>
                  <w:tcBorders>
                    <w:tl2br w:val="nil"/>
                    <w:tr2bl w:val="nil"/>
                  </w:tcBorders>
                  <w:noWrap w:val="0"/>
                  <w:vAlign w:val="center"/>
                </w:tcPr>
                <w:p>
                  <w:pPr>
                    <w:keepNext w:val="0"/>
                    <w:keepLines w:val="0"/>
                    <w:pageBreakBefore w:val="0"/>
                    <w:widowControl/>
                    <w:shd w:val="clear"/>
                    <w:kinsoku/>
                    <w:wordWrap/>
                    <w:overflowPunct/>
                    <w:topLinePunct w:val="0"/>
                    <w:autoSpaceDE/>
                    <w:autoSpaceDN/>
                    <w:bidi w:val="0"/>
                    <w:adjustRightInd/>
                    <w:snapToGrid/>
                    <w:ind w:left="-21" w:leftChars="-10" w:right="-21" w:rightChars="-10"/>
                    <w:jc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6000</w:t>
                  </w:r>
                </w:p>
              </w:tc>
              <w:tc>
                <w:tcPr>
                  <w:tcW w:w="21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有</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组</w:t>
                  </w:r>
                </w:p>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织</w:t>
                  </w:r>
                </w:p>
              </w:tc>
              <w:tc>
                <w:tcPr>
                  <w:tcW w:w="4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rPr>
                    <w:t>油烟净化设施</w:t>
                  </w:r>
                  <w:r>
                    <w:rPr>
                      <w:rFonts w:hint="default" w:ascii="Times New Roman" w:hAnsi="Times New Roman" w:cs="Times New Roman"/>
                      <w:color w:val="0000FF"/>
                      <w:sz w:val="21"/>
                      <w:szCs w:val="21"/>
                      <w:lang w:val="en-US" w:eastAsia="zh-CN"/>
                    </w:rPr>
                    <w:t>（效率75%）</w:t>
                  </w:r>
                </w:p>
              </w:tc>
              <w:tc>
                <w:tcPr>
                  <w:tcW w:w="213"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是</w:t>
                  </w:r>
                </w:p>
              </w:tc>
              <w:tc>
                <w:tcPr>
                  <w:tcW w:w="393"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1.25</w:t>
                  </w:r>
                </w:p>
              </w:tc>
              <w:tc>
                <w:tcPr>
                  <w:tcW w:w="402"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p>
              </w:tc>
              <w:tc>
                <w:tcPr>
                  <w:tcW w:w="456" w:type="pct"/>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ind w:left="-21" w:leftChars="-10" w:right="-21" w:rightChars="-10"/>
                    <w:jc w:val="center"/>
                    <w:textAlignment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0.00135</w:t>
                  </w:r>
                </w:p>
              </w:tc>
              <w:tc>
                <w:tcPr>
                  <w:tcW w:w="375"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180</w:t>
                  </w:r>
                </w:p>
              </w:tc>
              <w:tc>
                <w:tcPr>
                  <w:tcW w:w="393" w:type="pct"/>
                  <w:tcBorders>
                    <w:tl2br w:val="nil"/>
                    <w:tr2bl w:val="nil"/>
                  </w:tcBorders>
                  <w:noWrap w:val="0"/>
                  <w:vAlign w:val="center"/>
                </w:tcPr>
                <w:p>
                  <w:pPr>
                    <w:keepNext w:val="0"/>
                    <w:keepLines w:val="0"/>
                    <w:pageBreakBefore w:val="0"/>
                    <w:shd w:val="clear"/>
                    <w:kinsoku/>
                    <w:wordWrap/>
                    <w:overflowPunct/>
                    <w:topLinePunct w:val="0"/>
                    <w:autoSpaceDE/>
                    <w:autoSpaceDN/>
                    <w:bidi w:val="0"/>
                    <w:adjustRightInd/>
                    <w:snapToGrid/>
                    <w:ind w:left="-21" w:leftChars="-10" w:right="-21" w:rightChars="-10"/>
                    <w:jc w:val="center"/>
                    <w:textAlignment w:val="baseline"/>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2.0</w:t>
                  </w:r>
                </w:p>
              </w:tc>
            </w:tr>
          </w:tbl>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FF"/>
                <w:sz w:val="24"/>
                <w:szCs w:val="32"/>
                <w:lang w:val="en-US" w:eastAsia="zh-CN"/>
              </w:rPr>
            </w:pPr>
            <w:r>
              <w:rPr>
                <w:rFonts w:hint="default" w:ascii="Times New Roman" w:hAnsi="Times New Roman" w:cs="Times New Roman"/>
                <w:color w:val="0000FF"/>
                <w:sz w:val="24"/>
                <w:szCs w:val="32"/>
                <w:lang w:val="en-US" w:eastAsia="zh-CN"/>
              </w:rPr>
              <w:t>源强计算过程：</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FF"/>
                <w:sz w:val="24"/>
                <w:szCs w:val="32"/>
                <w:lang w:val="en-US" w:eastAsia="zh-CN"/>
              </w:rPr>
            </w:pPr>
            <w:r>
              <w:rPr>
                <w:rFonts w:hint="default" w:ascii="Times New Roman" w:hAnsi="Times New Roman" w:cs="Times New Roman"/>
                <w:color w:val="0000FF"/>
                <w:sz w:val="24"/>
                <w:szCs w:val="32"/>
                <w:lang w:val="en-US" w:eastAsia="zh-CN"/>
              </w:rPr>
              <w:t>（1）</w:t>
            </w:r>
            <w:r>
              <w:rPr>
                <w:rFonts w:hint="default" w:ascii="Times New Roman" w:hAnsi="Times New Roman" w:cs="Times New Roman"/>
                <w:color w:val="0000FF"/>
                <w:sz w:val="24"/>
                <w:szCs w:val="32"/>
                <w:lang w:eastAsia="zh-CN"/>
              </w:rPr>
              <w:t>锅炉烟气</w:t>
            </w:r>
          </w:p>
          <w:p>
            <w:pPr>
              <w:shd w:val="clear"/>
              <w:adjustRightInd w:val="0"/>
              <w:snapToGrid w:val="0"/>
              <w:spacing w:line="360" w:lineRule="auto"/>
              <w:ind w:firstLine="480" w:firstLineChars="200"/>
              <w:jc w:val="left"/>
              <w:rPr>
                <w:color w:val="0000FF"/>
                <w:sz w:val="24"/>
              </w:rPr>
            </w:pPr>
            <w:r>
              <w:rPr>
                <w:rFonts w:hint="eastAsia"/>
                <w:color w:val="0000FF"/>
                <w:sz w:val="24"/>
              </w:rPr>
              <w:t>1</w:t>
            </w:r>
            <w:r>
              <w:rPr>
                <w:rFonts w:hint="eastAsia"/>
                <w:color w:val="0000FF"/>
                <w:sz w:val="24"/>
                <w:lang w:eastAsia="zh-CN"/>
              </w:rPr>
              <w:t>、</w:t>
            </w:r>
            <w:r>
              <w:rPr>
                <w:rFonts w:hint="eastAsia"/>
                <w:color w:val="0000FF"/>
                <w:sz w:val="24"/>
              </w:rPr>
              <w:t>废气污染源强核算</w:t>
            </w:r>
          </w:p>
          <w:p>
            <w:pPr>
              <w:shd w:val="clear"/>
              <w:adjustRightInd w:val="0"/>
              <w:snapToGrid w:val="0"/>
              <w:spacing w:line="360" w:lineRule="auto"/>
              <w:ind w:firstLine="480" w:firstLineChars="200"/>
              <w:jc w:val="left"/>
              <w:rPr>
                <w:color w:val="0000FF"/>
                <w:sz w:val="24"/>
              </w:rPr>
            </w:pPr>
            <w:r>
              <w:rPr>
                <w:color w:val="0000FF"/>
                <w:sz w:val="24"/>
              </w:rPr>
              <w:t>本项目生产废气主要为</w:t>
            </w:r>
            <w:r>
              <w:rPr>
                <w:rFonts w:hint="eastAsia"/>
                <w:color w:val="0000FF"/>
                <w:sz w:val="24"/>
              </w:rPr>
              <w:t>生产生物质蒸汽锅炉</w:t>
            </w:r>
            <w:r>
              <w:rPr>
                <w:color w:val="0000FF"/>
                <w:sz w:val="24"/>
              </w:rPr>
              <w:t>废气</w:t>
            </w:r>
            <w:r>
              <w:rPr>
                <w:rFonts w:hint="eastAsia"/>
                <w:color w:val="0000FF"/>
                <w:sz w:val="24"/>
              </w:rPr>
              <w:t>、煮玉米异味、食堂油烟</w:t>
            </w:r>
            <w:r>
              <w:rPr>
                <w:color w:val="0000FF"/>
                <w:sz w:val="24"/>
              </w:rPr>
              <w:t>。</w:t>
            </w:r>
          </w:p>
          <w:p>
            <w:pPr>
              <w:shd w:val="clear"/>
              <w:spacing w:line="360" w:lineRule="auto"/>
              <w:ind w:firstLine="456" w:firstLineChars="190"/>
              <w:outlineLvl w:val="0"/>
              <w:rPr>
                <w:color w:val="0000FF"/>
                <w:sz w:val="24"/>
              </w:rPr>
            </w:pPr>
            <w:bookmarkStart w:id="10" w:name="_Toc28582"/>
            <w:r>
              <w:rPr>
                <w:rFonts w:hint="eastAsia"/>
                <w:color w:val="0000FF"/>
                <w:sz w:val="24"/>
              </w:rPr>
              <w:t>（1）生物质蒸汽锅炉</w:t>
            </w:r>
            <w:r>
              <w:rPr>
                <w:color w:val="0000FF"/>
                <w:sz w:val="24"/>
              </w:rPr>
              <w:t>废气</w:t>
            </w:r>
            <w:bookmarkEnd w:id="10"/>
          </w:p>
          <w:p>
            <w:pPr>
              <w:shd w:val="clear"/>
              <w:adjustRightInd w:val="0"/>
              <w:snapToGrid w:val="0"/>
              <w:spacing w:line="360" w:lineRule="auto"/>
              <w:ind w:firstLine="480" w:firstLineChars="200"/>
              <w:rPr>
                <w:rFonts w:cs="MS Gothic"/>
                <w:bCs/>
                <w:color w:val="0000FF"/>
                <w:sz w:val="24"/>
              </w:rPr>
            </w:pPr>
            <w:r>
              <w:rPr>
                <w:rFonts w:hint="eastAsia" w:cs="MS Gothic"/>
                <w:bCs/>
                <w:color w:val="0000FF"/>
                <w:sz w:val="24"/>
              </w:rPr>
              <w:t>根据《污染源源强核算技术指南 锅炉》（HJ 991-2018）附录C中对于项目生物质蒸汽锅炉的烟气量的计算，采用以下公式对项目生物蒸汽锅炉的烟气量进行核算。</w:t>
            </w:r>
          </w:p>
          <w:p>
            <w:pPr>
              <w:shd w:val="clear"/>
              <w:spacing w:line="360" w:lineRule="auto"/>
              <w:ind w:firstLine="480" w:firstLineChars="200"/>
              <w:rPr>
                <w:color w:val="0000FF"/>
                <w:sz w:val="24"/>
                <w:szCs w:val="22"/>
                <w:lang w:val="zh-CN"/>
              </w:rPr>
            </w:pPr>
            <w:r>
              <w:rPr>
                <w:rFonts w:hint="eastAsia"/>
                <w:color w:val="0000FF"/>
                <w:sz w:val="24"/>
                <w:szCs w:val="22"/>
                <w:lang w:val="zh-CN"/>
              </w:rPr>
              <w:t>①烟气排放量</w:t>
            </w:r>
          </w:p>
          <w:p>
            <w:pPr>
              <w:shd w:val="clear"/>
              <w:spacing w:line="360" w:lineRule="auto"/>
              <w:ind w:firstLine="480" w:firstLineChars="200"/>
              <w:rPr>
                <w:color w:val="0000FF"/>
                <w:sz w:val="24"/>
                <w:szCs w:val="22"/>
                <w:lang w:val="zh-CN"/>
              </w:rPr>
            </w:pPr>
            <w:r>
              <w:rPr>
                <w:rFonts w:hint="eastAsia"/>
                <w:color w:val="0000FF"/>
                <w:sz w:val="24"/>
                <w:szCs w:val="22"/>
                <w:lang w:val="zh-CN"/>
              </w:rPr>
              <w:t>理论烟气量计算：</w:t>
            </w:r>
          </w:p>
          <w:p>
            <w:pPr>
              <w:shd w:val="clear"/>
              <w:spacing w:line="360" w:lineRule="auto"/>
              <w:ind w:firstLine="480" w:firstLineChars="200"/>
              <w:jc w:val="center"/>
              <w:rPr>
                <w:color w:val="0000FF"/>
                <w:sz w:val="24"/>
                <w:szCs w:val="22"/>
                <w:lang w:val="zh-CN"/>
              </w:rPr>
            </w:pPr>
            <w:r>
              <w:rPr>
                <w:rFonts w:hint="eastAsia"/>
                <w:color w:val="0000FF"/>
                <w:position w:val="-12"/>
                <w:sz w:val="24"/>
                <w:szCs w:val="22"/>
                <w:lang w:val="zh-CN"/>
              </w:rPr>
              <w:object>
                <v:shape id="_x0000_i1025" o:spt="75" type="#_x0000_t75" style="height:18pt;width:247.95pt;" o:ole="t" filled="f" coordsize="21600,21600">
                  <v:path/>
                  <v:fill on="f" focussize="0,0"/>
                  <v:stroke/>
                  <v:imagedata r:id="rId17" o:title=""/>
                  <o:lock v:ext="edit" aspectratio="t"/>
                  <w10:wrap type="none"/>
                  <w10:anchorlock/>
                </v:shape>
                <o:OLEObject Type="Embed" ProgID="Equation.KSEE3" ShapeID="_x0000_i1025" DrawAspect="Content" ObjectID="_1468075725" r:id="rId16">
                  <o:LockedField>false</o:LockedField>
                </o:OLEObject>
              </w:object>
            </w:r>
          </w:p>
          <w:p>
            <w:pPr>
              <w:shd w:val="clear"/>
              <w:spacing w:line="360" w:lineRule="auto"/>
              <w:ind w:firstLine="480" w:firstLineChars="200"/>
              <w:rPr>
                <w:color w:val="0000FF"/>
                <w:sz w:val="24"/>
                <w:szCs w:val="20"/>
              </w:rPr>
            </w:pPr>
            <w:r>
              <w:rPr>
                <w:rFonts w:hint="eastAsia"/>
                <w:color w:val="0000FF"/>
                <w:sz w:val="24"/>
                <w:szCs w:val="20"/>
              </w:rPr>
              <w:t>式中：V</w:t>
            </w:r>
            <w:r>
              <w:rPr>
                <w:rFonts w:hint="eastAsia"/>
                <w:color w:val="0000FF"/>
                <w:sz w:val="24"/>
                <w:szCs w:val="20"/>
                <w:vertAlign w:val="subscript"/>
              </w:rPr>
              <w:t>0</w:t>
            </w:r>
            <w:r>
              <w:rPr>
                <w:rFonts w:hint="eastAsia"/>
                <w:color w:val="0000FF"/>
                <w:sz w:val="24"/>
                <w:szCs w:val="20"/>
              </w:rPr>
              <w:t>——理论空气量，m</w:t>
            </w:r>
            <w:r>
              <w:rPr>
                <w:rFonts w:hint="eastAsia"/>
                <w:color w:val="0000FF"/>
                <w:sz w:val="24"/>
                <w:szCs w:val="20"/>
                <w:vertAlign w:val="superscript"/>
              </w:rPr>
              <w:t>3</w:t>
            </w:r>
            <w:r>
              <w:rPr>
                <w:rFonts w:hint="eastAsia"/>
                <w:color w:val="0000FF"/>
                <w:sz w:val="24"/>
                <w:szCs w:val="20"/>
              </w:rPr>
              <w:t>/kg；</w:t>
            </w:r>
          </w:p>
          <w:p>
            <w:pPr>
              <w:shd w:val="clear"/>
              <w:spacing w:line="360" w:lineRule="auto"/>
              <w:ind w:firstLine="1200" w:firstLineChars="500"/>
              <w:rPr>
                <w:color w:val="0000FF"/>
                <w:sz w:val="24"/>
                <w:szCs w:val="20"/>
              </w:rPr>
            </w:pPr>
            <w:r>
              <w:rPr>
                <w:rFonts w:hint="eastAsia"/>
                <w:color w:val="0000FF"/>
                <w:sz w:val="24"/>
                <w:szCs w:val="20"/>
              </w:rPr>
              <w:t>C</w:t>
            </w:r>
            <w:r>
              <w:rPr>
                <w:rFonts w:hint="eastAsia"/>
                <w:color w:val="0000FF"/>
                <w:sz w:val="24"/>
                <w:szCs w:val="20"/>
                <w:vertAlign w:val="subscript"/>
              </w:rPr>
              <w:t>ar</w:t>
            </w:r>
            <w:r>
              <w:rPr>
                <w:rFonts w:hint="eastAsia"/>
                <w:color w:val="0000FF"/>
                <w:sz w:val="24"/>
                <w:szCs w:val="20"/>
              </w:rPr>
              <w:t>——收到基碳的质量分数，36.52%；</w:t>
            </w:r>
          </w:p>
          <w:p>
            <w:pPr>
              <w:shd w:val="clear"/>
              <w:spacing w:line="360" w:lineRule="auto"/>
              <w:ind w:firstLine="1200" w:firstLineChars="500"/>
              <w:rPr>
                <w:color w:val="0000FF"/>
                <w:sz w:val="24"/>
                <w:szCs w:val="20"/>
              </w:rPr>
            </w:pPr>
            <w:r>
              <w:rPr>
                <w:rFonts w:hint="eastAsia"/>
                <w:color w:val="0000FF"/>
                <w:sz w:val="24"/>
                <w:szCs w:val="20"/>
              </w:rPr>
              <w:t>S</w:t>
            </w:r>
            <w:r>
              <w:rPr>
                <w:rFonts w:hint="eastAsia"/>
                <w:color w:val="0000FF"/>
                <w:sz w:val="24"/>
                <w:szCs w:val="20"/>
                <w:vertAlign w:val="subscript"/>
              </w:rPr>
              <w:t>ar</w:t>
            </w:r>
            <w:r>
              <w:rPr>
                <w:rFonts w:hint="eastAsia"/>
                <w:color w:val="0000FF"/>
                <w:sz w:val="24"/>
                <w:szCs w:val="20"/>
              </w:rPr>
              <w:t>——收到基硫的质量分数，0.03%；</w:t>
            </w:r>
          </w:p>
          <w:p>
            <w:pPr>
              <w:shd w:val="clear"/>
              <w:spacing w:line="360" w:lineRule="auto"/>
              <w:ind w:firstLine="1200" w:firstLineChars="500"/>
              <w:rPr>
                <w:color w:val="0000FF"/>
                <w:sz w:val="24"/>
                <w:szCs w:val="20"/>
              </w:rPr>
            </w:pPr>
            <w:r>
              <w:rPr>
                <w:rFonts w:hint="eastAsia"/>
                <w:color w:val="0000FF"/>
                <w:sz w:val="24"/>
                <w:szCs w:val="20"/>
              </w:rPr>
              <w:t>H</w:t>
            </w:r>
            <w:r>
              <w:rPr>
                <w:rFonts w:hint="eastAsia"/>
                <w:color w:val="0000FF"/>
                <w:sz w:val="24"/>
                <w:szCs w:val="20"/>
                <w:vertAlign w:val="subscript"/>
              </w:rPr>
              <w:t>ar</w:t>
            </w:r>
            <w:r>
              <w:rPr>
                <w:rFonts w:hint="eastAsia"/>
                <w:color w:val="0000FF"/>
                <w:sz w:val="24"/>
                <w:szCs w:val="20"/>
              </w:rPr>
              <w:t>——收到基氢的质量分数，4.08%；</w:t>
            </w:r>
          </w:p>
          <w:p>
            <w:pPr>
              <w:shd w:val="clear"/>
              <w:spacing w:line="360" w:lineRule="auto"/>
              <w:ind w:firstLine="1200" w:firstLineChars="500"/>
              <w:rPr>
                <w:color w:val="0000FF"/>
                <w:sz w:val="24"/>
                <w:szCs w:val="20"/>
              </w:rPr>
            </w:pPr>
            <w:r>
              <w:rPr>
                <w:rFonts w:hint="eastAsia"/>
                <w:color w:val="0000FF"/>
                <w:sz w:val="24"/>
                <w:szCs w:val="20"/>
              </w:rPr>
              <w:t>O</w:t>
            </w:r>
            <w:r>
              <w:rPr>
                <w:rFonts w:hint="eastAsia"/>
                <w:color w:val="0000FF"/>
                <w:sz w:val="24"/>
                <w:szCs w:val="20"/>
                <w:vertAlign w:val="subscript"/>
              </w:rPr>
              <w:t>ar</w:t>
            </w:r>
            <w:r>
              <w:rPr>
                <w:rFonts w:hint="eastAsia"/>
                <w:color w:val="0000FF"/>
                <w:sz w:val="24"/>
                <w:szCs w:val="20"/>
              </w:rPr>
              <w:t>——收到基氧的质量分数，32.35%。</w:t>
            </w:r>
          </w:p>
          <w:p>
            <w:pPr>
              <w:shd w:val="clear"/>
              <w:spacing w:line="360" w:lineRule="auto"/>
              <w:ind w:firstLine="480" w:firstLineChars="200"/>
              <w:rPr>
                <w:color w:val="0000FF"/>
                <w:sz w:val="24"/>
                <w:szCs w:val="20"/>
              </w:rPr>
            </w:pPr>
            <w:r>
              <w:rPr>
                <w:rFonts w:hint="eastAsia"/>
                <w:color w:val="0000FF"/>
                <w:sz w:val="24"/>
                <w:szCs w:val="20"/>
              </w:rPr>
              <w:t>经计算，本项目燃料产生的理论空气量为</w:t>
            </w:r>
            <w:r>
              <w:rPr>
                <w:rFonts w:hint="eastAsia"/>
                <w:color w:val="0000FF"/>
                <w:sz w:val="24"/>
                <w:szCs w:val="20"/>
                <w:lang w:val="en-US" w:eastAsia="zh-CN"/>
              </w:rPr>
              <w:t>3.252</w:t>
            </w:r>
            <w:r>
              <w:rPr>
                <w:rFonts w:hint="eastAsia"/>
                <w:color w:val="0000FF"/>
                <w:sz w:val="24"/>
                <w:szCs w:val="20"/>
              </w:rPr>
              <w:t>m</w:t>
            </w:r>
            <w:r>
              <w:rPr>
                <w:rFonts w:hint="eastAsia"/>
                <w:color w:val="0000FF"/>
                <w:sz w:val="24"/>
                <w:szCs w:val="20"/>
                <w:vertAlign w:val="superscript"/>
              </w:rPr>
              <w:t>3</w:t>
            </w:r>
            <w:r>
              <w:rPr>
                <w:rFonts w:hint="eastAsia"/>
                <w:color w:val="0000FF"/>
                <w:sz w:val="24"/>
                <w:szCs w:val="20"/>
              </w:rPr>
              <w:t>/kg。</w:t>
            </w:r>
          </w:p>
          <w:p>
            <w:pPr>
              <w:shd w:val="clear"/>
              <w:spacing w:line="360" w:lineRule="auto"/>
              <w:ind w:firstLine="480" w:firstLineChars="200"/>
              <w:rPr>
                <w:color w:val="0000FF"/>
                <w:sz w:val="24"/>
                <w:szCs w:val="20"/>
              </w:rPr>
            </w:pPr>
            <w:r>
              <w:rPr>
                <w:rFonts w:hint="eastAsia"/>
                <w:color w:val="0000FF"/>
                <w:sz w:val="24"/>
                <w:szCs w:val="20"/>
              </w:rPr>
              <w:t>烟气排放量计算：</w:t>
            </w:r>
          </w:p>
          <w:p>
            <w:pPr>
              <w:shd w:val="clear"/>
              <w:spacing w:line="360" w:lineRule="auto"/>
              <w:jc w:val="center"/>
              <w:rPr>
                <w:color w:val="0000FF"/>
                <w:sz w:val="24"/>
                <w:szCs w:val="20"/>
                <w:lang w:bidi="zh-CN"/>
              </w:rPr>
            </w:pPr>
            <w:r>
              <w:rPr>
                <w:rFonts w:hint="eastAsia"/>
                <w:color w:val="0000FF"/>
                <w:position w:val="-24"/>
                <w:sz w:val="24"/>
                <w:szCs w:val="20"/>
                <w:lang w:bidi="zh-CN"/>
              </w:rPr>
              <w:object>
                <v:shape id="_x0000_i1026" o:spt="75" type="#_x0000_t75" style="height:31pt;width:201pt;" o:ole="t" filled="f" coordsize="21600,21600">
                  <v:path/>
                  <v:fill on="f" focussize="0,0"/>
                  <v:stroke/>
                  <v:imagedata r:id="rId19" o:title=""/>
                  <o:lock v:ext="edit" aspectratio="t"/>
                  <w10:wrap type="none"/>
                  <w10:anchorlock/>
                </v:shape>
                <o:OLEObject Type="Embed" ProgID="Equation.KSEE3" ShapeID="_x0000_i1026" DrawAspect="Content" ObjectID="_1468075726" r:id="rId18">
                  <o:LockedField>false</o:LockedField>
                </o:OLEObject>
              </w:object>
            </w:r>
          </w:p>
          <w:p>
            <w:pPr>
              <w:shd w:val="clear"/>
              <w:spacing w:line="360" w:lineRule="auto"/>
              <w:jc w:val="center"/>
              <w:rPr>
                <w:color w:val="0000FF"/>
                <w:sz w:val="24"/>
                <w:szCs w:val="20"/>
                <w:lang w:bidi="zh-CN"/>
              </w:rPr>
            </w:pPr>
            <w:r>
              <w:rPr>
                <w:rFonts w:hint="eastAsia"/>
                <w:color w:val="0000FF"/>
                <w:position w:val="-24"/>
                <w:sz w:val="24"/>
                <w:szCs w:val="20"/>
                <w:lang w:bidi="zh-CN"/>
              </w:rPr>
              <w:object>
                <v:shape id="_x0000_i1027" o:spt="75" type="#_x0000_t75" style="height:31pt;width:117pt;" o:ole="t" filled="f" coordsize="21600,21600">
                  <v:path/>
                  <v:fill on="f" focussize="0,0"/>
                  <v:stroke/>
                  <v:imagedata r:id="rId21" o:title=""/>
                  <o:lock v:ext="edit" aspectratio="t"/>
                  <w10:wrap type="none"/>
                  <w10:anchorlock/>
                </v:shape>
                <o:OLEObject Type="Embed" ProgID="Equation.KSEE3" ShapeID="_x0000_i1027" DrawAspect="Content" ObjectID="_1468075727" r:id="rId20">
                  <o:LockedField>false</o:LockedField>
                </o:OLEObject>
              </w:object>
            </w:r>
          </w:p>
          <w:p>
            <w:pPr>
              <w:shd w:val="clear"/>
              <w:spacing w:line="360" w:lineRule="auto"/>
              <w:jc w:val="center"/>
              <w:rPr>
                <w:color w:val="0000FF"/>
                <w:sz w:val="24"/>
                <w:szCs w:val="20"/>
                <w:lang w:bidi="zh-CN"/>
              </w:rPr>
            </w:pPr>
            <w:r>
              <w:rPr>
                <w:rFonts w:hint="eastAsia"/>
                <w:color w:val="0000FF"/>
                <w:position w:val="-14"/>
                <w:sz w:val="24"/>
                <w:szCs w:val="20"/>
                <w:lang w:bidi="zh-CN"/>
              </w:rPr>
              <w:object>
                <v:shape id="_x0000_i1028" o:spt="75" type="#_x0000_t75" style="height:19pt;width:124pt;" o:ole="t" filled="f" coordsize="21600,21600">
                  <v:path/>
                  <v:fill on="f" focussize="0,0"/>
                  <v:stroke/>
                  <v:imagedata r:id="rId23" o:title=""/>
                  <o:lock v:ext="edit" aspectratio="t"/>
                  <w10:wrap type="none"/>
                  <w10:anchorlock/>
                </v:shape>
                <o:OLEObject Type="Embed" ProgID="Equation.KSEE3" ShapeID="_x0000_i1028" DrawAspect="Content" ObjectID="_1468075728" r:id="rId22">
                  <o:LockedField>false</o:LockedField>
                </o:OLEObject>
              </w:object>
            </w:r>
          </w:p>
          <w:p>
            <w:pPr>
              <w:shd w:val="clear"/>
              <w:spacing w:line="360" w:lineRule="auto"/>
              <w:jc w:val="center"/>
              <w:rPr>
                <w:color w:val="0000FF"/>
                <w:sz w:val="24"/>
                <w:szCs w:val="20"/>
                <w:lang w:bidi="zh-CN"/>
              </w:rPr>
            </w:pPr>
            <w:r>
              <w:rPr>
                <w:rFonts w:hint="eastAsia"/>
                <w:color w:val="0000FF"/>
                <w:position w:val="-14"/>
                <w:sz w:val="24"/>
                <w:szCs w:val="20"/>
                <w:lang w:bidi="zh-CN"/>
              </w:rPr>
              <w:object>
                <v:shape id="_x0000_i1029" o:spt="75" type="#_x0000_t75" style="height:19pt;width:244pt;" o:ole="t" filled="f" coordsize="21600,21600">
                  <v:path/>
                  <v:fill on="f" focussize="0,0"/>
                  <v:stroke/>
                  <v:imagedata r:id="rId25" o:title=""/>
                  <o:lock v:ext="edit" aspectratio="t"/>
                  <w10:wrap type="none"/>
                  <w10:anchorlock/>
                </v:shape>
                <o:OLEObject Type="Embed" ProgID="Equation.KSEE3" ShapeID="_x0000_i1029" DrawAspect="Content" ObjectID="_1468075729" r:id="rId24">
                  <o:LockedField>false</o:LockedField>
                </o:OLEObject>
              </w:object>
            </w:r>
          </w:p>
          <w:p>
            <w:pPr>
              <w:shd w:val="clear"/>
              <w:spacing w:line="360" w:lineRule="auto"/>
              <w:jc w:val="center"/>
              <w:rPr>
                <w:color w:val="0000FF"/>
                <w:sz w:val="24"/>
                <w:szCs w:val="20"/>
              </w:rPr>
            </w:pPr>
            <w:r>
              <w:rPr>
                <w:rFonts w:hint="eastAsia"/>
                <w:color w:val="0000FF"/>
                <w:position w:val="-14"/>
                <w:sz w:val="24"/>
                <w:szCs w:val="20"/>
                <w:lang w:bidi="zh-CN"/>
              </w:rPr>
              <w:object>
                <v:shape id="_x0000_i1030" o:spt="75" type="#_x0000_t75" style="height:19pt;width:161pt;" o:ole="t" filled="f" coordsize="21600,21600">
                  <v:path/>
                  <v:fill on="f" focussize="0,0"/>
                  <v:stroke/>
                  <v:imagedata r:id="rId27" o:title=""/>
                  <o:lock v:ext="edit" aspectratio="t"/>
                  <w10:wrap type="none"/>
                  <w10:anchorlock/>
                </v:shape>
                <o:OLEObject Type="Embed" ProgID="Equation.KSEE3" ShapeID="_x0000_i1030" DrawAspect="Content" ObjectID="_1468075730" r:id="rId26">
                  <o:LockedField>false</o:LockedField>
                </o:OLEObject>
              </w:object>
            </w:r>
          </w:p>
          <w:p>
            <w:pPr>
              <w:shd w:val="clear"/>
              <w:spacing w:line="360" w:lineRule="auto"/>
              <w:ind w:firstLine="480" w:firstLineChars="200"/>
              <w:rPr>
                <w:color w:val="0000FF"/>
                <w:sz w:val="24"/>
                <w:szCs w:val="20"/>
              </w:rPr>
            </w:pPr>
            <w:r>
              <w:rPr>
                <w:rFonts w:hint="eastAsia"/>
                <w:color w:val="0000FF"/>
                <w:sz w:val="24"/>
                <w:szCs w:val="20"/>
              </w:rPr>
              <w:t>式中：V</w:t>
            </w:r>
            <w:r>
              <w:rPr>
                <w:rFonts w:hint="eastAsia"/>
                <w:color w:val="0000FF"/>
                <w:sz w:val="24"/>
                <w:szCs w:val="20"/>
                <w:vertAlign w:val="subscript"/>
              </w:rPr>
              <w:t>RO2</w:t>
            </w:r>
            <w:r>
              <w:rPr>
                <w:rFonts w:hint="eastAsia"/>
                <w:color w:val="0000FF"/>
                <w:sz w:val="24"/>
                <w:szCs w:val="20"/>
              </w:rPr>
              <w:t>——烟气中二氧化碳（V</w:t>
            </w:r>
            <w:r>
              <w:rPr>
                <w:rFonts w:hint="eastAsia"/>
                <w:color w:val="0000FF"/>
                <w:sz w:val="24"/>
                <w:szCs w:val="20"/>
                <w:vertAlign w:val="subscript"/>
              </w:rPr>
              <w:t>CO2</w:t>
            </w:r>
            <w:r>
              <w:rPr>
                <w:rFonts w:hint="eastAsia"/>
                <w:color w:val="0000FF"/>
                <w:sz w:val="24"/>
                <w:szCs w:val="20"/>
              </w:rPr>
              <w:t>）和二氧化硫（V</w:t>
            </w:r>
            <w:r>
              <w:rPr>
                <w:rFonts w:hint="eastAsia"/>
                <w:color w:val="0000FF"/>
                <w:sz w:val="24"/>
                <w:szCs w:val="20"/>
                <w:vertAlign w:val="subscript"/>
              </w:rPr>
              <w:t>SO2</w:t>
            </w:r>
            <w:r>
              <w:rPr>
                <w:rFonts w:hint="eastAsia"/>
                <w:color w:val="0000FF"/>
                <w:sz w:val="24"/>
                <w:szCs w:val="20"/>
              </w:rPr>
              <w:t>）容积之和， m</w:t>
            </w:r>
            <w:r>
              <w:rPr>
                <w:rFonts w:hint="eastAsia"/>
                <w:color w:val="0000FF"/>
                <w:sz w:val="24"/>
                <w:szCs w:val="20"/>
                <w:vertAlign w:val="superscript"/>
              </w:rPr>
              <w:t>3</w:t>
            </w:r>
            <w:r>
              <w:rPr>
                <w:rFonts w:hint="eastAsia"/>
                <w:color w:val="0000FF"/>
                <w:sz w:val="24"/>
                <w:szCs w:val="20"/>
              </w:rPr>
              <w:t>/kg；</w:t>
            </w:r>
          </w:p>
          <w:p>
            <w:pPr>
              <w:shd w:val="clear"/>
              <w:spacing w:line="360" w:lineRule="auto"/>
              <w:ind w:firstLine="1200" w:firstLineChars="500"/>
              <w:rPr>
                <w:color w:val="0000FF"/>
                <w:sz w:val="24"/>
                <w:szCs w:val="20"/>
              </w:rPr>
            </w:pPr>
            <w:r>
              <w:rPr>
                <w:rFonts w:hint="eastAsia"/>
                <w:color w:val="0000FF"/>
                <w:sz w:val="24"/>
                <w:szCs w:val="20"/>
              </w:rPr>
              <w:t>C</w:t>
            </w:r>
            <w:r>
              <w:rPr>
                <w:rFonts w:hint="eastAsia"/>
                <w:color w:val="0000FF"/>
                <w:sz w:val="24"/>
                <w:szCs w:val="20"/>
                <w:vertAlign w:val="subscript"/>
              </w:rPr>
              <w:t>ar</w:t>
            </w:r>
            <w:r>
              <w:rPr>
                <w:rFonts w:hint="eastAsia"/>
                <w:color w:val="0000FF"/>
                <w:sz w:val="24"/>
                <w:szCs w:val="20"/>
              </w:rPr>
              <w:t>——收到基碳的质量分数，36.52%；</w:t>
            </w:r>
          </w:p>
          <w:p>
            <w:pPr>
              <w:shd w:val="clear"/>
              <w:spacing w:line="360" w:lineRule="auto"/>
              <w:ind w:firstLine="1200" w:firstLineChars="500"/>
              <w:rPr>
                <w:color w:val="0000FF"/>
                <w:sz w:val="24"/>
                <w:szCs w:val="20"/>
              </w:rPr>
            </w:pPr>
            <w:r>
              <w:rPr>
                <w:rFonts w:hint="eastAsia"/>
                <w:color w:val="0000FF"/>
                <w:sz w:val="24"/>
                <w:szCs w:val="20"/>
              </w:rPr>
              <w:t>S</w:t>
            </w:r>
            <w:r>
              <w:rPr>
                <w:rFonts w:hint="eastAsia"/>
                <w:color w:val="0000FF"/>
                <w:sz w:val="24"/>
                <w:szCs w:val="20"/>
                <w:vertAlign w:val="subscript"/>
              </w:rPr>
              <w:t>ar</w:t>
            </w:r>
            <w:r>
              <w:rPr>
                <w:rFonts w:hint="eastAsia"/>
                <w:color w:val="0000FF"/>
                <w:sz w:val="24"/>
                <w:szCs w:val="20"/>
              </w:rPr>
              <w:t>——收到基硫的质量分数，0.03%；</w:t>
            </w:r>
          </w:p>
          <w:p>
            <w:pPr>
              <w:shd w:val="clear"/>
              <w:spacing w:line="360" w:lineRule="auto"/>
              <w:ind w:firstLine="1200" w:firstLineChars="500"/>
              <w:rPr>
                <w:color w:val="0000FF"/>
                <w:sz w:val="24"/>
                <w:szCs w:val="20"/>
              </w:rPr>
            </w:pPr>
            <w:r>
              <w:rPr>
                <w:rFonts w:hint="eastAsia"/>
                <w:color w:val="0000FF"/>
                <w:sz w:val="24"/>
                <w:szCs w:val="20"/>
              </w:rPr>
              <w:t>V</w:t>
            </w:r>
            <w:r>
              <w:rPr>
                <w:rFonts w:hint="eastAsia"/>
                <w:color w:val="0000FF"/>
                <w:sz w:val="24"/>
                <w:szCs w:val="20"/>
                <w:vertAlign w:val="subscript"/>
              </w:rPr>
              <w:t>N2</w:t>
            </w:r>
            <w:r>
              <w:rPr>
                <w:rFonts w:hint="eastAsia"/>
                <w:color w:val="0000FF"/>
                <w:sz w:val="24"/>
                <w:szCs w:val="20"/>
              </w:rPr>
              <w:t>——烟气中氮气量，3.0m</w:t>
            </w:r>
            <w:r>
              <w:rPr>
                <w:rFonts w:hint="eastAsia"/>
                <w:color w:val="0000FF"/>
                <w:sz w:val="24"/>
                <w:szCs w:val="20"/>
                <w:vertAlign w:val="superscript"/>
              </w:rPr>
              <w:t>3</w:t>
            </w:r>
            <w:r>
              <w:rPr>
                <w:rFonts w:hint="eastAsia"/>
                <w:color w:val="0000FF"/>
                <w:sz w:val="24"/>
                <w:szCs w:val="20"/>
              </w:rPr>
              <w:t>/kg；</w:t>
            </w:r>
          </w:p>
          <w:p>
            <w:pPr>
              <w:shd w:val="clear"/>
              <w:spacing w:line="360" w:lineRule="auto"/>
              <w:ind w:firstLine="1200" w:firstLineChars="500"/>
              <w:rPr>
                <w:color w:val="0000FF"/>
                <w:sz w:val="24"/>
                <w:szCs w:val="20"/>
              </w:rPr>
            </w:pPr>
            <w:r>
              <w:rPr>
                <w:rFonts w:hint="eastAsia"/>
                <w:color w:val="0000FF"/>
                <w:sz w:val="24"/>
                <w:szCs w:val="20"/>
              </w:rPr>
              <w:t>N</w:t>
            </w:r>
            <w:r>
              <w:rPr>
                <w:rFonts w:hint="eastAsia"/>
                <w:color w:val="0000FF"/>
                <w:sz w:val="24"/>
                <w:szCs w:val="20"/>
                <w:vertAlign w:val="subscript"/>
              </w:rPr>
              <w:t>ar</w:t>
            </w:r>
            <w:r>
              <w:rPr>
                <w:rFonts w:hint="eastAsia"/>
                <w:color w:val="0000FF"/>
                <w:sz w:val="24"/>
                <w:szCs w:val="20"/>
              </w:rPr>
              <w:t>——收到基氮的质量分数，0.54%；</w:t>
            </w:r>
          </w:p>
          <w:p>
            <w:pPr>
              <w:shd w:val="clear"/>
              <w:spacing w:line="360" w:lineRule="auto"/>
              <w:ind w:firstLine="1200" w:firstLineChars="500"/>
              <w:rPr>
                <w:color w:val="0000FF"/>
                <w:sz w:val="24"/>
                <w:szCs w:val="20"/>
              </w:rPr>
            </w:pPr>
            <w:r>
              <w:rPr>
                <w:rFonts w:hint="eastAsia"/>
                <w:color w:val="0000FF"/>
                <w:sz w:val="24"/>
                <w:szCs w:val="20"/>
              </w:rPr>
              <w:t>V</w:t>
            </w:r>
            <w:r>
              <w:rPr>
                <w:rFonts w:hint="eastAsia"/>
                <w:color w:val="0000FF"/>
                <w:sz w:val="24"/>
                <w:szCs w:val="20"/>
                <w:vertAlign w:val="subscript"/>
              </w:rPr>
              <w:t>0</w:t>
            </w:r>
            <w:r>
              <w:rPr>
                <w:rFonts w:hint="eastAsia"/>
                <w:color w:val="0000FF"/>
                <w:sz w:val="24"/>
                <w:szCs w:val="20"/>
              </w:rPr>
              <w:t>——理论空气量，</w:t>
            </w:r>
            <w:r>
              <w:rPr>
                <w:rFonts w:hint="eastAsia"/>
                <w:color w:val="0000FF"/>
                <w:sz w:val="24"/>
                <w:szCs w:val="20"/>
                <w:lang w:val="en-US" w:eastAsia="zh-CN"/>
              </w:rPr>
              <w:t>5.693</w:t>
            </w:r>
            <w:r>
              <w:rPr>
                <w:rFonts w:hint="eastAsia"/>
                <w:color w:val="0000FF"/>
                <w:sz w:val="24"/>
                <w:szCs w:val="20"/>
              </w:rPr>
              <w:t>m</w:t>
            </w:r>
            <w:r>
              <w:rPr>
                <w:rFonts w:hint="eastAsia"/>
                <w:color w:val="0000FF"/>
                <w:sz w:val="24"/>
                <w:szCs w:val="20"/>
                <w:vertAlign w:val="superscript"/>
              </w:rPr>
              <w:t>3</w:t>
            </w:r>
            <w:r>
              <w:rPr>
                <w:rFonts w:hint="eastAsia"/>
                <w:color w:val="0000FF"/>
                <w:sz w:val="24"/>
                <w:szCs w:val="20"/>
              </w:rPr>
              <w:t>/kg；</w:t>
            </w:r>
          </w:p>
          <w:p>
            <w:pPr>
              <w:shd w:val="clear"/>
              <w:spacing w:line="360" w:lineRule="auto"/>
              <w:ind w:firstLine="1200" w:firstLineChars="500"/>
              <w:rPr>
                <w:color w:val="0000FF"/>
                <w:sz w:val="24"/>
                <w:szCs w:val="20"/>
              </w:rPr>
            </w:pPr>
            <w:r>
              <w:rPr>
                <w:rFonts w:hint="eastAsia"/>
                <w:color w:val="0000FF"/>
                <w:sz w:val="24"/>
                <w:szCs w:val="20"/>
              </w:rPr>
              <w:t>Vg——干烟气排放量，</w:t>
            </w:r>
            <w:r>
              <w:rPr>
                <w:rFonts w:hint="eastAsia"/>
                <w:color w:val="0000FF"/>
                <w:sz w:val="24"/>
                <w:szCs w:val="20"/>
                <w:lang w:val="en-US" w:eastAsia="zh-CN"/>
              </w:rPr>
              <w:t>5.693</w:t>
            </w:r>
            <w:r>
              <w:rPr>
                <w:rFonts w:hint="eastAsia"/>
                <w:color w:val="0000FF"/>
                <w:sz w:val="24"/>
                <w:szCs w:val="20"/>
              </w:rPr>
              <w:t>m</w:t>
            </w:r>
            <w:r>
              <w:rPr>
                <w:rFonts w:hint="eastAsia"/>
                <w:color w:val="0000FF"/>
                <w:sz w:val="24"/>
                <w:szCs w:val="20"/>
                <w:vertAlign w:val="superscript"/>
              </w:rPr>
              <w:t>3</w:t>
            </w:r>
            <w:r>
              <w:rPr>
                <w:rFonts w:hint="eastAsia"/>
                <w:color w:val="0000FF"/>
                <w:sz w:val="24"/>
                <w:szCs w:val="20"/>
              </w:rPr>
              <w:t>/kg；</w:t>
            </w:r>
          </w:p>
          <w:p>
            <w:pPr>
              <w:shd w:val="clear"/>
              <w:spacing w:line="360" w:lineRule="auto"/>
              <w:ind w:firstLine="1200" w:firstLineChars="500"/>
              <w:rPr>
                <w:color w:val="0000FF"/>
                <w:sz w:val="24"/>
                <w:szCs w:val="20"/>
              </w:rPr>
            </w:pPr>
            <w:r>
              <w:rPr>
                <w:rFonts w:hint="eastAsia"/>
                <w:color w:val="0000FF"/>
                <w:sz w:val="24"/>
                <w:szCs w:val="20"/>
              </w:rPr>
              <w:t>α—过量空气系数，燃烧时实际空气供给量与空气需要量之比值，燃煤锅炉、燃油锅炉及燃气锅炉的规定过量空气系数分别为1.75、1.2，对应基准氧含量分别为9%、3.5%；</w:t>
            </w:r>
          </w:p>
          <w:p>
            <w:pPr>
              <w:shd w:val="clear"/>
              <w:spacing w:line="360" w:lineRule="auto"/>
              <w:ind w:firstLine="1200" w:firstLineChars="500"/>
              <w:rPr>
                <w:color w:val="0000FF"/>
                <w:sz w:val="24"/>
                <w:szCs w:val="20"/>
              </w:rPr>
            </w:pPr>
            <w:r>
              <w:rPr>
                <w:rFonts w:hint="eastAsia"/>
                <w:color w:val="0000FF"/>
                <w:sz w:val="24"/>
                <w:szCs w:val="20"/>
              </w:rPr>
              <w:t>V</w:t>
            </w:r>
            <w:r>
              <w:rPr>
                <w:rFonts w:hint="eastAsia"/>
                <w:color w:val="0000FF"/>
                <w:sz w:val="24"/>
                <w:szCs w:val="20"/>
                <w:vertAlign w:val="subscript"/>
              </w:rPr>
              <w:t>H2O</w:t>
            </w:r>
            <w:r>
              <w:rPr>
                <w:rFonts w:hint="eastAsia"/>
                <w:color w:val="0000FF"/>
                <w:sz w:val="24"/>
                <w:szCs w:val="20"/>
              </w:rPr>
              <w:t>——烟气中水蒸气量，0.65m</w:t>
            </w:r>
            <w:r>
              <w:rPr>
                <w:rFonts w:hint="eastAsia"/>
                <w:color w:val="0000FF"/>
                <w:sz w:val="24"/>
                <w:szCs w:val="20"/>
                <w:vertAlign w:val="superscript"/>
              </w:rPr>
              <w:t>3</w:t>
            </w:r>
            <w:r>
              <w:rPr>
                <w:rFonts w:hint="eastAsia"/>
                <w:color w:val="0000FF"/>
                <w:sz w:val="24"/>
                <w:szCs w:val="20"/>
              </w:rPr>
              <w:t>/kg；</w:t>
            </w:r>
          </w:p>
          <w:p>
            <w:pPr>
              <w:shd w:val="clear"/>
              <w:spacing w:line="360" w:lineRule="auto"/>
              <w:ind w:firstLine="1200" w:firstLineChars="500"/>
              <w:rPr>
                <w:color w:val="0000FF"/>
                <w:sz w:val="24"/>
                <w:szCs w:val="20"/>
              </w:rPr>
            </w:pPr>
            <w:r>
              <w:rPr>
                <w:rFonts w:hint="eastAsia"/>
                <w:color w:val="0000FF"/>
                <w:sz w:val="24"/>
                <w:szCs w:val="20"/>
              </w:rPr>
              <w:t>H</w:t>
            </w:r>
            <w:r>
              <w:rPr>
                <w:rFonts w:hint="eastAsia"/>
                <w:color w:val="0000FF"/>
                <w:sz w:val="24"/>
                <w:szCs w:val="20"/>
                <w:vertAlign w:val="subscript"/>
              </w:rPr>
              <w:t>ar</w:t>
            </w:r>
            <w:r>
              <w:rPr>
                <w:rFonts w:hint="eastAsia"/>
                <w:color w:val="0000FF"/>
                <w:sz w:val="24"/>
                <w:szCs w:val="20"/>
              </w:rPr>
              <w:t>——收到基氢的质量分数，4.08%；</w:t>
            </w:r>
          </w:p>
          <w:p>
            <w:pPr>
              <w:shd w:val="clear"/>
              <w:spacing w:line="360" w:lineRule="auto"/>
              <w:ind w:firstLine="1200" w:firstLineChars="500"/>
              <w:rPr>
                <w:color w:val="0000FF"/>
                <w:sz w:val="24"/>
                <w:szCs w:val="20"/>
              </w:rPr>
            </w:pPr>
            <w:r>
              <w:rPr>
                <w:rFonts w:hint="eastAsia"/>
                <w:color w:val="0000FF"/>
                <w:sz w:val="24"/>
                <w:szCs w:val="20"/>
              </w:rPr>
              <w:t>M</w:t>
            </w:r>
            <w:r>
              <w:rPr>
                <w:rFonts w:hint="eastAsia"/>
                <w:color w:val="0000FF"/>
                <w:sz w:val="24"/>
                <w:szCs w:val="20"/>
                <w:vertAlign w:val="subscript"/>
              </w:rPr>
              <w:t>ar</w:t>
            </w:r>
            <w:r>
              <w:rPr>
                <w:rFonts w:hint="eastAsia"/>
                <w:color w:val="0000FF"/>
                <w:sz w:val="24"/>
                <w:szCs w:val="20"/>
              </w:rPr>
              <w:t>——收到基水分的质量分数，11.7%；</w:t>
            </w:r>
          </w:p>
          <w:p>
            <w:pPr>
              <w:shd w:val="clear"/>
              <w:spacing w:line="360" w:lineRule="auto"/>
              <w:ind w:firstLine="1200" w:firstLineChars="500"/>
              <w:rPr>
                <w:color w:val="0000FF"/>
                <w:sz w:val="24"/>
                <w:szCs w:val="20"/>
              </w:rPr>
            </w:pPr>
            <w:r>
              <w:rPr>
                <w:rFonts w:hint="eastAsia"/>
                <w:color w:val="0000FF"/>
                <w:sz w:val="24"/>
                <w:szCs w:val="20"/>
              </w:rPr>
              <w:t>Vs——湿烟气排放量，5.227m</w:t>
            </w:r>
            <w:r>
              <w:rPr>
                <w:rFonts w:hint="eastAsia"/>
                <w:color w:val="0000FF"/>
                <w:sz w:val="24"/>
                <w:szCs w:val="20"/>
                <w:vertAlign w:val="superscript"/>
              </w:rPr>
              <w:t>3</w:t>
            </w:r>
            <w:r>
              <w:rPr>
                <w:rFonts w:hint="eastAsia"/>
                <w:color w:val="0000FF"/>
                <w:sz w:val="24"/>
                <w:szCs w:val="20"/>
              </w:rPr>
              <w:t>/kg。</w:t>
            </w:r>
          </w:p>
          <w:p>
            <w:pPr>
              <w:shd w:val="clear"/>
              <w:spacing w:line="360" w:lineRule="auto"/>
              <w:ind w:firstLine="480" w:firstLineChars="200"/>
              <w:rPr>
                <w:color w:val="0000FF"/>
                <w:sz w:val="24"/>
                <w:szCs w:val="20"/>
              </w:rPr>
            </w:pPr>
            <w:r>
              <w:rPr>
                <w:rFonts w:hint="eastAsia"/>
                <w:color w:val="0000FF"/>
                <w:sz w:val="24"/>
                <w:szCs w:val="20"/>
              </w:rPr>
              <w:t>计算得出核算时段内Vg为</w:t>
            </w:r>
            <w:r>
              <w:rPr>
                <w:rFonts w:hint="eastAsia"/>
                <w:color w:val="0000FF"/>
                <w:sz w:val="24"/>
                <w:szCs w:val="20"/>
                <w:lang w:val="en-US" w:eastAsia="zh-CN"/>
              </w:rPr>
              <w:t>5.693</w:t>
            </w:r>
            <w:r>
              <w:rPr>
                <w:rFonts w:hint="eastAsia"/>
                <w:color w:val="0000FF"/>
                <w:sz w:val="24"/>
                <w:szCs w:val="20"/>
              </w:rPr>
              <w:t>m</w:t>
            </w:r>
            <w:r>
              <w:rPr>
                <w:rFonts w:hint="eastAsia"/>
                <w:color w:val="0000FF"/>
                <w:sz w:val="24"/>
                <w:szCs w:val="20"/>
                <w:vertAlign w:val="superscript"/>
              </w:rPr>
              <w:t>3</w:t>
            </w:r>
            <w:r>
              <w:rPr>
                <w:rFonts w:hint="eastAsia"/>
                <w:color w:val="0000FF"/>
                <w:sz w:val="24"/>
                <w:szCs w:val="20"/>
              </w:rPr>
              <w:t>/kg。锅炉燃料消耗量为</w:t>
            </w:r>
            <w:r>
              <w:rPr>
                <w:rFonts w:hint="eastAsia"/>
                <w:color w:val="0000FF"/>
                <w:sz w:val="24"/>
                <w:szCs w:val="20"/>
                <w:lang w:eastAsia="zh-CN"/>
              </w:rPr>
              <w:t>0.</w:t>
            </w:r>
            <w:r>
              <w:rPr>
                <w:rFonts w:hint="eastAsia"/>
                <w:color w:val="0000FF"/>
                <w:sz w:val="24"/>
                <w:szCs w:val="20"/>
                <w:lang w:val="en-US" w:eastAsia="zh-CN"/>
              </w:rPr>
              <w:t>8</w:t>
            </w:r>
            <w:r>
              <w:rPr>
                <w:rFonts w:hint="eastAsia"/>
                <w:color w:val="0000FF"/>
                <w:sz w:val="24"/>
                <w:szCs w:val="20"/>
                <w:lang w:eastAsia="zh-CN"/>
              </w:rPr>
              <w:t>0t</w:t>
            </w:r>
            <w:r>
              <w:rPr>
                <w:rFonts w:hint="eastAsia"/>
                <w:color w:val="0000FF"/>
                <w:sz w:val="24"/>
                <w:szCs w:val="20"/>
              </w:rPr>
              <w:t>/h，烟气量为</w:t>
            </w:r>
            <w:r>
              <w:rPr>
                <w:rFonts w:hint="eastAsia"/>
                <w:color w:val="0000FF"/>
                <w:sz w:val="24"/>
                <w:szCs w:val="20"/>
                <w:lang w:val="en-US" w:eastAsia="zh-CN"/>
              </w:rPr>
              <w:t>4554.4</w:t>
            </w:r>
            <w:r>
              <w:rPr>
                <w:rFonts w:hint="eastAsia"/>
                <w:color w:val="0000FF"/>
                <w:sz w:val="24"/>
                <w:szCs w:val="20"/>
                <w:lang w:bidi="zh-CN"/>
              </w:rPr>
              <w:t>m</w:t>
            </w:r>
            <w:r>
              <w:rPr>
                <w:rFonts w:hint="eastAsia"/>
                <w:color w:val="0000FF"/>
                <w:sz w:val="24"/>
                <w:szCs w:val="20"/>
                <w:vertAlign w:val="superscript"/>
                <w:lang w:bidi="zh-CN"/>
              </w:rPr>
              <w:t>3</w:t>
            </w:r>
            <w:r>
              <w:rPr>
                <w:rFonts w:hint="eastAsia"/>
                <w:color w:val="0000FF"/>
                <w:sz w:val="24"/>
                <w:szCs w:val="20"/>
                <w:lang w:bidi="zh-CN"/>
              </w:rPr>
              <w:t>/h。</w:t>
            </w:r>
          </w:p>
          <w:p>
            <w:pPr>
              <w:shd w:val="clear"/>
              <w:adjustRightInd w:val="0"/>
              <w:spacing w:line="360" w:lineRule="auto"/>
              <w:ind w:firstLine="480" w:firstLineChars="200"/>
              <w:rPr>
                <w:color w:val="0000FF"/>
                <w:sz w:val="24"/>
                <w:szCs w:val="20"/>
              </w:rPr>
            </w:pPr>
            <w:r>
              <w:rPr>
                <w:rFonts w:hint="eastAsia"/>
                <w:color w:val="0000FF"/>
                <w:sz w:val="24"/>
                <w:szCs w:val="20"/>
              </w:rPr>
              <w:t>②颗粒物（烟尘）排放量</w:t>
            </w:r>
          </w:p>
          <w:p>
            <w:pPr>
              <w:shd w:val="clear"/>
              <w:adjustRightInd w:val="0"/>
              <w:spacing w:line="360" w:lineRule="auto"/>
              <w:jc w:val="center"/>
              <w:rPr>
                <w:color w:val="0000FF"/>
                <w:sz w:val="24"/>
                <w:szCs w:val="20"/>
              </w:rPr>
            </w:pPr>
            <w:r>
              <w:rPr>
                <w:rFonts w:hint="eastAsia"/>
                <w:color w:val="0000FF"/>
                <w:position w:val="-56"/>
                <w:sz w:val="24"/>
                <w:szCs w:val="20"/>
              </w:rPr>
              <w:object>
                <v:shape id="_x0000_i1031" o:spt="75" type="#_x0000_t75" style="height:65.25pt;width:149.25pt;" o:ole="t" filled="f" coordsize="21600,21600">
                  <v:path/>
                  <v:fill on="f" focussize="0,0"/>
                  <v:stroke/>
                  <v:imagedata r:id="rId29" o:title=""/>
                  <o:lock v:ext="edit" aspectratio="t"/>
                  <w10:wrap type="none"/>
                  <w10:anchorlock/>
                </v:shape>
                <o:OLEObject Type="Embed" ProgID="Equations" ShapeID="_x0000_i1031" DrawAspect="Content" ObjectID="_1468075731" r:id="rId28">
                  <o:LockedField>false</o:LockedField>
                </o:OLEObject>
              </w:object>
            </w:r>
            <w:r>
              <w:rPr>
                <w:rFonts w:hint="eastAsia"/>
                <w:color w:val="0000FF"/>
                <w:position w:val="-56"/>
                <w:sz w:val="24"/>
                <w:szCs w:val="20"/>
              </w:rPr>
              <w:t xml:space="preserve">                      </w:t>
            </w:r>
            <w:r>
              <w:rPr>
                <w:rFonts w:hint="eastAsia"/>
                <w:color w:val="0000FF"/>
                <w:sz w:val="24"/>
                <w:szCs w:val="20"/>
              </w:rPr>
              <w:t>（2）</w:t>
            </w:r>
          </w:p>
          <w:p>
            <w:pPr>
              <w:widowControl/>
              <w:shd w:val="clear"/>
              <w:spacing w:before="60" w:after="120" w:line="360" w:lineRule="auto"/>
              <w:ind w:right="113" w:firstLine="480" w:firstLineChars="200"/>
              <w:rPr>
                <w:color w:val="0000FF"/>
                <w:sz w:val="24"/>
              </w:rPr>
            </w:pPr>
            <w:r>
              <w:rPr>
                <w:rFonts w:hint="eastAsia"/>
                <w:color w:val="0000FF"/>
                <w:sz w:val="24"/>
              </w:rPr>
              <w:t>式中：E</w:t>
            </w:r>
            <w:r>
              <w:rPr>
                <w:rFonts w:hint="eastAsia"/>
                <w:color w:val="0000FF"/>
                <w:sz w:val="24"/>
                <w:vertAlign w:val="subscript"/>
              </w:rPr>
              <w:t>A</w:t>
            </w:r>
            <w:r>
              <w:rPr>
                <w:rFonts w:hint="eastAsia"/>
                <w:color w:val="0000FF"/>
                <w:sz w:val="24"/>
              </w:rPr>
              <w:t>----核算时段内颗粒物（烟尘）排放量，t；</w:t>
            </w:r>
          </w:p>
          <w:p>
            <w:pPr>
              <w:widowControl/>
              <w:shd w:val="clear"/>
              <w:spacing w:before="60" w:after="120" w:line="360" w:lineRule="auto"/>
              <w:ind w:right="113" w:firstLine="1200" w:firstLineChars="500"/>
              <w:rPr>
                <w:color w:val="0000FF"/>
                <w:sz w:val="24"/>
              </w:rPr>
            </w:pPr>
            <w:r>
              <w:rPr>
                <w:rFonts w:hint="eastAsia"/>
                <w:color w:val="0000FF"/>
                <w:sz w:val="24"/>
              </w:rPr>
              <w:t>R----核算时段内锅炉燃料耗量，</w:t>
            </w:r>
            <w:r>
              <w:rPr>
                <w:rFonts w:hint="eastAsia"/>
                <w:color w:val="0000FF"/>
                <w:sz w:val="24"/>
                <w:lang w:eastAsia="zh-CN"/>
              </w:rPr>
              <w:t>0.</w:t>
            </w:r>
            <w:r>
              <w:rPr>
                <w:rFonts w:hint="eastAsia"/>
                <w:color w:val="0000FF"/>
                <w:sz w:val="24"/>
                <w:lang w:val="en-US" w:eastAsia="zh-CN"/>
              </w:rPr>
              <w:t>8</w:t>
            </w:r>
            <w:r>
              <w:rPr>
                <w:rFonts w:hint="eastAsia"/>
                <w:color w:val="0000FF"/>
                <w:sz w:val="24"/>
                <w:lang w:eastAsia="zh-CN"/>
              </w:rPr>
              <w:t>0t</w:t>
            </w:r>
            <w:r>
              <w:rPr>
                <w:rFonts w:hint="eastAsia"/>
                <w:color w:val="0000FF"/>
                <w:sz w:val="24"/>
              </w:rPr>
              <w:t>/h；</w:t>
            </w:r>
          </w:p>
          <w:p>
            <w:pPr>
              <w:widowControl/>
              <w:shd w:val="clear"/>
              <w:spacing w:before="60" w:after="120" w:line="360" w:lineRule="auto"/>
              <w:ind w:right="113" w:firstLine="1200" w:firstLineChars="500"/>
              <w:rPr>
                <w:color w:val="0000FF"/>
                <w:sz w:val="24"/>
              </w:rPr>
            </w:pPr>
            <w:r>
              <w:rPr>
                <w:rFonts w:hint="eastAsia"/>
                <w:color w:val="0000FF"/>
                <w:sz w:val="24"/>
              </w:rPr>
              <w:t>A</w:t>
            </w:r>
            <w:r>
              <w:rPr>
                <w:rFonts w:hint="eastAsia"/>
                <w:color w:val="0000FF"/>
                <w:sz w:val="24"/>
                <w:vertAlign w:val="subscript"/>
              </w:rPr>
              <w:t>ar</w:t>
            </w:r>
            <w:r>
              <w:rPr>
                <w:rFonts w:hint="eastAsia"/>
                <w:color w:val="0000FF"/>
                <w:sz w:val="24"/>
              </w:rPr>
              <w:t>----收到基灰分的质量分数，14.78%；</w:t>
            </w:r>
          </w:p>
          <w:p>
            <w:pPr>
              <w:widowControl/>
              <w:shd w:val="clear"/>
              <w:spacing w:before="60" w:after="120" w:line="360" w:lineRule="auto"/>
              <w:ind w:right="113" w:firstLine="1200" w:firstLineChars="500"/>
              <w:rPr>
                <w:rFonts w:cs="MS Gothic"/>
                <w:bCs/>
                <w:color w:val="0000FF"/>
                <w:sz w:val="24"/>
              </w:rPr>
            </w:pPr>
            <w:r>
              <w:rPr>
                <w:rFonts w:hint="eastAsia" w:cs="MS Gothic"/>
                <w:bCs/>
                <w:i/>
                <w:iCs/>
                <w:color w:val="0000FF"/>
                <w:sz w:val="24"/>
              </w:rPr>
              <w:t>d</w:t>
            </w:r>
            <w:r>
              <w:rPr>
                <w:rFonts w:hint="eastAsia" w:cs="MS Gothic"/>
                <w:bCs/>
                <w:i/>
                <w:iCs/>
                <w:color w:val="0000FF"/>
                <w:sz w:val="24"/>
                <w:vertAlign w:val="subscript"/>
              </w:rPr>
              <w:t>fh</w:t>
            </w:r>
            <w:r>
              <w:rPr>
                <w:rFonts w:cs="MS Gothic"/>
                <w:bCs/>
                <w:color w:val="0000FF"/>
                <w:sz w:val="24"/>
              </w:rPr>
              <w:t>—</w:t>
            </w:r>
            <w:r>
              <w:rPr>
                <w:rFonts w:hint="eastAsia" w:cs="MS Gothic"/>
                <w:bCs/>
                <w:color w:val="0000FF"/>
                <w:sz w:val="24"/>
              </w:rPr>
              <w:t>锅炉烟气带出的飞灰份额，%，</w:t>
            </w:r>
            <w:r>
              <w:rPr>
                <w:rFonts w:cs="MS Gothic"/>
                <w:bCs/>
                <w:color w:val="0000FF"/>
                <w:sz w:val="24"/>
              </w:rPr>
              <w:t>本项目</w:t>
            </w:r>
            <w:r>
              <w:rPr>
                <w:rFonts w:hint="eastAsia" w:cs="MS Gothic"/>
                <w:bCs/>
                <w:color w:val="0000FF"/>
                <w:sz w:val="24"/>
              </w:rPr>
              <w:t>为生物质燃料，炉型为链条炉，则</w:t>
            </w:r>
            <w:r>
              <w:rPr>
                <w:rFonts w:cs="MS Gothic"/>
                <w:bCs/>
                <w:color w:val="0000FF"/>
                <w:sz w:val="24"/>
              </w:rPr>
              <w:t>取</w:t>
            </w:r>
            <w:r>
              <w:rPr>
                <w:rFonts w:hint="eastAsia" w:cs="MS Gothic"/>
                <w:bCs/>
                <w:color w:val="0000FF"/>
                <w:sz w:val="24"/>
              </w:rPr>
              <w:t>45%；</w:t>
            </w:r>
          </w:p>
          <w:p>
            <w:pPr>
              <w:widowControl/>
              <w:shd w:val="clear"/>
              <w:spacing w:before="60" w:after="120" w:line="360" w:lineRule="auto"/>
              <w:ind w:right="113" w:firstLine="1200" w:firstLineChars="500"/>
              <w:rPr>
                <w:rFonts w:cs="MS Gothic"/>
                <w:bCs/>
                <w:color w:val="0000FF"/>
                <w:sz w:val="24"/>
              </w:rPr>
            </w:pPr>
            <w:r>
              <w:rPr>
                <w:rFonts w:cs="MS Gothic"/>
                <w:bCs/>
                <w:i/>
                <w:iCs/>
                <w:color w:val="0000FF"/>
                <w:sz w:val="24"/>
              </w:rPr>
              <w:t>ηc</w:t>
            </w:r>
            <w:r>
              <w:rPr>
                <w:rFonts w:hint="eastAsia" w:cs="MS Gothic"/>
                <w:bCs/>
                <w:i/>
                <w:iCs/>
                <w:color w:val="0000FF"/>
                <w:sz w:val="24"/>
              </w:rPr>
              <w:t>—</w:t>
            </w:r>
            <w:r>
              <w:rPr>
                <w:rFonts w:hint="eastAsia" w:cs="MS Gothic"/>
                <w:bCs/>
                <w:color w:val="0000FF"/>
                <w:sz w:val="24"/>
              </w:rPr>
              <w:t>综合除尘效率，%，本项目布袋除尘器收集效率为</w:t>
            </w:r>
            <w:r>
              <w:rPr>
                <w:rFonts w:cs="MS Gothic"/>
                <w:bCs/>
                <w:color w:val="0000FF"/>
                <w:sz w:val="24"/>
              </w:rPr>
              <w:t>99.9</w:t>
            </w:r>
            <w:r>
              <w:rPr>
                <w:rFonts w:hint="eastAsia" w:cs="MS Gothic"/>
                <w:bCs/>
                <w:color w:val="0000FF"/>
                <w:sz w:val="24"/>
              </w:rPr>
              <w:t>%；</w:t>
            </w:r>
          </w:p>
          <w:p>
            <w:pPr>
              <w:widowControl/>
              <w:shd w:val="clear"/>
              <w:spacing w:before="60" w:after="120" w:line="360" w:lineRule="auto"/>
              <w:ind w:right="113" w:firstLine="1200" w:firstLineChars="500"/>
              <w:rPr>
                <w:rFonts w:cs="MS Gothic"/>
                <w:bCs/>
                <w:color w:val="0000FF"/>
                <w:sz w:val="24"/>
              </w:rPr>
            </w:pPr>
            <w:r>
              <w:rPr>
                <w:rFonts w:hint="eastAsia" w:cs="MS Gothic"/>
                <w:bCs/>
                <w:i/>
                <w:iCs/>
                <w:color w:val="0000FF"/>
                <w:sz w:val="24"/>
              </w:rPr>
              <w:t>C</w:t>
            </w:r>
            <w:r>
              <w:rPr>
                <w:rFonts w:hint="eastAsia" w:cs="MS Gothic"/>
                <w:bCs/>
                <w:i/>
                <w:iCs/>
                <w:color w:val="0000FF"/>
                <w:sz w:val="24"/>
                <w:vertAlign w:val="subscript"/>
              </w:rPr>
              <w:t>fh</w:t>
            </w:r>
            <w:r>
              <w:rPr>
                <w:rFonts w:cs="MS Gothic"/>
                <w:bCs/>
                <w:color w:val="0000FF"/>
                <w:sz w:val="24"/>
              </w:rPr>
              <w:t>—</w:t>
            </w:r>
            <w:r>
              <w:rPr>
                <w:rFonts w:hint="eastAsia" w:cs="MS Gothic"/>
                <w:bCs/>
                <w:color w:val="0000FF"/>
                <w:sz w:val="24"/>
              </w:rPr>
              <w:t>飞灰中可燃物含量，%，</w:t>
            </w:r>
            <w:r>
              <w:rPr>
                <w:rFonts w:cs="MS Gothic"/>
                <w:bCs/>
                <w:color w:val="0000FF"/>
                <w:sz w:val="24"/>
              </w:rPr>
              <w:t>参考《工业锅炉</w:t>
            </w:r>
            <w:r>
              <w:rPr>
                <w:rFonts w:hint="eastAsia" w:cs="MS Gothic"/>
                <w:bCs/>
                <w:color w:val="0000FF"/>
                <w:sz w:val="24"/>
              </w:rPr>
              <w:t>经济运行</w:t>
            </w:r>
            <w:r>
              <w:rPr>
                <w:rFonts w:cs="MS Gothic"/>
                <w:bCs/>
                <w:color w:val="0000FF"/>
                <w:sz w:val="24"/>
              </w:rPr>
              <w:t>》（</w:t>
            </w:r>
            <w:r>
              <w:rPr>
                <w:rFonts w:hint="eastAsia" w:cs="MS Gothic"/>
                <w:bCs/>
                <w:color w:val="0000FF"/>
                <w:sz w:val="24"/>
                <w:lang w:eastAsia="zh-CN"/>
              </w:rPr>
              <w:t>GB/T 17954-2007</w:t>
            </w:r>
            <w:r>
              <w:rPr>
                <w:rFonts w:cs="MS Gothic"/>
                <w:bCs/>
                <w:color w:val="0000FF"/>
                <w:sz w:val="24"/>
              </w:rPr>
              <w:t>），取</w:t>
            </w:r>
            <w:r>
              <w:rPr>
                <w:rFonts w:hint="eastAsia" w:cs="MS Gothic"/>
                <w:bCs/>
                <w:color w:val="0000FF"/>
                <w:sz w:val="24"/>
              </w:rPr>
              <w:t>10</w:t>
            </w:r>
            <w:r>
              <w:rPr>
                <w:rFonts w:cs="MS Gothic"/>
                <w:bCs/>
                <w:color w:val="0000FF"/>
                <w:sz w:val="24"/>
              </w:rPr>
              <w:t>；</w:t>
            </w:r>
          </w:p>
          <w:p>
            <w:pPr>
              <w:widowControl/>
              <w:shd w:val="clear"/>
              <w:spacing w:before="60" w:after="120" w:line="360" w:lineRule="auto"/>
              <w:ind w:right="113" w:firstLine="480" w:firstLineChars="200"/>
              <w:rPr>
                <w:color w:val="0000FF"/>
                <w:sz w:val="24"/>
              </w:rPr>
            </w:pPr>
            <w:r>
              <w:rPr>
                <w:rFonts w:hint="eastAsia"/>
                <w:color w:val="0000FF"/>
                <w:sz w:val="24"/>
              </w:rPr>
              <w:t>由计算可得出颗粒物（PM</w:t>
            </w:r>
            <w:r>
              <w:rPr>
                <w:rFonts w:hint="eastAsia"/>
                <w:color w:val="0000FF"/>
                <w:sz w:val="24"/>
                <w:vertAlign w:val="subscript"/>
              </w:rPr>
              <w:t>10</w:t>
            </w:r>
            <w:r>
              <w:rPr>
                <w:rFonts w:hint="eastAsia"/>
                <w:color w:val="0000FF"/>
                <w:sz w:val="24"/>
              </w:rPr>
              <w:t>）排放量为0.0</w:t>
            </w:r>
            <w:r>
              <w:rPr>
                <w:rFonts w:hint="eastAsia"/>
                <w:color w:val="0000FF"/>
                <w:sz w:val="24"/>
                <w:lang w:val="en-US" w:eastAsia="zh-CN"/>
              </w:rPr>
              <w:t>28</w:t>
            </w:r>
            <w:r>
              <w:rPr>
                <w:rFonts w:hint="eastAsia"/>
                <w:color w:val="0000FF"/>
                <w:sz w:val="24"/>
              </w:rPr>
              <w:t>t/a，</w:t>
            </w:r>
            <w:r>
              <w:rPr>
                <w:rFonts w:hint="eastAsia"/>
                <w:color w:val="0000FF"/>
                <w:sz w:val="24"/>
                <w:lang w:val="en-US" w:eastAsia="zh-CN"/>
              </w:rPr>
              <w:t>0.0315</w:t>
            </w:r>
            <w:r>
              <w:rPr>
                <w:rFonts w:hint="eastAsia"/>
                <w:color w:val="0000FF"/>
                <w:sz w:val="24"/>
              </w:rPr>
              <w:t>kg/h</w:t>
            </w:r>
            <w:r>
              <w:rPr>
                <w:rFonts w:hint="eastAsia"/>
                <w:bCs/>
                <w:color w:val="0000FF"/>
                <w:sz w:val="24"/>
              </w:rPr>
              <w:t>，</w:t>
            </w:r>
            <w:r>
              <w:rPr>
                <w:rFonts w:hint="eastAsia"/>
                <w:color w:val="0000FF"/>
                <w:sz w:val="24"/>
              </w:rPr>
              <w:t>排放浓度</w:t>
            </w:r>
            <w:r>
              <w:rPr>
                <w:rFonts w:hint="eastAsia"/>
                <w:color w:val="0000FF"/>
                <w:sz w:val="24"/>
                <w:lang w:val="en-US" w:eastAsia="zh-CN"/>
              </w:rPr>
              <w:t>6.92</w:t>
            </w:r>
            <w:r>
              <w:rPr>
                <w:rFonts w:hint="eastAsia"/>
                <w:color w:val="0000FF"/>
                <w:sz w:val="24"/>
              </w:rPr>
              <w:t>mg/m</w:t>
            </w:r>
            <w:r>
              <w:rPr>
                <w:rFonts w:hint="eastAsia"/>
                <w:color w:val="0000FF"/>
                <w:sz w:val="24"/>
                <w:vertAlign w:val="superscript"/>
              </w:rPr>
              <w:t>3</w:t>
            </w:r>
            <w:r>
              <w:rPr>
                <w:rFonts w:hint="eastAsia"/>
                <w:color w:val="0000FF"/>
                <w:sz w:val="24"/>
              </w:rPr>
              <w:t>。</w:t>
            </w:r>
          </w:p>
          <w:p>
            <w:pPr>
              <w:shd w:val="clear"/>
              <w:adjustRightInd w:val="0"/>
              <w:spacing w:line="360" w:lineRule="auto"/>
              <w:ind w:firstLine="480" w:firstLineChars="200"/>
              <w:rPr>
                <w:color w:val="0000FF"/>
                <w:sz w:val="24"/>
                <w:szCs w:val="20"/>
              </w:rPr>
            </w:pPr>
            <w:r>
              <w:rPr>
                <w:rFonts w:hint="eastAsia"/>
                <w:color w:val="0000FF"/>
                <w:sz w:val="24"/>
                <w:szCs w:val="20"/>
              </w:rPr>
              <w:t>③二氧化硫排放量</w:t>
            </w:r>
          </w:p>
          <w:p>
            <w:pPr>
              <w:shd w:val="clear"/>
              <w:adjustRightInd w:val="0"/>
              <w:snapToGrid w:val="0"/>
              <w:spacing w:line="360" w:lineRule="auto"/>
              <w:jc w:val="center"/>
              <w:rPr>
                <w:color w:val="0000FF"/>
                <w:sz w:val="24"/>
                <w:szCs w:val="20"/>
              </w:rPr>
            </w:pPr>
            <w:r>
              <w:rPr>
                <w:rFonts w:hint="eastAsia"/>
                <w:color w:val="0000FF"/>
                <w:position w:val="-28"/>
                <w:sz w:val="24"/>
                <w:szCs w:val="20"/>
              </w:rPr>
              <w:object>
                <v:shape id="_x0000_i1032" o:spt="75" type="#_x0000_t75" style="height:33pt;width:204pt;" o:ole="t" filled="f" coordsize="21600,21600">
                  <v:path/>
                  <v:fill on="f" focussize="0,0"/>
                  <v:stroke/>
                  <v:imagedata r:id="rId31" o:title=""/>
                  <o:lock v:ext="edit" aspectratio="t"/>
                  <w10:wrap type="none"/>
                  <w10:anchorlock/>
                </v:shape>
                <o:OLEObject Type="Embed" ProgID="Equations" ShapeID="_x0000_i1032" DrawAspect="Content" ObjectID="_1468075732" r:id="rId30">
                  <o:LockedField>false</o:LockedField>
                </o:OLEObject>
              </w:object>
            </w:r>
          </w:p>
          <w:p>
            <w:pPr>
              <w:widowControl/>
              <w:shd w:val="clear"/>
              <w:spacing w:before="60" w:after="120" w:line="360" w:lineRule="auto"/>
              <w:ind w:right="113" w:firstLine="480" w:firstLineChars="200"/>
              <w:rPr>
                <w:color w:val="0000FF"/>
                <w:sz w:val="24"/>
              </w:rPr>
            </w:pPr>
            <w:r>
              <w:rPr>
                <w:rFonts w:hint="eastAsia"/>
                <w:color w:val="0000FF"/>
                <w:sz w:val="24"/>
              </w:rPr>
              <w:t>式中：E</w:t>
            </w:r>
            <w:r>
              <w:rPr>
                <w:rFonts w:hint="eastAsia"/>
                <w:color w:val="0000FF"/>
                <w:sz w:val="24"/>
                <w:vertAlign w:val="subscript"/>
              </w:rPr>
              <w:t>SO2</w:t>
            </w:r>
            <w:r>
              <w:rPr>
                <w:rFonts w:hint="eastAsia"/>
                <w:color w:val="0000FF"/>
                <w:sz w:val="24"/>
              </w:rPr>
              <w:t>----核算时段内二氧化硫排放量，t；</w:t>
            </w:r>
          </w:p>
          <w:p>
            <w:pPr>
              <w:widowControl/>
              <w:shd w:val="clear"/>
              <w:spacing w:before="60" w:after="120" w:line="360" w:lineRule="auto"/>
              <w:ind w:right="113" w:firstLine="1200" w:firstLineChars="500"/>
              <w:rPr>
                <w:color w:val="0000FF"/>
                <w:sz w:val="24"/>
              </w:rPr>
            </w:pPr>
            <w:r>
              <w:rPr>
                <w:rFonts w:hint="eastAsia"/>
                <w:color w:val="0000FF"/>
                <w:sz w:val="24"/>
              </w:rPr>
              <w:t>R----核算时段内锅炉燃料耗量，</w:t>
            </w:r>
            <w:r>
              <w:rPr>
                <w:rFonts w:hint="eastAsia"/>
                <w:color w:val="0000FF"/>
                <w:sz w:val="24"/>
                <w:lang w:eastAsia="zh-CN"/>
              </w:rPr>
              <w:t>0</w:t>
            </w:r>
            <w:r>
              <w:rPr>
                <w:rFonts w:hint="eastAsia"/>
                <w:color w:val="0000FF"/>
                <w:sz w:val="24"/>
                <w:lang w:val="en-US" w:eastAsia="zh-CN"/>
              </w:rPr>
              <w:t>.8</w:t>
            </w:r>
            <w:r>
              <w:rPr>
                <w:rFonts w:hint="eastAsia"/>
                <w:color w:val="0000FF"/>
                <w:sz w:val="24"/>
                <w:lang w:eastAsia="zh-CN"/>
              </w:rPr>
              <w:t>0t</w:t>
            </w:r>
            <w:r>
              <w:rPr>
                <w:rFonts w:hint="eastAsia"/>
                <w:color w:val="0000FF"/>
                <w:sz w:val="24"/>
              </w:rPr>
              <w:t>/h；</w:t>
            </w:r>
          </w:p>
          <w:p>
            <w:pPr>
              <w:widowControl/>
              <w:shd w:val="clear"/>
              <w:spacing w:before="60" w:after="120" w:line="360" w:lineRule="auto"/>
              <w:ind w:right="113" w:firstLine="1200" w:firstLineChars="500"/>
              <w:rPr>
                <w:b/>
                <w:color w:val="0000FF"/>
                <w:sz w:val="24"/>
              </w:rPr>
            </w:pPr>
            <w:r>
              <w:rPr>
                <w:rFonts w:hint="eastAsia"/>
                <w:color w:val="0000FF"/>
                <w:sz w:val="24"/>
              </w:rPr>
              <w:t>S</w:t>
            </w:r>
            <w:r>
              <w:rPr>
                <w:rFonts w:hint="eastAsia"/>
                <w:color w:val="0000FF"/>
                <w:sz w:val="24"/>
                <w:vertAlign w:val="subscript"/>
              </w:rPr>
              <w:t>ar</w:t>
            </w:r>
            <w:r>
              <w:rPr>
                <w:rFonts w:hint="eastAsia"/>
                <w:color w:val="0000FF"/>
                <w:sz w:val="24"/>
              </w:rPr>
              <w:t>----收到基硫的质量分数，0.03%；</w:t>
            </w:r>
          </w:p>
          <w:p>
            <w:pPr>
              <w:widowControl/>
              <w:shd w:val="clear"/>
              <w:spacing w:before="60" w:after="120" w:line="360" w:lineRule="auto"/>
              <w:ind w:right="113" w:firstLine="1200" w:firstLineChars="500"/>
              <w:rPr>
                <w:b/>
                <w:color w:val="0000FF"/>
                <w:sz w:val="24"/>
              </w:rPr>
            </w:pPr>
            <w:r>
              <w:rPr>
                <w:rFonts w:hint="eastAsia"/>
                <w:color w:val="0000FF"/>
                <w:sz w:val="24"/>
              </w:rPr>
              <w:t>q</w:t>
            </w:r>
            <w:r>
              <w:rPr>
                <w:rFonts w:hint="eastAsia"/>
                <w:color w:val="0000FF"/>
                <w:sz w:val="24"/>
                <w:vertAlign w:val="subscript"/>
              </w:rPr>
              <w:t>4</w:t>
            </w:r>
            <w:r>
              <w:rPr>
                <w:rFonts w:hint="eastAsia"/>
                <w:color w:val="0000FF"/>
                <w:sz w:val="24"/>
              </w:rPr>
              <w:t>----锅炉机械不完全燃烧热损失，8%；</w:t>
            </w:r>
          </w:p>
          <w:p>
            <w:pPr>
              <w:widowControl/>
              <w:shd w:val="clear"/>
              <w:spacing w:before="60" w:after="120" w:line="360" w:lineRule="auto"/>
              <w:ind w:right="113" w:firstLine="1200" w:firstLineChars="500"/>
              <w:rPr>
                <w:b/>
                <w:color w:val="0000FF"/>
                <w:sz w:val="24"/>
              </w:rPr>
            </w:pPr>
            <w:r>
              <w:rPr>
                <w:rFonts w:hint="eastAsia"/>
                <w:color w:val="0000FF"/>
                <w:sz w:val="24"/>
              </w:rPr>
              <w:t>ƞ</w:t>
            </w:r>
            <w:r>
              <w:rPr>
                <w:rFonts w:hint="eastAsia"/>
                <w:color w:val="0000FF"/>
                <w:sz w:val="24"/>
                <w:vertAlign w:val="subscript"/>
              </w:rPr>
              <w:t>s</w:t>
            </w:r>
            <w:r>
              <w:rPr>
                <w:rFonts w:hint="eastAsia"/>
                <w:color w:val="0000FF"/>
                <w:sz w:val="24"/>
              </w:rPr>
              <w:t>----脱硫效率，%；取0%。</w:t>
            </w:r>
          </w:p>
          <w:p>
            <w:pPr>
              <w:widowControl/>
              <w:shd w:val="clear"/>
              <w:spacing w:before="60" w:after="120" w:line="360" w:lineRule="auto"/>
              <w:ind w:right="113" w:firstLine="1200" w:firstLineChars="500"/>
              <w:rPr>
                <w:color w:val="0000FF"/>
                <w:sz w:val="24"/>
              </w:rPr>
            </w:pPr>
            <w:r>
              <w:rPr>
                <w:rFonts w:hint="eastAsia"/>
                <w:color w:val="0000FF"/>
                <w:sz w:val="24"/>
              </w:rPr>
              <w:t>K----燃料中的硫燃烧后氧化成二氧化硫的份额，量纲一的量。本项目K值参照《污染源源强核算技术指南-锅炉》（HJ991-2018）附录B中B.3燃料中硫转化率的一般取值燃生物质蒸汽锅炉，K=0.4。</w:t>
            </w:r>
          </w:p>
          <w:p>
            <w:pPr>
              <w:widowControl/>
              <w:shd w:val="clear"/>
              <w:spacing w:before="60" w:after="120" w:line="360" w:lineRule="auto"/>
              <w:ind w:right="113" w:firstLine="480" w:firstLineChars="200"/>
              <w:rPr>
                <w:b/>
                <w:color w:val="0000FF"/>
                <w:sz w:val="24"/>
              </w:rPr>
            </w:pPr>
            <w:r>
              <w:rPr>
                <w:rFonts w:hint="eastAsia"/>
                <w:color w:val="0000FF"/>
                <w:sz w:val="24"/>
              </w:rPr>
              <w:t>由计算可得出SO</w:t>
            </w:r>
            <w:r>
              <w:rPr>
                <w:rFonts w:hint="eastAsia"/>
                <w:color w:val="0000FF"/>
                <w:sz w:val="24"/>
                <w:vertAlign w:val="subscript"/>
              </w:rPr>
              <w:t>2</w:t>
            </w:r>
            <w:r>
              <w:rPr>
                <w:rFonts w:hint="eastAsia"/>
                <w:color w:val="0000FF"/>
                <w:sz w:val="24"/>
              </w:rPr>
              <w:t>排放量为</w:t>
            </w:r>
            <w:r>
              <w:rPr>
                <w:rFonts w:hint="eastAsia"/>
                <w:color w:val="0000FF"/>
                <w:sz w:val="24"/>
                <w:lang w:val="en-US" w:eastAsia="zh-CN"/>
              </w:rPr>
              <w:t>0.159</w:t>
            </w:r>
            <w:r>
              <w:rPr>
                <w:rFonts w:hint="eastAsia"/>
                <w:color w:val="0000FF"/>
                <w:sz w:val="24"/>
              </w:rPr>
              <w:t>t/a，</w:t>
            </w:r>
            <w:r>
              <w:rPr>
                <w:rFonts w:hint="eastAsia"/>
                <w:color w:val="0000FF"/>
                <w:sz w:val="24"/>
                <w:lang w:val="en-US" w:eastAsia="zh-CN"/>
              </w:rPr>
              <w:t>0.177</w:t>
            </w:r>
            <w:r>
              <w:rPr>
                <w:rFonts w:hint="eastAsia"/>
                <w:color w:val="0000FF"/>
                <w:sz w:val="24"/>
              </w:rPr>
              <w:t>kg/h</w:t>
            </w:r>
            <w:r>
              <w:rPr>
                <w:rFonts w:hint="eastAsia"/>
                <w:bCs/>
                <w:color w:val="0000FF"/>
                <w:sz w:val="24"/>
              </w:rPr>
              <w:t>，</w:t>
            </w:r>
            <w:r>
              <w:rPr>
                <w:rFonts w:hint="eastAsia"/>
                <w:color w:val="0000FF"/>
                <w:sz w:val="24"/>
              </w:rPr>
              <w:t>排放浓度</w:t>
            </w:r>
            <w:r>
              <w:rPr>
                <w:rFonts w:hint="eastAsia"/>
                <w:color w:val="0000FF"/>
                <w:sz w:val="24"/>
                <w:lang w:val="en-US" w:eastAsia="zh-CN"/>
              </w:rPr>
              <w:t>38.78</w:t>
            </w:r>
            <w:r>
              <w:rPr>
                <w:rFonts w:hint="eastAsia"/>
                <w:color w:val="0000FF"/>
                <w:sz w:val="24"/>
              </w:rPr>
              <w:t>mg/m</w:t>
            </w:r>
            <w:r>
              <w:rPr>
                <w:rFonts w:hint="eastAsia"/>
                <w:color w:val="0000FF"/>
                <w:sz w:val="24"/>
                <w:vertAlign w:val="superscript"/>
              </w:rPr>
              <w:t>3</w:t>
            </w:r>
            <w:r>
              <w:rPr>
                <w:rFonts w:hint="eastAsia"/>
                <w:color w:val="0000FF"/>
                <w:sz w:val="24"/>
              </w:rPr>
              <w:t>。</w:t>
            </w:r>
          </w:p>
          <w:p>
            <w:pPr>
              <w:shd w:val="clear"/>
              <w:adjustRightInd w:val="0"/>
              <w:snapToGrid w:val="0"/>
              <w:spacing w:line="360" w:lineRule="auto"/>
              <w:ind w:firstLine="480" w:firstLineChars="200"/>
              <w:rPr>
                <w:rFonts w:cs="MS Gothic"/>
                <w:bCs/>
                <w:color w:val="0000FF"/>
                <w:sz w:val="24"/>
              </w:rPr>
            </w:pPr>
            <w:r>
              <w:rPr>
                <w:rFonts w:hint="eastAsia" w:cs="MS Gothic"/>
                <w:bCs/>
                <w:color w:val="0000FF"/>
                <w:sz w:val="24"/>
              </w:rPr>
              <w:t>③氮氧化物</w:t>
            </w:r>
          </w:p>
          <w:p>
            <w:pPr>
              <w:shd w:val="clear"/>
              <w:adjustRightInd w:val="0"/>
              <w:snapToGrid w:val="0"/>
              <w:spacing w:line="360" w:lineRule="auto"/>
              <w:ind w:firstLine="420" w:firstLineChars="200"/>
              <w:jc w:val="center"/>
              <w:rPr>
                <w:rFonts w:cs="MS Gothic"/>
                <w:bCs/>
                <w:color w:val="0000FF"/>
                <w:szCs w:val="21"/>
              </w:rPr>
            </w:pPr>
            <w:r>
              <w:rPr>
                <w:rFonts w:hint="eastAsia" w:cs="MS Gothic"/>
                <w:bCs/>
                <w:color w:val="0000FF"/>
                <w:szCs w:val="21"/>
              </w:rPr>
              <w:drawing>
                <wp:inline distT="0" distB="0" distL="0" distR="0">
                  <wp:extent cx="2401570" cy="572770"/>
                  <wp:effectExtent l="0" t="0" r="6350" b="6350"/>
                  <wp:docPr id="244" name="图片 2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401570" cy="572770"/>
                          </a:xfrm>
                          <a:prstGeom prst="rect">
                            <a:avLst/>
                          </a:prstGeom>
                          <a:noFill/>
                          <a:ln>
                            <a:noFill/>
                          </a:ln>
                        </pic:spPr>
                      </pic:pic>
                    </a:graphicData>
                  </a:graphic>
                </wp:inline>
              </w:drawing>
            </w:r>
          </w:p>
          <w:p>
            <w:pPr>
              <w:shd w:val="clear"/>
              <w:adjustRightInd w:val="0"/>
              <w:snapToGrid w:val="0"/>
              <w:spacing w:line="360" w:lineRule="auto"/>
              <w:ind w:firstLine="480" w:firstLineChars="200"/>
              <w:rPr>
                <w:rFonts w:cs="MS Gothic"/>
                <w:bCs/>
                <w:color w:val="0000FF"/>
                <w:sz w:val="24"/>
              </w:rPr>
            </w:pPr>
            <w:r>
              <w:rPr>
                <w:rFonts w:cs="MS Gothic"/>
                <w:bCs/>
                <w:color w:val="0000FF"/>
                <w:sz w:val="24"/>
              </w:rPr>
              <w:t>式中：</w:t>
            </w:r>
            <w:r>
              <w:rPr>
                <w:rFonts w:hint="eastAsia" w:cs="MS Gothic"/>
                <w:bCs/>
                <w:i/>
                <w:iCs/>
                <w:color w:val="0000FF"/>
                <w:sz w:val="24"/>
              </w:rPr>
              <w:t>E</w:t>
            </w:r>
            <w:r>
              <w:rPr>
                <w:rFonts w:hint="eastAsia" w:cs="MS Gothic"/>
                <w:bCs/>
                <w:i/>
                <w:iCs/>
                <w:color w:val="0000FF"/>
                <w:sz w:val="24"/>
                <w:vertAlign w:val="subscript"/>
              </w:rPr>
              <w:t>NOx</w:t>
            </w:r>
            <w:r>
              <w:rPr>
                <w:rFonts w:cs="MS Gothic"/>
                <w:bCs/>
                <w:color w:val="0000FF"/>
                <w:sz w:val="24"/>
              </w:rPr>
              <w:t>—核算时段内氮氧化物排放量，t；</w:t>
            </w:r>
          </w:p>
          <w:p>
            <w:pPr>
              <w:shd w:val="clear"/>
              <w:adjustRightInd w:val="0"/>
              <w:snapToGrid w:val="0"/>
              <w:spacing w:line="360" w:lineRule="auto"/>
              <w:ind w:firstLine="1200" w:firstLineChars="500"/>
              <w:rPr>
                <w:rFonts w:cs="MS Gothic"/>
                <w:bCs/>
                <w:color w:val="0000FF"/>
                <w:sz w:val="24"/>
              </w:rPr>
            </w:pPr>
            <w:r>
              <w:rPr>
                <w:rFonts w:cs="MS Gothic"/>
                <w:bCs/>
                <w:i/>
                <w:iCs/>
                <w:color w:val="0000FF"/>
                <w:sz w:val="24"/>
              </w:rPr>
              <w:t>ρ</w:t>
            </w:r>
            <w:r>
              <w:rPr>
                <w:rFonts w:hint="eastAsia" w:cs="MS Gothic"/>
                <w:bCs/>
                <w:i/>
                <w:iCs/>
                <w:color w:val="0000FF"/>
                <w:sz w:val="24"/>
                <w:vertAlign w:val="subscript"/>
              </w:rPr>
              <w:t>NOX</w:t>
            </w:r>
            <w:r>
              <w:rPr>
                <w:rFonts w:cs="MS Gothic"/>
                <w:bCs/>
                <w:color w:val="0000FF"/>
                <w:sz w:val="24"/>
              </w:rPr>
              <w:t>—锅炉炉膛出口氮氧化物质量浓度，mg/m</w:t>
            </w:r>
            <w:r>
              <w:rPr>
                <w:rFonts w:cs="MS Gothic"/>
                <w:bCs/>
                <w:color w:val="0000FF"/>
                <w:sz w:val="24"/>
                <w:vertAlign w:val="superscript"/>
              </w:rPr>
              <w:t>3</w:t>
            </w:r>
            <w:r>
              <w:rPr>
                <w:rFonts w:cs="MS Gothic"/>
                <w:bCs/>
                <w:color w:val="0000FF"/>
                <w:sz w:val="24"/>
              </w:rPr>
              <w:t>；</w:t>
            </w:r>
            <w:r>
              <w:rPr>
                <w:rFonts w:hint="eastAsia" w:cs="MS Gothic"/>
                <w:bCs/>
                <w:color w:val="0000FF"/>
                <w:sz w:val="24"/>
                <w:lang w:val="en-US" w:eastAsia="zh-CN"/>
              </w:rPr>
              <w:t>根据锅炉厂家提供的资料，</w:t>
            </w:r>
            <w:r>
              <w:rPr>
                <w:rFonts w:cs="MS Gothic"/>
                <w:bCs/>
                <w:color w:val="0000FF"/>
                <w:sz w:val="24"/>
              </w:rPr>
              <w:t>本项目取</w:t>
            </w:r>
            <w:r>
              <w:rPr>
                <w:rFonts w:hint="eastAsia" w:cs="MS Gothic"/>
                <w:bCs/>
                <w:color w:val="0000FF"/>
                <w:sz w:val="24"/>
                <w:lang w:val="en-US" w:eastAsia="zh-CN"/>
              </w:rPr>
              <w:t>200</w:t>
            </w:r>
            <w:r>
              <w:rPr>
                <w:rFonts w:cs="MS Gothic"/>
                <w:bCs/>
                <w:color w:val="0000FF"/>
                <w:sz w:val="24"/>
              </w:rPr>
              <w:t>mg/m</w:t>
            </w:r>
            <w:r>
              <w:rPr>
                <w:rFonts w:cs="MS Gothic"/>
                <w:bCs/>
                <w:color w:val="0000FF"/>
                <w:sz w:val="24"/>
                <w:vertAlign w:val="superscript"/>
              </w:rPr>
              <w:t>3</w:t>
            </w:r>
            <w:r>
              <w:rPr>
                <w:rFonts w:cs="MS Gothic"/>
                <w:bCs/>
                <w:color w:val="0000FF"/>
                <w:sz w:val="24"/>
              </w:rPr>
              <w:t>；</w:t>
            </w:r>
          </w:p>
          <w:p>
            <w:pPr>
              <w:shd w:val="clear"/>
              <w:adjustRightInd w:val="0"/>
              <w:snapToGrid w:val="0"/>
              <w:spacing w:line="360" w:lineRule="auto"/>
              <w:ind w:firstLine="1200" w:firstLineChars="500"/>
              <w:rPr>
                <w:rFonts w:cs="MS Gothic"/>
                <w:bCs/>
                <w:color w:val="0000FF"/>
                <w:sz w:val="24"/>
              </w:rPr>
            </w:pPr>
            <w:r>
              <w:rPr>
                <w:rFonts w:hint="eastAsia" w:cs="MS Gothic"/>
                <w:bCs/>
                <w:i/>
                <w:iCs/>
                <w:color w:val="0000FF"/>
                <w:sz w:val="24"/>
              </w:rPr>
              <w:t>Q</w:t>
            </w:r>
            <w:r>
              <w:rPr>
                <w:rFonts w:cs="MS Gothic"/>
                <w:bCs/>
                <w:color w:val="0000FF"/>
                <w:sz w:val="24"/>
              </w:rPr>
              <w:t>—核算时段内标态干烟气排放量，m</w:t>
            </w:r>
            <w:r>
              <w:rPr>
                <w:rFonts w:cs="MS Gothic"/>
                <w:bCs/>
                <w:color w:val="0000FF"/>
                <w:sz w:val="24"/>
                <w:vertAlign w:val="superscript"/>
              </w:rPr>
              <w:t>3</w:t>
            </w:r>
            <w:r>
              <w:rPr>
                <w:rFonts w:cs="MS Gothic"/>
                <w:bCs/>
                <w:color w:val="0000FF"/>
                <w:sz w:val="24"/>
              </w:rPr>
              <w:t>，取</w:t>
            </w:r>
            <w:r>
              <w:rPr>
                <w:rFonts w:hint="eastAsia" w:cs="MS Gothic"/>
                <w:bCs/>
                <w:color w:val="0000FF"/>
                <w:sz w:val="24"/>
                <w:lang w:val="en-US" w:eastAsia="zh-CN"/>
              </w:rPr>
              <w:t>4554.4</w:t>
            </w:r>
            <w:r>
              <w:rPr>
                <w:rFonts w:cs="MS Gothic"/>
                <w:bCs/>
                <w:color w:val="0000FF"/>
                <w:sz w:val="24"/>
              </w:rPr>
              <w:t>；</w:t>
            </w:r>
          </w:p>
          <w:p>
            <w:pPr>
              <w:shd w:val="clear"/>
              <w:adjustRightInd w:val="0"/>
              <w:snapToGrid w:val="0"/>
              <w:spacing w:line="360" w:lineRule="auto"/>
              <w:ind w:firstLine="1200" w:firstLineChars="500"/>
              <w:rPr>
                <w:rFonts w:cs="MS Gothic"/>
                <w:bCs/>
                <w:color w:val="0000FF"/>
                <w:sz w:val="24"/>
              </w:rPr>
            </w:pPr>
            <w:r>
              <w:rPr>
                <w:rFonts w:cs="MS Gothic"/>
                <w:bCs/>
                <w:i/>
                <w:iCs/>
                <w:color w:val="0000FF"/>
                <w:sz w:val="24"/>
              </w:rPr>
              <w:t>η</w:t>
            </w:r>
            <w:r>
              <w:rPr>
                <w:rFonts w:hint="eastAsia" w:cs="MS Gothic"/>
                <w:bCs/>
                <w:i/>
                <w:iCs/>
                <w:color w:val="0000FF"/>
                <w:sz w:val="24"/>
                <w:vertAlign w:val="subscript"/>
              </w:rPr>
              <w:t>NOX</w:t>
            </w:r>
            <w:r>
              <w:rPr>
                <w:rFonts w:cs="MS Gothic"/>
                <w:bCs/>
                <w:color w:val="0000FF"/>
                <w:sz w:val="24"/>
              </w:rPr>
              <w:t>—脱硝效率，%，取0；</w:t>
            </w:r>
          </w:p>
          <w:p>
            <w:pPr>
              <w:shd w:val="clear"/>
              <w:adjustRightInd w:val="0"/>
              <w:snapToGrid w:val="0"/>
              <w:spacing w:line="360" w:lineRule="auto"/>
              <w:ind w:firstLine="480" w:firstLineChars="200"/>
              <w:rPr>
                <w:rFonts w:cs="MS Gothic"/>
                <w:bCs/>
                <w:color w:val="0000FF"/>
                <w:sz w:val="24"/>
              </w:rPr>
            </w:pPr>
            <w:r>
              <w:rPr>
                <w:rFonts w:cs="MS Gothic"/>
                <w:bCs/>
                <w:color w:val="0000FF"/>
                <w:sz w:val="24"/>
              </w:rPr>
              <w:t>由计算可得出NO</w:t>
            </w:r>
            <w:r>
              <w:rPr>
                <w:rFonts w:cs="MS Gothic"/>
                <w:bCs/>
                <w:color w:val="0000FF"/>
                <w:sz w:val="24"/>
                <w:vertAlign w:val="subscript"/>
              </w:rPr>
              <w:t>X</w:t>
            </w:r>
            <w:r>
              <w:rPr>
                <w:rFonts w:cs="MS Gothic"/>
                <w:bCs/>
                <w:color w:val="0000FF"/>
                <w:sz w:val="24"/>
              </w:rPr>
              <w:t>排放量为0.</w:t>
            </w:r>
            <w:r>
              <w:rPr>
                <w:rFonts w:hint="eastAsia" w:cs="MS Gothic"/>
                <w:bCs/>
                <w:color w:val="0000FF"/>
                <w:sz w:val="24"/>
                <w:lang w:val="en-US" w:eastAsia="zh-CN"/>
              </w:rPr>
              <w:t>82</w:t>
            </w:r>
            <w:r>
              <w:rPr>
                <w:rFonts w:cs="MS Gothic"/>
                <w:bCs/>
                <w:color w:val="0000FF"/>
                <w:sz w:val="24"/>
              </w:rPr>
              <w:t>t/a，</w:t>
            </w:r>
            <w:r>
              <w:rPr>
                <w:rFonts w:hint="eastAsia" w:cs="MS Gothic"/>
                <w:bCs/>
                <w:color w:val="0000FF"/>
                <w:sz w:val="24"/>
                <w:lang w:val="en-US" w:eastAsia="zh-CN"/>
              </w:rPr>
              <w:t>0.911</w:t>
            </w:r>
            <w:r>
              <w:rPr>
                <w:rFonts w:cs="MS Gothic"/>
                <w:bCs/>
                <w:color w:val="0000FF"/>
                <w:sz w:val="24"/>
              </w:rPr>
              <w:t>kg/h，排放浓度</w:t>
            </w:r>
            <w:r>
              <w:rPr>
                <w:rFonts w:hint="eastAsia" w:cs="MS Gothic"/>
                <w:bCs/>
                <w:color w:val="0000FF"/>
                <w:sz w:val="24"/>
                <w:lang w:val="en-US" w:eastAsia="zh-CN"/>
              </w:rPr>
              <w:t>20</w:t>
            </w:r>
            <w:r>
              <w:rPr>
                <w:rFonts w:hint="eastAsia" w:cs="MS Gothic"/>
                <w:bCs/>
                <w:color w:val="0000FF"/>
                <w:sz w:val="24"/>
              </w:rPr>
              <w:t>0</w:t>
            </w:r>
            <w:r>
              <w:rPr>
                <w:rFonts w:cs="MS Gothic"/>
                <w:bCs/>
                <w:color w:val="0000FF"/>
                <w:sz w:val="24"/>
              </w:rPr>
              <w:t>mg/m</w:t>
            </w:r>
            <w:r>
              <w:rPr>
                <w:rFonts w:cs="MS Gothic"/>
                <w:bCs/>
                <w:color w:val="0000FF"/>
                <w:sz w:val="24"/>
                <w:vertAlign w:val="superscript"/>
              </w:rPr>
              <w:t>3</w:t>
            </w:r>
            <w:r>
              <w:rPr>
                <w:rFonts w:cs="MS Gothic"/>
                <w:bCs/>
                <w:color w:val="0000FF"/>
                <w:sz w:val="24"/>
              </w:rPr>
              <w:t>。</w:t>
            </w:r>
          </w:p>
          <w:p>
            <w:pPr>
              <w:shd w:val="clear"/>
              <w:adjustRightInd w:val="0"/>
              <w:snapToGrid w:val="0"/>
              <w:spacing w:line="360" w:lineRule="auto"/>
              <w:ind w:firstLine="480" w:firstLineChars="200"/>
              <w:rPr>
                <w:rFonts w:cs="MS Gothic"/>
                <w:bCs/>
                <w:color w:val="0000FF"/>
                <w:sz w:val="24"/>
              </w:rPr>
            </w:pPr>
            <w:r>
              <w:rPr>
                <w:rFonts w:cs="MS Gothic"/>
                <w:bCs/>
                <w:color w:val="0000FF"/>
                <w:sz w:val="24"/>
              </w:rPr>
              <w:t>根据上面的计算公式，可以计算得出本项目颗粒物（烟尘）的排放量为</w:t>
            </w:r>
            <w:r>
              <w:rPr>
                <w:rFonts w:hint="eastAsia" w:cs="MS Gothic"/>
                <w:bCs/>
                <w:color w:val="0000FF"/>
                <w:sz w:val="24"/>
                <w:lang w:val="en-US" w:eastAsia="zh-CN"/>
              </w:rPr>
              <w:t>0.028</w:t>
            </w:r>
            <w:r>
              <w:rPr>
                <w:rFonts w:cs="MS Gothic"/>
                <w:bCs/>
                <w:color w:val="0000FF"/>
                <w:sz w:val="24"/>
              </w:rPr>
              <w:t>t/a，二氧化硫的排放量为</w:t>
            </w:r>
            <w:r>
              <w:rPr>
                <w:rFonts w:hint="eastAsia" w:cs="MS Gothic"/>
                <w:bCs/>
                <w:color w:val="0000FF"/>
                <w:sz w:val="24"/>
                <w:lang w:val="en-US" w:eastAsia="zh-CN"/>
              </w:rPr>
              <w:t>0.159</w:t>
            </w:r>
            <w:r>
              <w:rPr>
                <w:rFonts w:cs="MS Gothic"/>
                <w:bCs/>
                <w:color w:val="0000FF"/>
                <w:sz w:val="24"/>
              </w:rPr>
              <w:t>t/a，氮氧化物排放量</w:t>
            </w:r>
            <w:r>
              <w:rPr>
                <w:rFonts w:hint="eastAsia" w:cs="MS Gothic"/>
                <w:bCs/>
                <w:color w:val="0000FF"/>
                <w:sz w:val="24"/>
                <w:lang w:val="en-US" w:eastAsia="zh-CN"/>
              </w:rPr>
              <w:t>0.82</w:t>
            </w:r>
            <w:r>
              <w:rPr>
                <w:rFonts w:cs="MS Gothic"/>
                <w:bCs/>
                <w:color w:val="0000FF"/>
                <w:sz w:val="24"/>
              </w:rPr>
              <w:t>t/a。</w:t>
            </w:r>
            <w:r>
              <w:rPr>
                <w:rFonts w:hint="eastAsia" w:cs="MS Gothic"/>
                <w:bCs/>
                <w:color w:val="0000FF"/>
                <w:sz w:val="24"/>
              </w:rPr>
              <w:t>因此，</w:t>
            </w:r>
            <w:r>
              <w:rPr>
                <w:rFonts w:cs="MS Gothic"/>
                <w:bCs/>
                <w:color w:val="0000FF"/>
                <w:sz w:val="24"/>
              </w:rPr>
              <w:t>可以计算出</w:t>
            </w:r>
            <w:r>
              <w:rPr>
                <w:rFonts w:hint="eastAsia" w:cs="MS Gothic"/>
                <w:bCs/>
                <w:color w:val="0000FF"/>
                <w:sz w:val="24"/>
              </w:rPr>
              <w:t>锅炉烟气中的颗粒</w:t>
            </w:r>
            <w:r>
              <w:rPr>
                <w:rFonts w:cs="MS Gothic"/>
                <w:bCs/>
                <w:color w:val="0000FF"/>
                <w:sz w:val="24"/>
              </w:rPr>
              <w:t>物排放浓度为</w:t>
            </w:r>
            <w:r>
              <w:rPr>
                <w:rFonts w:hint="eastAsia" w:cs="MS Gothic"/>
                <w:bCs/>
                <w:color w:val="0000FF"/>
                <w:sz w:val="24"/>
                <w:lang w:val="en-US" w:eastAsia="zh-CN"/>
              </w:rPr>
              <w:t>6.92</w:t>
            </w:r>
            <w:r>
              <w:rPr>
                <w:rFonts w:cs="MS Gothic"/>
                <w:bCs/>
                <w:color w:val="0000FF"/>
                <w:sz w:val="24"/>
              </w:rPr>
              <w:t>mg/m</w:t>
            </w:r>
            <w:r>
              <w:rPr>
                <w:rFonts w:cs="MS Gothic"/>
                <w:bCs/>
                <w:color w:val="0000FF"/>
                <w:sz w:val="24"/>
                <w:vertAlign w:val="superscript"/>
              </w:rPr>
              <w:t>3</w:t>
            </w:r>
            <w:r>
              <w:rPr>
                <w:rFonts w:cs="MS Gothic"/>
                <w:bCs/>
                <w:color w:val="0000FF"/>
                <w:sz w:val="24"/>
              </w:rPr>
              <w:t>，SO</w:t>
            </w:r>
            <w:r>
              <w:rPr>
                <w:rFonts w:cs="MS Gothic"/>
                <w:bCs/>
                <w:color w:val="0000FF"/>
                <w:sz w:val="24"/>
                <w:vertAlign w:val="subscript"/>
              </w:rPr>
              <w:t>2</w:t>
            </w:r>
            <w:r>
              <w:rPr>
                <w:rFonts w:cs="MS Gothic"/>
                <w:bCs/>
                <w:color w:val="0000FF"/>
                <w:sz w:val="24"/>
              </w:rPr>
              <w:t>排放浓度为</w:t>
            </w:r>
            <w:r>
              <w:rPr>
                <w:rFonts w:hint="eastAsia" w:cs="MS Gothic"/>
                <w:bCs/>
                <w:color w:val="0000FF"/>
                <w:sz w:val="24"/>
                <w:lang w:val="en-US" w:eastAsia="zh-CN"/>
              </w:rPr>
              <w:t>38.78</w:t>
            </w:r>
            <w:r>
              <w:rPr>
                <w:rFonts w:cs="MS Gothic"/>
                <w:bCs/>
                <w:color w:val="0000FF"/>
                <w:sz w:val="24"/>
              </w:rPr>
              <w:t>mg/m</w:t>
            </w:r>
            <w:r>
              <w:rPr>
                <w:rFonts w:cs="MS Gothic"/>
                <w:bCs/>
                <w:color w:val="0000FF"/>
                <w:sz w:val="24"/>
                <w:vertAlign w:val="superscript"/>
              </w:rPr>
              <w:t>3</w:t>
            </w:r>
            <w:r>
              <w:rPr>
                <w:rFonts w:cs="MS Gothic"/>
                <w:bCs/>
                <w:color w:val="0000FF"/>
                <w:sz w:val="24"/>
              </w:rPr>
              <w:t>，NOx排放浓度为</w:t>
            </w:r>
            <w:r>
              <w:rPr>
                <w:rFonts w:hint="eastAsia"/>
                <w:color w:val="0000FF"/>
                <w:spacing w:val="-12"/>
                <w:sz w:val="24"/>
                <w:lang w:val="en-US" w:eastAsia="zh-CN"/>
              </w:rPr>
              <w:t>200</w:t>
            </w:r>
            <w:r>
              <w:rPr>
                <w:rFonts w:cs="MS Gothic"/>
                <w:bCs/>
                <w:color w:val="0000FF"/>
                <w:sz w:val="24"/>
              </w:rPr>
              <w:t>mg/m</w:t>
            </w:r>
            <w:r>
              <w:rPr>
                <w:rFonts w:cs="MS Gothic"/>
                <w:bCs/>
                <w:color w:val="0000FF"/>
                <w:sz w:val="24"/>
                <w:vertAlign w:val="superscript"/>
              </w:rPr>
              <w:t>3</w:t>
            </w:r>
            <w:r>
              <w:rPr>
                <w:rFonts w:cs="MS Gothic"/>
                <w:bCs/>
                <w:color w:val="0000FF"/>
                <w:sz w:val="24"/>
              </w:rPr>
              <w:t>，</w:t>
            </w:r>
            <w:r>
              <w:rPr>
                <w:rFonts w:hint="eastAsia" w:cs="MS Gothic"/>
                <w:bCs/>
                <w:color w:val="0000FF"/>
                <w:sz w:val="24"/>
              </w:rPr>
              <w:t>均满足</w:t>
            </w:r>
            <w:r>
              <w:rPr>
                <w:rFonts w:cs="MS Gothic"/>
                <w:bCs/>
                <w:color w:val="0000FF"/>
                <w:sz w:val="24"/>
              </w:rPr>
              <w:t>《锅炉大气污染物排放标准》（GB13271-2014）表</w:t>
            </w:r>
            <w:r>
              <w:rPr>
                <w:rFonts w:hint="eastAsia" w:cs="MS Gothic"/>
                <w:bCs/>
                <w:color w:val="0000FF"/>
                <w:sz w:val="24"/>
              </w:rPr>
              <w:t>2</w:t>
            </w:r>
            <w:r>
              <w:rPr>
                <w:rFonts w:cs="MS Gothic"/>
                <w:bCs/>
                <w:color w:val="0000FF"/>
                <w:sz w:val="24"/>
              </w:rPr>
              <w:t>（燃煤锅炉）标准</w:t>
            </w:r>
            <w:r>
              <w:rPr>
                <w:rFonts w:hint="eastAsia" w:cs="MS Gothic"/>
                <w:bCs/>
                <w:color w:val="0000FF"/>
                <w:sz w:val="24"/>
              </w:rPr>
              <w:t>要求；同时，可以计算得出该锅炉烟气中的颗粒</w:t>
            </w:r>
            <w:r>
              <w:rPr>
                <w:rFonts w:cs="MS Gothic"/>
                <w:bCs/>
                <w:color w:val="0000FF"/>
                <w:sz w:val="24"/>
              </w:rPr>
              <w:t>物</w:t>
            </w:r>
            <w:r>
              <w:rPr>
                <w:rFonts w:hint="eastAsia" w:cs="MS Gothic"/>
                <w:bCs/>
                <w:color w:val="0000FF"/>
                <w:sz w:val="24"/>
              </w:rPr>
              <w:t>产生</w:t>
            </w:r>
            <w:r>
              <w:rPr>
                <w:rFonts w:cs="MS Gothic"/>
                <w:bCs/>
                <w:color w:val="0000FF"/>
                <w:sz w:val="24"/>
              </w:rPr>
              <w:t>浓度为</w:t>
            </w:r>
            <w:r>
              <w:rPr>
                <w:rFonts w:hint="eastAsia" w:cs="MS Gothic"/>
                <w:bCs/>
                <w:color w:val="0000FF"/>
                <w:sz w:val="24"/>
                <w:lang w:val="en-US" w:eastAsia="zh-CN"/>
              </w:rPr>
              <w:t>6920</w:t>
            </w:r>
            <w:r>
              <w:rPr>
                <w:rFonts w:cs="MS Gothic"/>
                <w:bCs/>
                <w:color w:val="0000FF"/>
                <w:sz w:val="24"/>
              </w:rPr>
              <w:t>mg/m</w:t>
            </w:r>
            <w:r>
              <w:rPr>
                <w:rFonts w:cs="MS Gothic"/>
                <w:bCs/>
                <w:color w:val="0000FF"/>
                <w:sz w:val="24"/>
                <w:vertAlign w:val="superscript"/>
              </w:rPr>
              <w:t>3</w:t>
            </w:r>
            <w:r>
              <w:rPr>
                <w:rFonts w:cs="MS Gothic"/>
                <w:bCs/>
                <w:color w:val="0000FF"/>
                <w:sz w:val="24"/>
              </w:rPr>
              <w:t>，</w:t>
            </w:r>
            <w:r>
              <w:rPr>
                <w:rFonts w:hint="eastAsia" w:cs="MS Gothic"/>
                <w:bCs/>
                <w:color w:val="0000FF"/>
                <w:sz w:val="24"/>
              </w:rPr>
              <w:t>产生量为</w:t>
            </w:r>
            <w:r>
              <w:rPr>
                <w:rFonts w:hint="eastAsia" w:cs="MS Gothic"/>
                <w:bCs/>
                <w:color w:val="0000FF"/>
                <w:sz w:val="24"/>
                <w:lang w:val="en-US" w:eastAsia="zh-CN"/>
              </w:rPr>
              <w:t>28</w:t>
            </w:r>
            <w:r>
              <w:rPr>
                <w:rFonts w:cs="MS Gothic"/>
                <w:bCs/>
                <w:color w:val="0000FF"/>
                <w:sz w:val="24"/>
              </w:rPr>
              <w:t>t/a</w:t>
            </w:r>
            <w:r>
              <w:rPr>
                <w:rFonts w:hint="eastAsia" w:cs="MS Gothic"/>
                <w:bCs/>
                <w:color w:val="0000FF"/>
                <w:sz w:val="24"/>
              </w:rPr>
              <w:t>；</w:t>
            </w:r>
            <w:r>
              <w:rPr>
                <w:rFonts w:cs="MS Gothic"/>
                <w:bCs/>
                <w:color w:val="0000FF"/>
                <w:sz w:val="24"/>
              </w:rPr>
              <w:t>SO</w:t>
            </w:r>
            <w:r>
              <w:rPr>
                <w:rFonts w:cs="MS Gothic"/>
                <w:bCs/>
                <w:color w:val="0000FF"/>
                <w:sz w:val="24"/>
                <w:vertAlign w:val="subscript"/>
              </w:rPr>
              <w:t>2</w:t>
            </w:r>
            <w:r>
              <w:rPr>
                <w:rFonts w:hint="eastAsia" w:cs="MS Gothic"/>
                <w:bCs/>
                <w:color w:val="0000FF"/>
                <w:sz w:val="24"/>
              </w:rPr>
              <w:t>产生</w:t>
            </w:r>
            <w:r>
              <w:rPr>
                <w:rFonts w:cs="MS Gothic"/>
                <w:bCs/>
                <w:color w:val="0000FF"/>
                <w:sz w:val="24"/>
              </w:rPr>
              <w:t>浓度为</w:t>
            </w:r>
            <w:r>
              <w:rPr>
                <w:rFonts w:hint="eastAsia" w:cs="MS Gothic"/>
                <w:bCs/>
                <w:color w:val="0000FF"/>
                <w:sz w:val="24"/>
                <w:lang w:val="en-US" w:eastAsia="zh-CN"/>
              </w:rPr>
              <w:t>38.78</w:t>
            </w:r>
            <w:r>
              <w:rPr>
                <w:rFonts w:cs="MS Gothic"/>
                <w:bCs/>
                <w:color w:val="0000FF"/>
                <w:sz w:val="24"/>
              </w:rPr>
              <w:t>mg/m</w:t>
            </w:r>
            <w:r>
              <w:rPr>
                <w:rFonts w:cs="MS Gothic"/>
                <w:bCs/>
                <w:color w:val="0000FF"/>
                <w:sz w:val="24"/>
                <w:vertAlign w:val="superscript"/>
              </w:rPr>
              <w:t>3</w:t>
            </w:r>
            <w:r>
              <w:rPr>
                <w:rFonts w:cs="MS Gothic"/>
                <w:bCs/>
                <w:color w:val="0000FF"/>
                <w:sz w:val="24"/>
              </w:rPr>
              <w:t>，</w:t>
            </w:r>
            <w:r>
              <w:rPr>
                <w:rFonts w:hint="eastAsia" w:cs="MS Gothic"/>
                <w:bCs/>
                <w:color w:val="0000FF"/>
                <w:sz w:val="24"/>
              </w:rPr>
              <w:t>产生量为</w:t>
            </w:r>
            <w:r>
              <w:rPr>
                <w:rFonts w:hint="eastAsia" w:cs="MS Gothic"/>
                <w:bCs/>
                <w:color w:val="0000FF"/>
                <w:sz w:val="24"/>
                <w:lang w:val="en-US" w:eastAsia="zh-CN"/>
              </w:rPr>
              <w:t>0.159</w:t>
            </w:r>
            <w:r>
              <w:rPr>
                <w:rFonts w:cs="MS Gothic"/>
                <w:bCs/>
                <w:color w:val="0000FF"/>
                <w:sz w:val="24"/>
              </w:rPr>
              <w:t>t/a</w:t>
            </w:r>
            <w:r>
              <w:rPr>
                <w:rFonts w:hint="eastAsia" w:cs="MS Gothic"/>
                <w:bCs/>
                <w:color w:val="0000FF"/>
                <w:sz w:val="24"/>
              </w:rPr>
              <w:t>；</w:t>
            </w:r>
            <w:r>
              <w:rPr>
                <w:rFonts w:cs="MS Gothic"/>
                <w:bCs/>
                <w:color w:val="0000FF"/>
                <w:sz w:val="24"/>
              </w:rPr>
              <w:t>NOx</w:t>
            </w:r>
            <w:r>
              <w:rPr>
                <w:rFonts w:hint="eastAsia" w:cs="MS Gothic"/>
                <w:bCs/>
                <w:color w:val="0000FF"/>
                <w:sz w:val="24"/>
              </w:rPr>
              <w:t>产生</w:t>
            </w:r>
            <w:r>
              <w:rPr>
                <w:rFonts w:cs="MS Gothic"/>
                <w:bCs/>
                <w:color w:val="0000FF"/>
                <w:sz w:val="24"/>
              </w:rPr>
              <w:t>浓度为</w:t>
            </w:r>
            <w:r>
              <w:rPr>
                <w:rFonts w:hint="eastAsia"/>
                <w:color w:val="0000FF"/>
                <w:spacing w:val="-12"/>
                <w:sz w:val="24"/>
                <w:lang w:val="en-US" w:eastAsia="zh-CN"/>
              </w:rPr>
              <w:t>200</w:t>
            </w:r>
            <w:r>
              <w:rPr>
                <w:rFonts w:cs="MS Gothic"/>
                <w:bCs/>
                <w:color w:val="0000FF"/>
                <w:sz w:val="24"/>
              </w:rPr>
              <w:t>mg/m</w:t>
            </w:r>
            <w:r>
              <w:rPr>
                <w:rFonts w:cs="MS Gothic"/>
                <w:bCs/>
                <w:color w:val="0000FF"/>
                <w:sz w:val="24"/>
                <w:vertAlign w:val="superscript"/>
              </w:rPr>
              <w:t>3</w:t>
            </w:r>
            <w:r>
              <w:rPr>
                <w:rFonts w:cs="MS Gothic"/>
                <w:bCs/>
                <w:color w:val="0000FF"/>
                <w:sz w:val="24"/>
              </w:rPr>
              <w:t>，</w:t>
            </w:r>
            <w:r>
              <w:rPr>
                <w:rFonts w:hint="eastAsia" w:cs="MS Gothic"/>
                <w:bCs/>
                <w:color w:val="0000FF"/>
                <w:sz w:val="24"/>
              </w:rPr>
              <w:t>产生量为</w:t>
            </w:r>
            <w:r>
              <w:rPr>
                <w:rFonts w:hint="eastAsia" w:cs="MS Gothic"/>
                <w:bCs/>
                <w:color w:val="0000FF"/>
                <w:sz w:val="24"/>
                <w:lang w:val="en-US" w:eastAsia="zh-CN"/>
              </w:rPr>
              <w:t>0.82</w:t>
            </w:r>
            <w:r>
              <w:rPr>
                <w:rFonts w:cs="MS Gothic"/>
                <w:bCs/>
                <w:color w:val="0000FF"/>
                <w:sz w:val="24"/>
              </w:rPr>
              <w:t>t/a</w:t>
            </w:r>
            <w:r>
              <w:rPr>
                <w:rFonts w:hint="eastAsia" w:cs="MS Gothic"/>
                <w:bCs/>
                <w:color w:val="0000FF"/>
                <w:sz w:val="24"/>
              </w:rPr>
              <w:t>。</w:t>
            </w:r>
          </w:p>
          <w:p>
            <w:pPr>
              <w:shd w:val="clear"/>
              <w:spacing w:line="360" w:lineRule="auto"/>
              <w:ind w:firstLine="480" w:firstLineChars="200"/>
              <w:outlineLvl w:val="0"/>
              <w:rPr>
                <w:rFonts w:hint="default" w:ascii="Times New Roman" w:hAnsi="Times New Roman" w:cs="Times New Roman"/>
                <w:color w:val="auto"/>
                <w:sz w:val="24"/>
                <w:szCs w:val="32"/>
              </w:rPr>
            </w:pPr>
            <w:bookmarkStart w:id="11" w:name="_Toc2277"/>
            <w:r>
              <w:rPr>
                <w:rFonts w:hint="default" w:ascii="Times New Roman" w:hAnsi="Times New Roman" w:cs="Times New Roman"/>
                <w:color w:val="auto"/>
                <w:sz w:val="24"/>
                <w:szCs w:val="32"/>
              </w:rPr>
              <w:t>（2）</w:t>
            </w:r>
            <w:r>
              <w:rPr>
                <w:rFonts w:hint="default" w:ascii="Times New Roman" w:hAnsi="Times New Roman" w:cs="Times New Roman"/>
                <w:color w:val="auto"/>
                <w:sz w:val="24"/>
                <w:szCs w:val="32"/>
                <w:lang w:eastAsia="zh-CN"/>
              </w:rPr>
              <w:t>高温杀菌工序</w:t>
            </w:r>
            <w:r>
              <w:rPr>
                <w:rFonts w:hint="default" w:ascii="Times New Roman" w:hAnsi="Times New Roman" w:cs="Times New Roman"/>
                <w:color w:val="auto"/>
                <w:sz w:val="24"/>
                <w:szCs w:val="32"/>
              </w:rPr>
              <w:t>异味</w:t>
            </w:r>
            <w:bookmarkEnd w:id="11"/>
          </w:p>
          <w:p>
            <w:pPr>
              <w:shd w:val="clear"/>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w:t>
            </w:r>
            <w:r>
              <w:rPr>
                <w:rFonts w:hint="default" w:ascii="Times New Roman" w:hAnsi="Times New Roman" w:cs="Times New Roman"/>
                <w:color w:val="auto"/>
                <w:sz w:val="24"/>
                <w:szCs w:val="32"/>
                <w:lang w:eastAsia="zh-CN"/>
              </w:rPr>
              <w:t>鲜食玉米生产线在</w:t>
            </w:r>
            <w:r>
              <w:rPr>
                <w:rFonts w:hint="default" w:ascii="Times New Roman" w:hAnsi="Times New Roman" w:cs="Times New Roman"/>
                <w:color w:val="auto"/>
                <w:sz w:val="24"/>
                <w:szCs w:val="32"/>
              </w:rPr>
              <w:t>玉米</w:t>
            </w:r>
            <w:r>
              <w:rPr>
                <w:rFonts w:hint="default" w:ascii="Times New Roman" w:hAnsi="Times New Roman" w:cs="Times New Roman"/>
                <w:color w:val="auto"/>
                <w:sz w:val="24"/>
                <w:szCs w:val="32"/>
                <w:lang w:eastAsia="zh-CN"/>
              </w:rPr>
              <w:t>高温杀菌工序</w:t>
            </w:r>
            <w:r>
              <w:rPr>
                <w:rFonts w:hint="default" w:ascii="Times New Roman" w:hAnsi="Times New Roman" w:cs="Times New Roman"/>
                <w:color w:val="auto"/>
                <w:sz w:val="24"/>
                <w:szCs w:val="32"/>
              </w:rPr>
              <w:t>会产生少量异味（以臭气浓度计），本项目运营期产生的异味主要由玉米蒸制加热时热气，因现阶段国家无异味的产排污计算系数，故无法进行定量分析，</w:t>
            </w:r>
            <w:r>
              <w:rPr>
                <w:rFonts w:hint="default" w:ascii="Times New Roman" w:hAnsi="Times New Roman" w:cs="Times New Roman"/>
                <w:color w:val="auto"/>
                <w:sz w:val="24"/>
                <w:szCs w:val="32"/>
                <w:lang w:eastAsia="zh-CN"/>
              </w:rPr>
              <w:t>高温杀菌工序</w:t>
            </w:r>
            <w:r>
              <w:rPr>
                <w:rFonts w:hint="default" w:ascii="Times New Roman" w:hAnsi="Times New Roman" w:cs="Times New Roman"/>
                <w:color w:val="auto"/>
                <w:sz w:val="24"/>
                <w:szCs w:val="32"/>
              </w:rPr>
              <w:t>产生异味在生产车间内</w:t>
            </w:r>
            <w:r>
              <w:rPr>
                <w:rFonts w:hint="eastAsia" w:cs="Times New Roman"/>
                <w:color w:val="auto"/>
                <w:sz w:val="24"/>
                <w:szCs w:val="32"/>
                <w:lang w:eastAsia="zh-CN"/>
              </w:rPr>
              <w:t>散逸</w:t>
            </w:r>
            <w:r>
              <w:rPr>
                <w:rFonts w:hint="default" w:ascii="Times New Roman" w:hAnsi="Times New Roman" w:cs="Times New Roman"/>
                <w:color w:val="auto"/>
                <w:sz w:val="24"/>
                <w:szCs w:val="32"/>
              </w:rPr>
              <w:t>，加强车间通风，</w:t>
            </w:r>
            <w:r>
              <w:rPr>
                <w:rFonts w:hint="default" w:ascii="Times New Roman" w:hAnsi="Times New Roman" w:cs="Times New Roman"/>
                <w:color w:val="auto"/>
                <w:sz w:val="24"/>
                <w:szCs w:val="32"/>
                <w:lang w:eastAsia="zh-CN"/>
              </w:rPr>
              <w:t>高温杀菌工序</w:t>
            </w:r>
            <w:r>
              <w:rPr>
                <w:rFonts w:hint="default" w:ascii="Times New Roman" w:hAnsi="Times New Roman" w:cs="Times New Roman"/>
                <w:color w:val="auto"/>
                <w:sz w:val="24"/>
                <w:szCs w:val="32"/>
              </w:rPr>
              <w:t>异味对外环境影响较小。厂界臭气浓度能够满足《恶臭污染物排放标准》（GB14554-93）表2中臭气浓度20 (无量纲)标准限值。</w:t>
            </w:r>
          </w:p>
          <w:p>
            <w:pPr>
              <w:keepNext w:val="0"/>
              <w:keepLines w:val="0"/>
              <w:pageBreakBefore w:val="0"/>
              <w:widowControl w:val="0"/>
              <w:shd w:val="clear"/>
              <w:kinsoku/>
              <w:wordWrap/>
              <w:overflowPunct/>
              <w:topLinePunct w:val="0"/>
              <w:autoSpaceDE/>
              <w:autoSpaceDN/>
              <w:bidi w:val="0"/>
              <w:adjustRightInd/>
              <w:snapToGrid/>
              <w:spacing w:line="360" w:lineRule="auto"/>
              <w:ind w:firstLine="439" w:firstLineChars="183"/>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（3）</w:t>
            </w:r>
            <w:r>
              <w:rPr>
                <w:rFonts w:hint="default" w:ascii="Times New Roman" w:hAnsi="Times New Roman" w:cs="Times New Roman"/>
                <w:color w:val="auto"/>
                <w:sz w:val="24"/>
                <w:szCs w:val="32"/>
              </w:rPr>
              <w:t>灰渣储存</w:t>
            </w:r>
            <w:r>
              <w:rPr>
                <w:rFonts w:hint="default" w:ascii="Times New Roman" w:hAnsi="Times New Roman" w:cs="Times New Roman"/>
                <w:color w:val="auto"/>
                <w:sz w:val="24"/>
                <w:szCs w:val="32"/>
                <w:lang w:eastAsia="zh-CN"/>
              </w:rPr>
              <w:t>产生的</w:t>
            </w:r>
            <w:r>
              <w:rPr>
                <w:rFonts w:hint="default" w:ascii="Times New Roman" w:hAnsi="Times New Roman" w:cs="Times New Roman"/>
                <w:color w:val="auto"/>
                <w:sz w:val="24"/>
                <w:szCs w:val="32"/>
              </w:rPr>
              <w:t>粉尘</w:t>
            </w:r>
          </w:p>
          <w:p>
            <w:pPr>
              <w:keepNext w:val="0"/>
              <w:keepLines w:val="0"/>
              <w:pageBreakBefore w:val="0"/>
              <w:widowControl w:val="0"/>
              <w:shd w:val="clear"/>
              <w:kinsoku/>
              <w:wordWrap/>
              <w:overflowPunct/>
              <w:topLinePunct w:val="0"/>
              <w:autoSpaceDE/>
              <w:autoSpaceDN/>
              <w:bidi w:val="0"/>
              <w:adjustRightInd/>
              <w:snapToGrid/>
              <w:spacing w:line="360" w:lineRule="auto"/>
              <w:ind w:firstLine="439" w:firstLineChars="183"/>
              <w:textAlignment w:val="auto"/>
              <w:rPr>
                <w:rFonts w:hint="default" w:ascii="Times New Roman" w:hAnsi="Times New Roman" w:cs="Times New Roman"/>
                <w:color w:val="auto"/>
                <w:sz w:val="24"/>
                <w:szCs w:val="32"/>
                <w:lang w:eastAsia="zh-CN"/>
              </w:rPr>
            </w:pPr>
            <w:r>
              <w:rPr>
                <w:rFonts w:hint="default" w:ascii="Times New Roman" w:hAnsi="Times New Roman" w:cs="Times New Roman"/>
                <w:color w:val="auto"/>
                <w:sz w:val="24"/>
                <w:szCs w:val="32"/>
              </w:rPr>
              <w:t>本项目灰渣</w:t>
            </w:r>
            <w:r>
              <w:rPr>
                <w:rFonts w:hint="default" w:ascii="Times New Roman" w:hAnsi="Times New Roman" w:cs="Times New Roman"/>
                <w:color w:val="auto"/>
                <w:sz w:val="24"/>
                <w:szCs w:val="32"/>
                <w:lang w:eastAsia="zh-CN"/>
              </w:rPr>
              <w:t>间</w:t>
            </w:r>
            <w:r>
              <w:rPr>
                <w:rFonts w:hint="default" w:ascii="Times New Roman" w:hAnsi="Times New Roman" w:cs="Times New Roman"/>
                <w:color w:val="auto"/>
                <w:sz w:val="24"/>
                <w:szCs w:val="32"/>
              </w:rPr>
              <w:t>位于锅炉房内</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灰渣由封闭汽车外运</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灰渣间采用喷洒水降尘，处理</w:t>
            </w:r>
            <w:r>
              <w:rPr>
                <w:rFonts w:hint="default" w:ascii="Times New Roman" w:hAnsi="Times New Roman" w:cs="Times New Roman"/>
                <w:color w:val="auto"/>
                <w:sz w:val="24"/>
                <w:szCs w:val="32"/>
              </w:rPr>
              <w:t>效率</w:t>
            </w:r>
            <w:r>
              <w:rPr>
                <w:rFonts w:hint="default" w:ascii="Times New Roman" w:hAnsi="Times New Roman" w:cs="Times New Roman"/>
                <w:color w:val="auto"/>
                <w:sz w:val="24"/>
                <w:szCs w:val="32"/>
                <w:lang w:val="en-US" w:eastAsia="zh-CN"/>
              </w:rPr>
              <w:t>70</w:t>
            </w:r>
            <w:r>
              <w:rPr>
                <w:rFonts w:hint="default" w:ascii="Times New Roman" w:hAnsi="Times New Roman" w:cs="Times New Roman"/>
                <w:color w:val="auto"/>
                <w:sz w:val="24"/>
                <w:szCs w:val="32"/>
              </w:rPr>
              <w:t>%。参照《逸散性工业粉尘控制技术》电厂转运及运输过程中粉尘产生情况，即0.02kg/t转运量～0.5kg/t转运量，本项目以0.</w:t>
            </w:r>
            <w:r>
              <w:rPr>
                <w:rFonts w:hint="default" w:ascii="Times New Roman" w:hAnsi="Times New Roman" w:cs="Times New Roman"/>
                <w:color w:val="auto"/>
                <w:sz w:val="24"/>
                <w:szCs w:val="32"/>
                <w:lang w:val="en-US" w:eastAsia="zh-CN"/>
              </w:rPr>
              <w:t>5</w:t>
            </w:r>
            <w:r>
              <w:rPr>
                <w:rFonts w:hint="default" w:ascii="Times New Roman" w:hAnsi="Times New Roman" w:cs="Times New Roman"/>
                <w:color w:val="auto"/>
                <w:sz w:val="24"/>
                <w:szCs w:val="32"/>
              </w:rPr>
              <w:t>kg/t转运量估算</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本项目</w:t>
            </w:r>
            <w:r>
              <w:rPr>
                <w:rFonts w:hint="default" w:ascii="Times New Roman" w:hAnsi="Times New Roman" w:cs="Times New Roman"/>
                <w:color w:val="auto"/>
                <w:sz w:val="24"/>
                <w:szCs w:val="32"/>
                <w:lang w:val="en-US" w:eastAsia="zh-CN"/>
              </w:rPr>
              <w:t>灰渣产生量</w:t>
            </w:r>
            <w:r>
              <w:rPr>
                <w:rFonts w:hint="default" w:ascii="Times New Roman" w:hAnsi="Times New Roman" w:cs="Times New Roman"/>
                <w:color w:val="auto"/>
                <w:sz w:val="24"/>
                <w:szCs w:val="32"/>
              </w:rPr>
              <w:t>为</w:t>
            </w:r>
            <w:r>
              <w:rPr>
                <w:rFonts w:hint="eastAsia" w:cs="Times New Roman"/>
                <w:color w:val="auto"/>
                <w:sz w:val="24"/>
                <w:szCs w:val="32"/>
                <w:lang w:val="en-US" w:eastAsia="zh-CN"/>
              </w:rPr>
              <w:t>129.38</w:t>
            </w:r>
            <w:r>
              <w:rPr>
                <w:rFonts w:hint="default" w:ascii="Times New Roman" w:hAnsi="Times New Roman" w:cs="Times New Roman"/>
                <w:color w:val="auto"/>
                <w:sz w:val="24"/>
                <w:szCs w:val="32"/>
                <w:lang w:val="en-US" w:eastAsia="zh-CN"/>
              </w:rPr>
              <w:t>t/a</w:t>
            </w:r>
            <w:r>
              <w:rPr>
                <w:rFonts w:hint="default" w:ascii="Times New Roman" w:hAnsi="Times New Roman" w:cs="Times New Roman"/>
                <w:color w:val="auto"/>
                <w:sz w:val="24"/>
                <w:szCs w:val="32"/>
              </w:rPr>
              <w:t>，灰渣储存过程中粉尘产生量为</w:t>
            </w:r>
            <w:r>
              <w:rPr>
                <w:rFonts w:hint="default" w:ascii="Times New Roman" w:hAnsi="Times New Roman" w:cs="Times New Roman"/>
                <w:color w:val="auto"/>
                <w:sz w:val="24"/>
                <w:szCs w:val="32"/>
                <w:lang w:val="en-US" w:eastAsia="zh-CN"/>
              </w:rPr>
              <w:t>0.0</w:t>
            </w:r>
            <w:r>
              <w:rPr>
                <w:rFonts w:hint="eastAsia" w:cs="Times New Roman"/>
                <w:color w:val="auto"/>
                <w:sz w:val="24"/>
                <w:szCs w:val="32"/>
                <w:lang w:val="en-US" w:eastAsia="zh-CN"/>
              </w:rPr>
              <w:t>65</w:t>
            </w:r>
            <w:r>
              <w:rPr>
                <w:rFonts w:hint="default" w:ascii="Times New Roman" w:hAnsi="Times New Roman" w:cs="Times New Roman"/>
                <w:color w:val="auto"/>
                <w:sz w:val="24"/>
                <w:szCs w:val="32"/>
              </w:rPr>
              <w:t>t/a</w:t>
            </w:r>
            <w:r>
              <w:rPr>
                <w:rFonts w:hint="default" w:ascii="Times New Roman" w:hAnsi="Times New Roman" w:cs="Times New Roman"/>
                <w:color w:val="auto"/>
                <w:sz w:val="24"/>
                <w:szCs w:val="32"/>
                <w:lang w:eastAsia="zh-CN"/>
              </w:rPr>
              <w:t>（0.0</w:t>
            </w:r>
            <w:r>
              <w:rPr>
                <w:rFonts w:hint="eastAsia" w:cs="Times New Roman"/>
                <w:color w:val="auto"/>
                <w:sz w:val="24"/>
                <w:szCs w:val="32"/>
                <w:lang w:val="en-US" w:eastAsia="zh-CN"/>
              </w:rPr>
              <w:t>72</w:t>
            </w:r>
            <w:r>
              <w:rPr>
                <w:rFonts w:hint="default" w:ascii="Times New Roman" w:hAnsi="Times New Roman" w:cs="Times New Roman"/>
                <w:color w:val="auto"/>
                <w:sz w:val="24"/>
                <w:szCs w:val="32"/>
              </w:rPr>
              <w:t>kg/h</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经处理后</w:t>
            </w:r>
            <w:r>
              <w:rPr>
                <w:rFonts w:hint="default" w:ascii="Times New Roman" w:hAnsi="Times New Roman" w:cs="Times New Roman"/>
                <w:color w:val="auto"/>
                <w:sz w:val="24"/>
                <w:szCs w:val="32"/>
              </w:rPr>
              <w:t>粉尘</w:t>
            </w:r>
            <w:r>
              <w:rPr>
                <w:rFonts w:hint="default" w:ascii="Times New Roman" w:hAnsi="Times New Roman" w:cs="Times New Roman"/>
                <w:color w:val="auto"/>
                <w:sz w:val="24"/>
                <w:szCs w:val="32"/>
                <w:lang w:val="en-US" w:eastAsia="zh-CN"/>
              </w:rPr>
              <w:t>排放</w:t>
            </w:r>
            <w:r>
              <w:rPr>
                <w:rFonts w:hint="default" w:ascii="Times New Roman" w:hAnsi="Times New Roman" w:cs="Times New Roman"/>
                <w:color w:val="auto"/>
                <w:sz w:val="24"/>
                <w:szCs w:val="32"/>
              </w:rPr>
              <w:t>量为</w:t>
            </w:r>
            <w:r>
              <w:rPr>
                <w:rFonts w:hint="default" w:ascii="Times New Roman" w:hAnsi="Times New Roman" w:cs="Times New Roman"/>
                <w:color w:val="auto"/>
                <w:sz w:val="24"/>
                <w:szCs w:val="32"/>
                <w:lang w:val="en-US" w:eastAsia="zh-CN"/>
              </w:rPr>
              <w:t>0.0</w:t>
            </w:r>
            <w:r>
              <w:rPr>
                <w:rFonts w:hint="eastAsia" w:cs="Times New Roman"/>
                <w:color w:val="auto"/>
                <w:sz w:val="24"/>
                <w:szCs w:val="32"/>
                <w:lang w:val="en-US" w:eastAsia="zh-CN"/>
              </w:rPr>
              <w:t>195</w:t>
            </w:r>
            <w:r>
              <w:rPr>
                <w:rFonts w:hint="default" w:ascii="Times New Roman" w:hAnsi="Times New Roman" w:cs="Times New Roman"/>
                <w:color w:val="auto"/>
                <w:sz w:val="24"/>
                <w:szCs w:val="32"/>
              </w:rPr>
              <w:t>/a</w:t>
            </w:r>
            <w:r>
              <w:rPr>
                <w:rFonts w:hint="default" w:ascii="Times New Roman" w:hAnsi="Times New Roman" w:cs="Times New Roman"/>
                <w:color w:val="auto"/>
                <w:sz w:val="24"/>
                <w:szCs w:val="32"/>
                <w:lang w:eastAsia="zh-CN"/>
              </w:rPr>
              <w:t>（0.0</w:t>
            </w:r>
            <w:r>
              <w:rPr>
                <w:rFonts w:hint="eastAsia" w:cs="Times New Roman"/>
                <w:color w:val="auto"/>
                <w:sz w:val="24"/>
                <w:szCs w:val="32"/>
                <w:lang w:val="en-US" w:eastAsia="zh-CN"/>
              </w:rPr>
              <w:t>22</w:t>
            </w:r>
            <w:r>
              <w:rPr>
                <w:rFonts w:hint="default" w:ascii="Times New Roman" w:hAnsi="Times New Roman" w:cs="Times New Roman"/>
                <w:color w:val="auto"/>
                <w:sz w:val="24"/>
                <w:szCs w:val="32"/>
              </w:rPr>
              <w:t>kg/h</w:t>
            </w:r>
            <w:r>
              <w:rPr>
                <w:rFonts w:hint="default" w:ascii="Times New Roman" w:hAnsi="Times New Roman" w:cs="Times New Roman"/>
                <w:color w:val="auto"/>
                <w:sz w:val="24"/>
                <w:szCs w:val="32"/>
                <w:lang w:eastAsia="zh-CN"/>
              </w:rPr>
              <w:t>）。</w:t>
            </w:r>
          </w:p>
          <w:p>
            <w:pPr>
              <w:shd w:val="clear"/>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w:t>
            </w:r>
            <w:r>
              <w:rPr>
                <w:rFonts w:hint="default" w:ascii="Times New Roman" w:hAnsi="Times New Roman" w:cs="Times New Roman"/>
                <w:color w:val="auto"/>
                <w:sz w:val="24"/>
                <w:szCs w:val="32"/>
                <w:lang w:val="en-US" w:eastAsia="zh-CN"/>
              </w:rPr>
              <w:t>4</w:t>
            </w:r>
            <w:r>
              <w:rPr>
                <w:rFonts w:hint="default" w:ascii="Times New Roman" w:hAnsi="Times New Roman" w:cs="Times New Roman"/>
                <w:color w:val="auto"/>
                <w:sz w:val="24"/>
                <w:szCs w:val="32"/>
              </w:rPr>
              <w:t>）食堂油烟</w:t>
            </w:r>
          </w:p>
          <w:p>
            <w:pPr>
              <w:keepNext w:val="0"/>
              <w:keepLines w:val="0"/>
              <w:pageBreakBefore w:val="0"/>
              <w:widowControl w:val="0"/>
              <w:shd w:val="clear"/>
              <w:kinsoku/>
              <w:wordWrap/>
              <w:overflowPunct/>
              <w:topLinePunct w:val="0"/>
              <w:autoSpaceDE/>
              <w:autoSpaceDN/>
              <w:bidi w:val="0"/>
              <w:adjustRightInd/>
              <w:snapToGrid/>
              <w:spacing w:line="360" w:lineRule="auto"/>
              <w:ind w:firstLine="439" w:firstLineChars="183"/>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本项目食堂参照《饮食业油烟排放标准（试行）》（GB18483-2001）的规定，食堂设</w:t>
            </w:r>
            <w:r>
              <w:rPr>
                <w:rFonts w:hint="default" w:ascii="Times New Roman" w:hAnsi="Times New Roman" w:cs="Times New Roman"/>
                <w:color w:val="auto"/>
                <w:sz w:val="24"/>
                <w:szCs w:val="32"/>
                <w:lang w:val="en-US" w:eastAsia="zh-CN"/>
              </w:rPr>
              <w:t>4</w:t>
            </w:r>
            <w:r>
              <w:rPr>
                <w:rFonts w:hint="default" w:ascii="Times New Roman" w:hAnsi="Times New Roman" w:cs="Times New Roman"/>
                <w:color w:val="auto"/>
                <w:sz w:val="24"/>
                <w:szCs w:val="32"/>
              </w:rPr>
              <w:t>个灶头，属于</w:t>
            </w:r>
            <w:r>
              <w:rPr>
                <w:rFonts w:hint="default" w:ascii="Times New Roman" w:hAnsi="Times New Roman" w:cs="Times New Roman"/>
                <w:color w:val="auto"/>
                <w:sz w:val="24"/>
                <w:szCs w:val="32"/>
                <w:lang w:val="en-US" w:eastAsia="zh-CN"/>
              </w:rPr>
              <w:t>中</w:t>
            </w:r>
            <w:r>
              <w:rPr>
                <w:rFonts w:hint="default" w:ascii="Times New Roman" w:hAnsi="Times New Roman" w:cs="Times New Roman"/>
                <w:color w:val="auto"/>
                <w:sz w:val="24"/>
                <w:szCs w:val="32"/>
              </w:rPr>
              <w:t>型饮食业单位。就餐人数</w:t>
            </w:r>
            <w:r>
              <w:rPr>
                <w:rFonts w:hint="eastAsia" w:cs="Times New Roman"/>
                <w:color w:val="auto"/>
                <w:sz w:val="24"/>
                <w:szCs w:val="32"/>
                <w:lang w:val="en-US" w:eastAsia="zh-CN"/>
              </w:rPr>
              <w:t>15</w:t>
            </w:r>
            <w:r>
              <w:rPr>
                <w:rFonts w:hint="default" w:ascii="Times New Roman" w:hAnsi="Times New Roman" w:cs="Times New Roman"/>
                <w:color w:val="auto"/>
                <w:sz w:val="24"/>
                <w:szCs w:val="32"/>
              </w:rPr>
              <w:t>0人，食堂油量按0.03kg/人·天计，运营期为</w:t>
            </w:r>
            <w:r>
              <w:rPr>
                <w:rFonts w:hint="default" w:ascii="Times New Roman" w:hAnsi="Times New Roman" w:cs="Times New Roman"/>
                <w:color w:val="auto"/>
                <w:sz w:val="24"/>
                <w:szCs w:val="32"/>
                <w:lang w:val="en-US" w:eastAsia="zh-CN"/>
              </w:rPr>
              <w:t>60</w:t>
            </w:r>
            <w:r>
              <w:rPr>
                <w:rFonts w:hint="default" w:ascii="Times New Roman" w:hAnsi="Times New Roman" w:cs="Times New Roman"/>
                <w:color w:val="auto"/>
                <w:sz w:val="24"/>
                <w:szCs w:val="32"/>
              </w:rPr>
              <w:t>天，则总耗油量</w:t>
            </w:r>
            <w:r>
              <w:rPr>
                <w:rFonts w:hint="default" w:ascii="Times New Roman" w:hAnsi="Times New Roman" w:cs="Times New Roman"/>
                <w:color w:val="auto"/>
                <w:sz w:val="24"/>
                <w:szCs w:val="32"/>
                <w:lang w:val="en-US" w:eastAsia="zh-CN"/>
              </w:rPr>
              <w:t>360</w:t>
            </w:r>
            <w:r>
              <w:rPr>
                <w:rFonts w:hint="default" w:ascii="Times New Roman" w:hAnsi="Times New Roman" w:cs="Times New Roman"/>
                <w:color w:val="auto"/>
                <w:sz w:val="24"/>
                <w:szCs w:val="32"/>
              </w:rPr>
              <w:t>kg/a。不同的烧炸工况下油烟气中烟气浓度及挥发量均有所不同，因此油的平均挥发量为总耗油量的2%</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挥发量约为</w:t>
            </w:r>
            <w:r>
              <w:rPr>
                <w:rFonts w:hint="default" w:ascii="Times New Roman" w:hAnsi="Times New Roman" w:cs="Times New Roman"/>
                <w:color w:val="auto"/>
                <w:sz w:val="24"/>
                <w:szCs w:val="32"/>
                <w:lang w:val="en-US" w:eastAsia="zh-CN"/>
              </w:rPr>
              <w:t>0.00</w:t>
            </w:r>
            <w:r>
              <w:rPr>
                <w:rFonts w:hint="eastAsia" w:cs="Times New Roman"/>
                <w:color w:val="auto"/>
                <w:sz w:val="24"/>
                <w:szCs w:val="32"/>
                <w:lang w:val="en-US" w:eastAsia="zh-CN"/>
              </w:rPr>
              <w:t>54</w:t>
            </w:r>
            <w:r>
              <w:rPr>
                <w:rFonts w:hint="default" w:ascii="Times New Roman" w:hAnsi="Times New Roman" w:cs="Times New Roman"/>
                <w:color w:val="auto"/>
                <w:sz w:val="24"/>
                <w:szCs w:val="32"/>
                <w:lang w:val="en-US" w:eastAsia="zh-CN"/>
              </w:rPr>
              <w:t>t</w:t>
            </w:r>
            <w:r>
              <w:rPr>
                <w:rFonts w:hint="default" w:ascii="Times New Roman" w:hAnsi="Times New Roman" w:cs="Times New Roman"/>
                <w:color w:val="auto"/>
                <w:sz w:val="24"/>
                <w:szCs w:val="32"/>
              </w:rPr>
              <w:t>/a。烹饪时间按</w:t>
            </w:r>
            <w:r>
              <w:rPr>
                <w:rFonts w:hint="default" w:ascii="Times New Roman" w:hAnsi="Times New Roman" w:cs="Times New Roman"/>
                <w:color w:val="auto"/>
                <w:sz w:val="24"/>
                <w:szCs w:val="32"/>
                <w:lang w:val="en-US" w:eastAsia="zh-CN"/>
              </w:rPr>
              <w:t>3</w:t>
            </w:r>
            <w:r>
              <w:rPr>
                <w:rFonts w:hint="default" w:ascii="Times New Roman" w:hAnsi="Times New Roman" w:cs="Times New Roman"/>
                <w:color w:val="auto"/>
                <w:sz w:val="24"/>
                <w:szCs w:val="32"/>
              </w:rPr>
              <w:t>h/d计，灶头基准总排风量按</w:t>
            </w:r>
            <w:r>
              <w:rPr>
                <w:rFonts w:hint="default" w:ascii="Times New Roman" w:hAnsi="Times New Roman" w:cs="Times New Roman"/>
                <w:color w:val="auto"/>
                <w:sz w:val="24"/>
                <w:szCs w:val="32"/>
                <w:lang w:val="en-US" w:eastAsia="zh-CN"/>
              </w:rPr>
              <w:t>60</w:t>
            </w:r>
            <w:r>
              <w:rPr>
                <w:rFonts w:hint="default" w:ascii="Times New Roman" w:hAnsi="Times New Roman" w:cs="Times New Roman"/>
                <w:color w:val="auto"/>
                <w:sz w:val="24"/>
                <w:szCs w:val="32"/>
              </w:rPr>
              <w:t>00m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/h计，则油烟产生量为0.0</w:t>
            </w:r>
            <w:r>
              <w:rPr>
                <w:rFonts w:hint="eastAsia" w:cs="Times New Roman"/>
                <w:color w:val="auto"/>
                <w:sz w:val="24"/>
                <w:szCs w:val="32"/>
                <w:lang w:val="en-US" w:eastAsia="zh-CN"/>
              </w:rPr>
              <w:t>3</w:t>
            </w:r>
            <w:r>
              <w:rPr>
                <w:rFonts w:hint="default" w:ascii="Times New Roman" w:hAnsi="Times New Roman" w:cs="Times New Roman"/>
                <w:color w:val="auto"/>
                <w:sz w:val="24"/>
                <w:szCs w:val="32"/>
              </w:rPr>
              <w:t>kg/h、产生浓度</w:t>
            </w:r>
            <w:r>
              <w:rPr>
                <w:rFonts w:hint="eastAsia" w:cs="Times New Roman"/>
                <w:color w:val="auto"/>
                <w:sz w:val="24"/>
                <w:szCs w:val="32"/>
                <w:lang w:val="en-US" w:eastAsia="zh-CN"/>
              </w:rPr>
              <w:t>5.00</w:t>
            </w:r>
            <w:r>
              <w:rPr>
                <w:rFonts w:hint="default" w:ascii="Times New Roman" w:hAnsi="Times New Roman" w:cs="Times New Roman"/>
                <w:color w:val="auto"/>
                <w:sz w:val="24"/>
                <w:szCs w:val="32"/>
              </w:rPr>
              <w:t>mg/m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。采用油烟净化设施对食堂油烟进行处理，油烟净化设施净化效率按</w:t>
            </w:r>
            <w:r>
              <w:rPr>
                <w:rFonts w:hint="default" w:ascii="Times New Roman" w:hAnsi="Times New Roman" w:cs="Times New Roman"/>
                <w:color w:val="auto"/>
                <w:sz w:val="24"/>
                <w:szCs w:val="32"/>
                <w:lang w:val="en-US" w:eastAsia="zh-CN"/>
              </w:rPr>
              <w:t>75</w:t>
            </w:r>
            <w:r>
              <w:rPr>
                <w:rFonts w:hint="default" w:ascii="Times New Roman" w:hAnsi="Times New Roman" w:cs="Times New Roman"/>
                <w:color w:val="auto"/>
                <w:sz w:val="24"/>
                <w:szCs w:val="32"/>
              </w:rPr>
              <w:t>%计，油烟废气经过油烟净化器进行治理后油烟排放浓度约为</w:t>
            </w:r>
            <w:r>
              <w:rPr>
                <w:rFonts w:hint="eastAsia" w:cs="Times New Roman"/>
                <w:color w:val="auto"/>
                <w:sz w:val="24"/>
                <w:szCs w:val="32"/>
                <w:lang w:val="en-US" w:eastAsia="zh-CN"/>
              </w:rPr>
              <w:t>1.25</w:t>
            </w:r>
            <w:r>
              <w:rPr>
                <w:rFonts w:hint="default" w:ascii="Times New Roman" w:hAnsi="Times New Roman" w:cs="Times New Roman"/>
                <w:color w:val="auto"/>
                <w:sz w:val="24"/>
                <w:szCs w:val="32"/>
              </w:rPr>
              <w:t>mg/m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，排放量为0.00</w:t>
            </w:r>
            <w:r>
              <w:rPr>
                <w:rFonts w:hint="default" w:ascii="Times New Roman" w:hAnsi="Times New Roman" w:cs="Times New Roman"/>
                <w:color w:val="auto"/>
                <w:sz w:val="24"/>
                <w:szCs w:val="32"/>
                <w:lang w:val="en-US" w:eastAsia="zh-CN"/>
              </w:rPr>
              <w:t>1</w:t>
            </w:r>
            <w:r>
              <w:rPr>
                <w:rFonts w:hint="eastAsia" w:cs="Times New Roman"/>
                <w:color w:val="auto"/>
                <w:sz w:val="24"/>
                <w:szCs w:val="32"/>
                <w:lang w:val="en-US" w:eastAsia="zh-CN"/>
              </w:rPr>
              <w:t>35</w:t>
            </w:r>
            <w:r>
              <w:rPr>
                <w:rFonts w:hint="default" w:ascii="Times New Roman" w:hAnsi="Times New Roman" w:cs="Times New Roman"/>
                <w:color w:val="auto"/>
                <w:sz w:val="24"/>
                <w:szCs w:val="32"/>
              </w:rPr>
              <w:t>t/a。满足《饮食业油烟排放标准（试行）》（GB18483-2001）中2.0mg/m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标准限值规定。油烟通过专业排气筒附屋顶排放，对周边环境空气影响较小。</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2</w:t>
            </w:r>
            <w:r>
              <w:rPr>
                <w:rFonts w:hint="eastAsia" w:cs="Times New Roman"/>
                <w:color w:val="auto"/>
                <w:sz w:val="24"/>
                <w:szCs w:val="32"/>
                <w:lang w:val="en-US" w:eastAsia="zh-CN"/>
              </w:rPr>
              <w:t>、</w:t>
            </w:r>
            <w:r>
              <w:rPr>
                <w:rFonts w:hint="default" w:ascii="Times New Roman" w:hAnsi="Times New Roman" w:cs="Times New Roman"/>
                <w:color w:val="auto"/>
                <w:sz w:val="24"/>
                <w:szCs w:val="32"/>
                <w:lang w:val="en-US" w:eastAsia="zh-CN"/>
              </w:rPr>
              <w:t>非正常工况</w:t>
            </w:r>
          </w:p>
          <w:p>
            <w:pPr>
              <w:shd w:val="clear"/>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非正常排放是指装置在生产运行阶段的停电、停车检修维护和环保设施故障中产生的“三废”排放等情况。</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本项目建成后，锅炉烟气的废气处理设施为布袋除尘器+</w:t>
            </w:r>
            <w:r>
              <w:rPr>
                <w:rFonts w:hint="eastAsia" w:cs="Times New Roman"/>
                <w:color w:val="auto"/>
                <w:sz w:val="24"/>
                <w:szCs w:val="32"/>
                <w:lang w:val="en-US" w:eastAsia="zh-CN"/>
              </w:rPr>
              <w:t>35</w:t>
            </w:r>
            <w:r>
              <w:rPr>
                <w:rFonts w:hint="default" w:ascii="Times New Roman" w:hAnsi="Times New Roman" w:cs="Times New Roman"/>
                <w:color w:val="auto"/>
                <w:sz w:val="24"/>
                <w:szCs w:val="32"/>
                <w:lang w:val="en-US" w:eastAsia="zh-CN"/>
              </w:rPr>
              <w:t>m烟囱</w:t>
            </w:r>
            <w:r>
              <w:rPr>
                <w:rFonts w:hint="default" w:ascii="Times New Roman" w:hAnsi="Times New Roman" w:cs="Times New Roman"/>
                <w:color w:val="auto"/>
                <w:sz w:val="24"/>
                <w:szCs w:val="32"/>
              </w:rPr>
              <w:t>。非正常</w:t>
            </w:r>
            <w:r>
              <w:rPr>
                <w:rFonts w:hint="default" w:ascii="Times New Roman" w:hAnsi="Times New Roman" w:cs="Times New Roman"/>
                <w:color w:val="auto"/>
                <w:sz w:val="24"/>
                <w:szCs w:val="32"/>
                <w:lang w:val="en-US" w:eastAsia="zh-CN"/>
              </w:rPr>
              <w:t>工况</w:t>
            </w:r>
            <w:r>
              <w:rPr>
                <w:rFonts w:hint="default" w:ascii="Times New Roman" w:hAnsi="Times New Roman" w:cs="Times New Roman"/>
                <w:color w:val="auto"/>
                <w:sz w:val="24"/>
                <w:szCs w:val="32"/>
              </w:rPr>
              <w:t>排放见表4-</w:t>
            </w:r>
            <w:r>
              <w:rPr>
                <w:rFonts w:hint="eastAsia" w:cs="Times New Roman"/>
                <w:color w:val="auto"/>
                <w:sz w:val="24"/>
                <w:szCs w:val="32"/>
                <w:lang w:val="en-US" w:eastAsia="zh-CN"/>
              </w:rPr>
              <w:t>6</w:t>
            </w:r>
            <w:r>
              <w:rPr>
                <w:rFonts w:hint="default" w:ascii="Times New Roman" w:hAnsi="Times New Roman" w:cs="Times New Roman"/>
                <w:color w:val="auto"/>
                <w:sz w:val="24"/>
                <w:szCs w:val="32"/>
              </w:rPr>
              <w:t>。</w:t>
            </w:r>
          </w:p>
          <w:p>
            <w:pPr>
              <w:pStyle w:val="93"/>
              <w:shd w:val="clear"/>
              <w:spacing w:line="240" w:lineRule="auto"/>
              <w:rPr>
                <w:rFonts w:hint="default" w:ascii="Times New Roman" w:hAnsi="Times New Roman" w:cs="Times New Roman" w:eastAsiaTheme="minorEastAsia"/>
                <w:b/>
                <w:bCs/>
                <w:color w:val="auto"/>
                <w:sz w:val="24"/>
                <w:szCs w:val="24"/>
                <w:lang w:val="en-US" w:eastAsia="zh-CN"/>
              </w:rPr>
            </w:pPr>
          </w:p>
          <w:p>
            <w:pPr>
              <w:pStyle w:val="93"/>
              <w:shd w:val="clear"/>
              <w:spacing w:line="240" w:lineRule="auto"/>
              <w:rPr>
                <w:rFonts w:hint="default" w:ascii="Times New Roman" w:hAnsi="Times New Roman" w:cs="Times New Roman" w:eastAsiaTheme="minorEastAsia"/>
                <w:b/>
                <w:bCs/>
                <w:color w:val="auto"/>
                <w:sz w:val="24"/>
                <w:szCs w:val="24"/>
                <w:lang w:val="en-US" w:eastAsia="zh-CN"/>
              </w:rPr>
            </w:pPr>
          </w:p>
          <w:p>
            <w:pPr>
              <w:pStyle w:val="93"/>
              <w:shd w:val="clear"/>
              <w:spacing w:line="240" w:lineRule="auto"/>
              <w:rPr>
                <w:rFonts w:hint="default" w:ascii="Times New Roman" w:hAnsi="Times New Roman" w:cs="Times New Roman" w:eastAsiaTheme="minorEastAsia"/>
                <w:b/>
                <w:bCs/>
                <w:color w:val="0000FF"/>
                <w:sz w:val="24"/>
                <w:szCs w:val="24"/>
                <w:lang w:val="en-US" w:eastAsia="zh-CN"/>
              </w:rPr>
            </w:pPr>
            <w:r>
              <w:rPr>
                <w:rFonts w:hint="default" w:ascii="Times New Roman" w:hAnsi="Times New Roman" w:cs="Times New Roman" w:eastAsiaTheme="minorEastAsia"/>
                <w:b/>
                <w:bCs/>
                <w:color w:val="0000FF"/>
                <w:sz w:val="24"/>
                <w:szCs w:val="24"/>
                <w:lang w:val="en-US" w:eastAsia="zh-CN"/>
              </w:rPr>
              <w:t>表4-</w:t>
            </w:r>
            <w:r>
              <w:rPr>
                <w:rFonts w:hint="eastAsia" w:ascii="Times New Roman" w:hAnsi="Times New Roman" w:cs="Times New Roman" w:eastAsiaTheme="minorEastAsia"/>
                <w:b/>
                <w:bCs/>
                <w:color w:val="0000FF"/>
                <w:sz w:val="24"/>
                <w:szCs w:val="24"/>
                <w:lang w:val="en-US" w:eastAsia="zh-CN"/>
              </w:rPr>
              <w:t xml:space="preserve">6  </w:t>
            </w:r>
            <w:r>
              <w:rPr>
                <w:rFonts w:hint="default" w:ascii="Times New Roman" w:hAnsi="Times New Roman" w:cs="Times New Roman" w:eastAsiaTheme="minorEastAsia"/>
                <w:b/>
                <w:bCs/>
                <w:color w:val="0000FF"/>
                <w:sz w:val="24"/>
                <w:szCs w:val="24"/>
                <w:lang w:val="en-US" w:eastAsia="zh-CN"/>
              </w:rPr>
              <w:t>本项目非正常工况下污染物排放状况一览表</w:t>
            </w:r>
          </w:p>
          <w:tbl>
            <w:tblPr>
              <w:tblStyle w:val="27"/>
              <w:tblW w:w="4987"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88"/>
              <w:gridCol w:w="2082"/>
              <w:gridCol w:w="1079"/>
              <w:gridCol w:w="1144"/>
              <w:gridCol w:w="1195"/>
              <w:gridCol w:w="976"/>
              <w:gridCol w:w="83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Pr>
              <w:tc>
                <w:tcPr>
                  <w:tcW w:w="699"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非正常</w:t>
                  </w:r>
                </w:p>
                <w:p>
                  <w:pPr>
                    <w:shd w:val="clear"/>
                    <w:jc w:val="center"/>
                    <w:rPr>
                      <w:rFonts w:hint="default" w:ascii="Times New Roman" w:hAnsi="Times New Roman" w:cs="Times New Roman"/>
                      <w:color w:val="0000FF"/>
                    </w:rPr>
                  </w:pPr>
                  <w:r>
                    <w:rPr>
                      <w:rFonts w:hint="default" w:ascii="Times New Roman" w:hAnsi="Times New Roman" w:cs="Times New Roman"/>
                      <w:color w:val="0000FF"/>
                    </w:rPr>
                    <w:t>排放源</w:t>
                  </w:r>
                </w:p>
              </w:tc>
              <w:tc>
                <w:tcPr>
                  <w:tcW w:w="1225"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非正常</w:t>
                  </w:r>
                </w:p>
                <w:p>
                  <w:pPr>
                    <w:shd w:val="clear"/>
                    <w:jc w:val="center"/>
                    <w:rPr>
                      <w:rFonts w:hint="default" w:ascii="Times New Roman" w:hAnsi="Times New Roman" w:cs="Times New Roman"/>
                      <w:color w:val="0000FF"/>
                    </w:rPr>
                  </w:pPr>
                  <w:r>
                    <w:rPr>
                      <w:rFonts w:hint="default" w:ascii="Times New Roman" w:hAnsi="Times New Roman" w:cs="Times New Roman"/>
                      <w:color w:val="0000FF"/>
                    </w:rPr>
                    <w:t>排放原因</w:t>
                  </w:r>
                </w:p>
              </w:tc>
              <w:tc>
                <w:tcPr>
                  <w:tcW w:w="635"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污染物</w:t>
                  </w:r>
                </w:p>
              </w:tc>
              <w:tc>
                <w:tcPr>
                  <w:tcW w:w="673"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非正常排放浓度/mg/m</w:t>
                  </w:r>
                  <w:r>
                    <w:rPr>
                      <w:rFonts w:hint="default" w:ascii="Times New Roman" w:hAnsi="Times New Roman" w:cs="Times New Roman"/>
                      <w:color w:val="0000FF"/>
                      <w:vertAlign w:val="superscript"/>
                    </w:rPr>
                    <w:t>3</w:t>
                  </w:r>
                </w:p>
              </w:tc>
              <w:tc>
                <w:tcPr>
                  <w:tcW w:w="703"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非正常排放速率/kg/h</w:t>
                  </w:r>
                </w:p>
              </w:tc>
              <w:tc>
                <w:tcPr>
                  <w:tcW w:w="574"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单次持续时间/h</w:t>
                  </w:r>
                </w:p>
              </w:tc>
              <w:tc>
                <w:tcPr>
                  <w:tcW w:w="488"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年发生频次/次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614" w:hRule="atLeast"/>
              </w:trPr>
              <w:tc>
                <w:tcPr>
                  <w:tcW w:w="699" w:type="pct"/>
                  <w:vMerge w:val="restart"/>
                  <w:tcBorders>
                    <w:tl2br w:val="nil"/>
                    <w:tr2bl w:val="nil"/>
                  </w:tcBorders>
                  <w:noWrap w:val="0"/>
                  <w:vAlign w:val="center"/>
                </w:tcPr>
                <w:p>
                  <w:pPr>
                    <w:shd w:val="clear"/>
                    <w:jc w:val="center"/>
                    <w:rPr>
                      <w:rFonts w:hint="default" w:ascii="Times New Roman" w:hAnsi="Times New Roman" w:cs="Times New Roman"/>
                      <w:color w:val="0000FF"/>
                      <w:lang w:val="en-US"/>
                    </w:rPr>
                  </w:pPr>
                  <w:r>
                    <w:rPr>
                      <w:rFonts w:hint="default" w:ascii="Times New Roman" w:hAnsi="Times New Roman" w:cs="Times New Roman"/>
                      <w:color w:val="0000FF"/>
                      <w:lang w:val="en-US" w:eastAsia="zh-CN"/>
                    </w:rPr>
                    <w:t>锅炉烟囱DA001</w:t>
                  </w:r>
                </w:p>
              </w:tc>
              <w:tc>
                <w:tcPr>
                  <w:tcW w:w="1225" w:type="pct"/>
                  <w:vMerge w:val="restar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布袋除尘器+</w:t>
                  </w:r>
                  <w:r>
                    <w:rPr>
                      <w:rFonts w:hint="eastAsia" w:cs="Times New Roman"/>
                      <w:color w:val="0000FF"/>
                      <w:lang w:val="en-US" w:eastAsia="zh-CN"/>
                    </w:rPr>
                    <w:t>35</w:t>
                  </w:r>
                  <w:r>
                    <w:rPr>
                      <w:rFonts w:hint="default" w:ascii="Times New Roman" w:hAnsi="Times New Roman" w:cs="Times New Roman"/>
                      <w:color w:val="0000FF"/>
                      <w:lang w:val="en-US" w:eastAsia="zh-CN"/>
                    </w:rPr>
                    <w:t>m烟囱（除尘效率</w:t>
                  </w:r>
                  <w:r>
                    <w:rPr>
                      <w:rFonts w:hint="eastAsia" w:cs="Times New Roman"/>
                      <w:color w:val="0000FF"/>
                      <w:lang w:val="en-US" w:eastAsia="zh-CN"/>
                    </w:rPr>
                    <w:t>9</w:t>
                  </w:r>
                  <w:r>
                    <w:rPr>
                      <w:rFonts w:hint="default" w:ascii="Times New Roman" w:hAnsi="Times New Roman" w:cs="Times New Roman"/>
                      <w:color w:val="0000FF"/>
                      <w:lang w:val="en-US" w:eastAsia="zh-CN"/>
                    </w:rPr>
                    <w:t>0%）</w:t>
                  </w:r>
                </w:p>
              </w:tc>
              <w:tc>
                <w:tcPr>
                  <w:tcW w:w="635"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颗粒物</w:t>
                  </w:r>
                </w:p>
              </w:tc>
              <w:tc>
                <w:tcPr>
                  <w:tcW w:w="673" w:type="pct"/>
                  <w:tcBorders>
                    <w:tl2br w:val="nil"/>
                    <w:tr2bl w:val="nil"/>
                  </w:tcBorders>
                  <w:noWrap w:val="0"/>
                  <w:vAlign w:val="center"/>
                </w:tcPr>
                <w:p>
                  <w:pPr>
                    <w:shd w:val="clear"/>
                    <w:jc w:val="center"/>
                    <w:rPr>
                      <w:rFonts w:hint="default" w:ascii="Times New Roman" w:hAnsi="Times New Roman" w:cs="Times New Roman"/>
                      <w:color w:val="0000FF"/>
                      <w:lang w:val="en-US" w:eastAsia="zh-CN"/>
                    </w:rPr>
                  </w:pPr>
                  <w:r>
                    <w:rPr>
                      <w:rFonts w:hint="eastAsia" w:cs="Times New Roman"/>
                      <w:color w:val="0000FF"/>
                      <w:lang w:val="en-US" w:eastAsia="zh-CN"/>
                    </w:rPr>
                    <w:t>692</w:t>
                  </w:r>
                </w:p>
              </w:tc>
              <w:tc>
                <w:tcPr>
                  <w:tcW w:w="703" w:type="pct"/>
                  <w:tcBorders>
                    <w:tl2br w:val="nil"/>
                    <w:tr2bl w:val="nil"/>
                  </w:tcBorders>
                  <w:noWrap w:val="0"/>
                  <w:vAlign w:val="center"/>
                </w:tcPr>
                <w:p>
                  <w:pPr>
                    <w:shd w:val="clear"/>
                    <w:jc w:val="center"/>
                    <w:rPr>
                      <w:rFonts w:hint="default" w:ascii="Times New Roman" w:hAnsi="Times New Roman" w:cs="Times New Roman"/>
                      <w:color w:val="0000FF"/>
                      <w:lang w:val="en-US" w:eastAsia="zh-CN"/>
                    </w:rPr>
                  </w:pPr>
                  <w:r>
                    <w:rPr>
                      <w:rFonts w:hint="eastAsia" w:cs="Times New Roman"/>
                      <w:color w:val="0000FF"/>
                      <w:lang w:val="en-US" w:eastAsia="zh-CN"/>
                    </w:rPr>
                    <w:t>0.0315</w:t>
                  </w:r>
                </w:p>
              </w:tc>
              <w:tc>
                <w:tcPr>
                  <w:tcW w:w="574"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1</w:t>
                  </w:r>
                </w:p>
              </w:tc>
              <w:tc>
                <w:tcPr>
                  <w:tcW w:w="488" w:type="pct"/>
                  <w:tcBorders>
                    <w:tl2br w:val="nil"/>
                    <w:tr2bl w:val="nil"/>
                  </w:tcBorders>
                  <w:noWrap w:val="0"/>
                  <w:vAlign w:val="center"/>
                </w:tcPr>
                <w:p>
                  <w:pPr>
                    <w:shd w:val="clear"/>
                    <w:jc w:val="center"/>
                    <w:rPr>
                      <w:rFonts w:hint="default" w:ascii="Times New Roman" w:hAnsi="Times New Roman" w:cs="Times New Roman"/>
                      <w:color w:val="0000FF"/>
                      <w:lang w:eastAsia="zh-CN"/>
                    </w:rPr>
                  </w:pPr>
                  <w:r>
                    <w:rPr>
                      <w:rFonts w:hint="default" w:ascii="Times New Roman" w:hAnsi="Times New Roman" w:cs="Times New Roman"/>
                      <w:color w:val="0000FF"/>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25" w:hRule="atLeast"/>
              </w:trPr>
              <w:tc>
                <w:tcPr>
                  <w:tcW w:w="699" w:type="pct"/>
                  <w:vMerge w:val="continue"/>
                  <w:tcBorders>
                    <w:tl2br w:val="nil"/>
                    <w:tr2bl w:val="nil"/>
                  </w:tcBorders>
                  <w:noWrap w:val="0"/>
                  <w:vAlign w:val="center"/>
                </w:tcPr>
                <w:p>
                  <w:pPr>
                    <w:shd w:val="clear"/>
                    <w:jc w:val="center"/>
                    <w:rPr>
                      <w:rFonts w:hint="default" w:ascii="Times New Roman" w:hAnsi="Times New Roman" w:cs="Times New Roman"/>
                      <w:color w:val="0000FF"/>
                    </w:rPr>
                  </w:pPr>
                </w:p>
              </w:tc>
              <w:tc>
                <w:tcPr>
                  <w:tcW w:w="1225" w:type="pct"/>
                  <w:vMerge w:val="continue"/>
                  <w:tcBorders>
                    <w:tl2br w:val="nil"/>
                    <w:tr2bl w:val="nil"/>
                  </w:tcBorders>
                  <w:noWrap w:val="0"/>
                  <w:vAlign w:val="center"/>
                </w:tcPr>
                <w:p>
                  <w:pPr>
                    <w:shd w:val="clear"/>
                    <w:jc w:val="center"/>
                    <w:rPr>
                      <w:rFonts w:hint="default" w:ascii="Times New Roman" w:hAnsi="Times New Roman" w:cs="Times New Roman"/>
                      <w:color w:val="0000FF"/>
                    </w:rPr>
                  </w:pPr>
                </w:p>
              </w:tc>
              <w:tc>
                <w:tcPr>
                  <w:tcW w:w="635"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SO</w:t>
                  </w:r>
                  <w:r>
                    <w:rPr>
                      <w:rFonts w:hint="default" w:ascii="Times New Roman" w:hAnsi="Times New Roman" w:cs="Times New Roman"/>
                      <w:color w:val="0000FF"/>
                      <w:vertAlign w:val="subscript"/>
                    </w:rPr>
                    <w:t>2</w:t>
                  </w:r>
                </w:p>
              </w:tc>
              <w:tc>
                <w:tcPr>
                  <w:tcW w:w="673" w:type="pct"/>
                  <w:tcBorders>
                    <w:tl2br w:val="nil"/>
                    <w:tr2bl w:val="nil"/>
                  </w:tcBorders>
                  <w:noWrap w:val="0"/>
                  <w:vAlign w:val="center"/>
                </w:tcPr>
                <w:p>
                  <w:pPr>
                    <w:keepNext w:val="0"/>
                    <w:keepLines w:val="0"/>
                    <w:widowControl/>
                    <w:suppressLineNumbers w:val="0"/>
                    <w:shd w:val="clear"/>
                    <w:jc w:val="center"/>
                    <w:textAlignment w:val="center"/>
                    <w:rPr>
                      <w:rFonts w:hint="default" w:ascii="Times New Roman" w:hAnsi="Times New Roman" w:cs="Times New Roman"/>
                      <w:color w:val="0000FF"/>
                      <w:lang w:val="en-US" w:eastAsia="zh-CN"/>
                    </w:rPr>
                  </w:pPr>
                  <w:r>
                    <w:rPr>
                      <w:rFonts w:hint="eastAsia" w:cs="Times New Roman"/>
                      <w:color w:val="0000FF"/>
                      <w:lang w:val="en-US" w:eastAsia="zh-CN"/>
                    </w:rPr>
                    <w:t>38.78</w:t>
                  </w:r>
                </w:p>
              </w:tc>
              <w:tc>
                <w:tcPr>
                  <w:tcW w:w="703" w:type="pct"/>
                  <w:tcBorders>
                    <w:tl2br w:val="nil"/>
                    <w:tr2bl w:val="nil"/>
                  </w:tcBorders>
                  <w:noWrap w:val="0"/>
                  <w:vAlign w:val="center"/>
                </w:tcPr>
                <w:p>
                  <w:pPr>
                    <w:keepNext w:val="0"/>
                    <w:keepLines w:val="0"/>
                    <w:widowControl/>
                    <w:suppressLineNumbers w:val="0"/>
                    <w:shd w:val="clear"/>
                    <w:jc w:val="center"/>
                    <w:textAlignment w:val="center"/>
                    <w:rPr>
                      <w:rFonts w:hint="default" w:ascii="Times New Roman" w:hAnsi="Times New Roman" w:cs="Times New Roman"/>
                      <w:color w:val="0000FF"/>
                      <w:lang w:val="en-US" w:eastAsia="zh-CN"/>
                    </w:rPr>
                  </w:pPr>
                  <w:r>
                    <w:rPr>
                      <w:rFonts w:hint="eastAsia" w:cs="Times New Roman"/>
                      <w:color w:val="0000FF"/>
                      <w:lang w:val="en-US" w:eastAsia="zh-CN"/>
                    </w:rPr>
                    <w:t>0.177</w:t>
                  </w:r>
                </w:p>
              </w:tc>
              <w:tc>
                <w:tcPr>
                  <w:tcW w:w="574"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1</w:t>
                  </w:r>
                </w:p>
              </w:tc>
              <w:tc>
                <w:tcPr>
                  <w:tcW w:w="488" w:type="pct"/>
                  <w:tcBorders>
                    <w:tl2br w:val="nil"/>
                    <w:tr2bl w:val="nil"/>
                  </w:tcBorders>
                  <w:noWrap w:val="0"/>
                  <w:vAlign w:val="center"/>
                </w:tcPr>
                <w:p>
                  <w:pPr>
                    <w:shd w:val="clear"/>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29" w:hRule="atLeast"/>
              </w:trPr>
              <w:tc>
                <w:tcPr>
                  <w:tcW w:w="699" w:type="pct"/>
                  <w:vMerge w:val="continue"/>
                  <w:tcBorders>
                    <w:tl2br w:val="nil"/>
                    <w:tr2bl w:val="nil"/>
                  </w:tcBorders>
                  <w:noWrap w:val="0"/>
                  <w:vAlign w:val="center"/>
                </w:tcPr>
                <w:p>
                  <w:pPr>
                    <w:shd w:val="clear"/>
                    <w:jc w:val="center"/>
                    <w:rPr>
                      <w:rFonts w:hint="default" w:ascii="Times New Roman" w:hAnsi="Times New Roman" w:cs="Times New Roman"/>
                      <w:color w:val="0000FF"/>
                    </w:rPr>
                  </w:pPr>
                </w:p>
              </w:tc>
              <w:tc>
                <w:tcPr>
                  <w:tcW w:w="1225" w:type="pct"/>
                  <w:vMerge w:val="continue"/>
                  <w:tcBorders>
                    <w:tl2br w:val="nil"/>
                    <w:tr2bl w:val="nil"/>
                  </w:tcBorders>
                  <w:noWrap w:val="0"/>
                  <w:vAlign w:val="center"/>
                </w:tcPr>
                <w:p>
                  <w:pPr>
                    <w:shd w:val="clear"/>
                    <w:jc w:val="center"/>
                    <w:rPr>
                      <w:rFonts w:hint="default" w:ascii="Times New Roman" w:hAnsi="Times New Roman" w:cs="Times New Roman"/>
                      <w:color w:val="0000FF"/>
                    </w:rPr>
                  </w:pPr>
                </w:p>
              </w:tc>
              <w:tc>
                <w:tcPr>
                  <w:tcW w:w="635"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NOx</w:t>
                  </w:r>
                </w:p>
              </w:tc>
              <w:tc>
                <w:tcPr>
                  <w:tcW w:w="1113" w:type="dxa"/>
                  <w:tcBorders>
                    <w:tl2br w:val="nil"/>
                    <w:tr2bl w:val="nil"/>
                  </w:tcBorders>
                  <w:noWrap w:val="0"/>
                  <w:vAlign w:val="center"/>
                </w:tcPr>
                <w:p>
                  <w:pPr>
                    <w:keepNext w:val="0"/>
                    <w:keepLines w:val="0"/>
                    <w:widowControl/>
                    <w:suppressLineNumbers w:val="0"/>
                    <w:shd w:val="clear"/>
                    <w:jc w:val="center"/>
                    <w:textAlignment w:val="center"/>
                    <w:rPr>
                      <w:rFonts w:hint="default" w:ascii="Times New Roman" w:hAnsi="Times New Roman" w:cs="Times New Roman"/>
                      <w:color w:val="0000FF"/>
                      <w:lang w:val="en-US" w:eastAsia="zh-CN"/>
                    </w:rPr>
                  </w:pPr>
                  <w:r>
                    <w:rPr>
                      <w:rFonts w:hint="eastAsia" w:cs="Times New Roman"/>
                      <w:color w:val="0000FF"/>
                      <w:lang w:val="en-US" w:eastAsia="zh-CN"/>
                    </w:rPr>
                    <w:t>200</w:t>
                  </w:r>
                </w:p>
              </w:tc>
              <w:tc>
                <w:tcPr>
                  <w:tcW w:w="1163" w:type="dxa"/>
                  <w:tcBorders>
                    <w:tl2br w:val="nil"/>
                    <w:tr2bl w:val="nil"/>
                  </w:tcBorders>
                  <w:noWrap w:val="0"/>
                  <w:vAlign w:val="center"/>
                </w:tcPr>
                <w:p>
                  <w:pPr>
                    <w:keepNext w:val="0"/>
                    <w:keepLines w:val="0"/>
                    <w:widowControl/>
                    <w:suppressLineNumbers w:val="0"/>
                    <w:shd w:val="clear"/>
                    <w:jc w:val="center"/>
                    <w:textAlignment w:val="center"/>
                    <w:rPr>
                      <w:rFonts w:hint="default" w:ascii="Times New Roman" w:hAnsi="Times New Roman" w:cs="Times New Roman"/>
                      <w:color w:val="0000FF"/>
                      <w:lang w:val="en-US" w:eastAsia="zh-CN"/>
                    </w:rPr>
                  </w:pPr>
                  <w:r>
                    <w:rPr>
                      <w:rFonts w:hint="eastAsia" w:cs="Times New Roman"/>
                      <w:color w:val="0000FF"/>
                      <w:lang w:val="en-US" w:eastAsia="zh-CN"/>
                    </w:rPr>
                    <w:t>0.911</w:t>
                  </w:r>
                </w:p>
              </w:tc>
              <w:tc>
                <w:tcPr>
                  <w:tcW w:w="574" w:type="pct"/>
                  <w:tcBorders>
                    <w:tl2br w:val="nil"/>
                    <w:tr2bl w:val="nil"/>
                  </w:tcBorders>
                  <w:noWrap w:val="0"/>
                  <w:vAlign w:val="center"/>
                </w:tcPr>
                <w:p>
                  <w:pPr>
                    <w:shd w:val="clear"/>
                    <w:jc w:val="center"/>
                    <w:rPr>
                      <w:rFonts w:hint="default" w:ascii="Times New Roman" w:hAnsi="Times New Roman" w:cs="Times New Roman"/>
                      <w:color w:val="0000FF"/>
                    </w:rPr>
                  </w:pPr>
                  <w:r>
                    <w:rPr>
                      <w:rFonts w:hint="default" w:ascii="Times New Roman" w:hAnsi="Times New Roman" w:cs="Times New Roman"/>
                      <w:color w:val="0000FF"/>
                    </w:rPr>
                    <w:t>1</w:t>
                  </w:r>
                </w:p>
              </w:tc>
              <w:tc>
                <w:tcPr>
                  <w:tcW w:w="488" w:type="pct"/>
                  <w:tcBorders>
                    <w:tl2br w:val="nil"/>
                    <w:tr2bl w:val="nil"/>
                  </w:tcBorders>
                  <w:noWrap w:val="0"/>
                  <w:vAlign w:val="center"/>
                </w:tcPr>
                <w:p>
                  <w:pPr>
                    <w:shd w:val="clear"/>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w:t>
                  </w:r>
                </w:p>
              </w:tc>
            </w:tr>
          </w:tbl>
          <w:p>
            <w:pPr>
              <w:shd w:val="clear"/>
              <w:adjustRightInd w:val="0"/>
              <w:snapToGrid w:val="0"/>
              <w:spacing w:line="360" w:lineRule="auto"/>
              <w:ind w:firstLine="576" w:firstLineChars="240"/>
              <w:rPr>
                <w:rFonts w:hint="default" w:ascii="Times New Roman" w:hAnsi="Times New Roman" w:cs="Times New Roman"/>
                <w:color w:val="0000FF"/>
                <w:sz w:val="24"/>
                <w:szCs w:val="24"/>
              </w:rPr>
            </w:pPr>
            <w:r>
              <w:rPr>
                <w:rFonts w:hint="default" w:ascii="Times New Roman" w:hAnsi="Times New Roman" w:cs="Times New Roman"/>
                <w:color w:val="0000FF"/>
                <w:sz w:val="24"/>
                <w:szCs w:val="24"/>
              </w:rPr>
              <w:t>由以上分析可知，当废气处理设施故障，出现非正常排放时，其污染物的排放量远远大于正常工况污染物的排放量，烟尘浓度将大幅增加，因此，企业应采取有效的环保安全措施，如下：</w:t>
            </w:r>
          </w:p>
          <w:p>
            <w:pPr>
              <w:shd w:val="clear"/>
              <w:adjustRightInd w:val="0"/>
              <w:snapToGrid w:val="0"/>
              <w:spacing w:line="360" w:lineRule="auto"/>
              <w:ind w:firstLine="576" w:firstLineChars="240"/>
              <w:rPr>
                <w:rFonts w:hint="default" w:ascii="Times New Roman" w:hAnsi="Times New Roman" w:cs="Times New Roman"/>
                <w:color w:val="0000FF"/>
                <w:sz w:val="24"/>
                <w:szCs w:val="24"/>
              </w:rPr>
            </w:pPr>
            <w:r>
              <w:rPr>
                <w:rFonts w:hint="default" w:ascii="Times New Roman" w:hAnsi="Times New Roman" w:cs="Times New Roman"/>
                <w:color w:val="0000FF"/>
                <w:sz w:val="24"/>
                <w:szCs w:val="24"/>
              </w:rPr>
              <w:t>①定期加强设备检查及检修等。</w:t>
            </w:r>
          </w:p>
          <w:p>
            <w:pPr>
              <w:shd w:val="clear"/>
              <w:adjustRightInd w:val="0"/>
              <w:snapToGrid w:val="0"/>
              <w:spacing w:line="360" w:lineRule="auto"/>
              <w:ind w:firstLine="576" w:firstLineChars="240"/>
              <w:rPr>
                <w:rFonts w:hint="default" w:ascii="Times New Roman" w:hAnsi="Times New Roman" w:cs="Times New Roman"/>
                <w:color w:val="0000FF"/>
                <w:sz w:val="24"/>
                <w:szCs w:val="24"/>
              </w:rPr>
            </w:pPr>
            <w:r>
              <w:rPr>
                <w:rFonts w:hint="default" w:ascii="Times New Roman" w:hAnsi="Times New Roman" w:cs="Times New Roman"/>
                <w:color w:val="0000FF"/>
                <w:sz w:val="24"/>
                <w:szCs w:val="24"/>
              </w:rPr>
              <w:t>②一旦设备处理效率大幅降低或者失效，</w:t>
            </w:r>
            <w:r>
              <w:rPr>
                <w:rFonts w:hint="default" w:ascii="Times New Roman" w:hAnsi="Times New Roman" w:cs="Times New Roman"/>
                <w:color w:val="0000FF"/>
                <w:sz w:val="24"/>
                <w:szCs w:val="24"/>
                <w:lang w:eastAsia="zh-CN"/>
              </w:rPr>
              <w:t>企业立即停工</w:t>
            </w:r>
            <w:r>
              <w:rPr>
                <w:rFonts w:hint="default" w:ascii="Times New Roman" w:hAnsi="Times New Roman" w:cs="Times New Roman"/>
                <w:color w:val="0000FF"/>
                <w:sz w:val="24"/>
                <w:szCs w:val="24"/>
              </w:rPr>
              <w:t>检修，检修满足要求后再重新启动。</w:t>
            </w:r>
          </w:p>
          <w:p>
            <w:pPr>
              <w:shd w:val="clear"/>
              <w:spacing w:line="360" w:lineRule="auto"/>
              <w:ind w:firstLine="480" w:firstLineChars="200"/>
              <w:rPr>
                <w:rFonts w:hint="default" w:ascii="Times New Roman" w:hAnsi="Times New Roman" w:cs="Times New Roman"/>
                <w:color w:val="0000FF"/>
                <w:sz w:val="24"/>
                <w:szCs w:val="24"/>
              </w:rPr>
            </w:pPr>
            <w:r>
              <w:rPr>
                <w:rFonts w:hint="default" w:ascii="Times New Roman" w:hAnsi="Times New Roman" w:cs="Times New Roman"/>
                <w:color w:val="0000FF"/>
                <w:sz w:val="24"/>
                <w:szCs w:val="24"/>
              </w:rPr>
              <w:t>③加强厂区监测，落实监测计划，加强设备管理，尽量避免非正常工况下非正常排污情况发生。</w:t>
            </w:r>
          </w:p>
          <w:p>
            <w:pPr>
              <w:pStyle w:val="96"/>
              <w:keepNext w:val="0"/>
              <w:keepLines w:val="0"/>
              <w:pageBreakBefore w:val="0"/>
              <w:widowControl w:val="0"/>
              <w:numPr>
                <w:ilvl w:val="0"/>
                <w:numId w:val="0"/>
              </w:numPr>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FF"/>
                <w:sz w:val="24"/>
                <w:szCs w:val="24"/>
              </w:rPr>
            </w:pPr>
            <w:r>
              <w:rPr>
                <w:rFonts w:hint="default" w:ascii="Times New Roman" w:hAnsi="Times New Roman" w:cs="Times New Roman"/>
                <w:color w:val="0000FF"/>
                <w:sz w:val="24"/>
                <w:szCs w:val="24"/>
                <w:lang w:val="en-US" w:eastAsia="zh-CN"/>
              </w:rPr>
              <w:t>3</w:t>
            </w:r>
            <w:r>
              <w:rPr>
                <w:rFonts w:hint="eastAsia" w:cs="Times New Roman"/>
                <w:color w:val="0000FF"/>
                <w:sz w:val="24"/>
                <w:szCs w:val="24"/>
                <w:lang w:val="en-US" w:eastAsia="zh-CN"/>
              </w:rPr>
              <w:t>、</w:t>
            </w:r>
            <w:r>
              <w:rPr>
                <w:rFonts w:hint="default" w:ascii="Times New Roman" w:hAnsi="Times New Roman" w:cs="Times New Roman"/>
                <w:color w:val="0000FF"/>
                <w:sz w:val="24"/>
                <w:szCs w:val="24"/>
                <w:lang w:val="en-US" w:eastAsia="zh-CN"/>
              </w:rPr>
              <w:t>废气</w:t>
            </w:r>
            <w:r>
              <w:rPr>
                <w:rFonts w:hint="default" w:ascii="Times New Roman" w:hAnsi="Times New Roman" w:cs="Times New Roman"/>
                <w:color w:val="0000FF"/>
                <w:sz w:val="24"/>
                <w:szCs w:val="24"/>
              </w:rPr>
              <w:t>排放口信息</w:t>
            </w:r>
          </w:p>
          <w:p>
            <w:pPr>
              <w:pStyle w:val="96"/>
              <w:keepNext w:val="0"/>
              <w:keepLines w:val="0"/>
              <w:pageBreakBefore w:val="0"/>
              <w:widowControl w:val="0"/>
              <w:numPr>
                <w:ilvl w:val="0"/>
                <w:numId w:val="0"/>
              </w:numPr>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FF"/>
                <w:sz w:val="24"/>
                <w:szCs w:val="24"/>
                <w:lang w:val="en-US" w:eastAsia="zh-CN"/>
              </w:rPr>
            </w:pPr>
            <w:r>
              <w:rPr>
                <w:rFonts w:hint="default" w:ascii="Times New Roman" w:hAnsi="Times New Roman" w:cs="Times New Roman"/>
                <w:color w:val="0000FF"/>
                <w:sz w:val="24"/>
                <w:szCs w:val="24"/>
                <w:lang w:val="en-US" w:eastAsia="zh-CN"/>
              </w:rPr>
              <w:t>排放口基本信息见表4-</w:t>
            </w:r>
            <w:r>
              <w:rPr>
                <w:rFonts w:hint="eastAsia" w:cs="Times New Roman"/>
                <w:color w:val="0000FF"/>
                <w:sz w:val="24"/>
                <w:szCs w:val="24"/>
                <w:lang w:val="en-US" w:eastAsia="zh-CN"/>
              </w:rPr>
              <w:t>7</w:t>
            </w:r>
            <w:r>
              <w:rPr>
                <w:rFonts w:hint="default" w:ascii="Times New Roman" w:hAnsi="Times New Roman" w:cs="Times New Roman"/>
                <w:color w:val="0000FF"/>
                <w:sz w:val="24"/>
                <w:szCs w:val="24"/>
                <w:lang w:val="en-US" w:eastAsia="zh-CN"/>
              </w:rPr>
              <w:t>。</w:t>
            </w:r>
          </w:p>
          <w:p>
            <w:pPr>
              <w:pStyle w:val="93"/>
              <w:shd w:val="clear"/>
              <w:spacing w:line="240" w:lineRule="auto"/>
              <w:rPr>
                <w:rFonts w:hint="default" w:ascii="Times New Roman" w:hAnsi="Times New Roman" w:cs="Times New Roman" w:eastAsiaTheme="minorEastAsia"/>
                <w:b/>
                <w:bCs/>
                <w:color w:val="0000FF"/>
                <w:sz w:val="24"/>
                <w:szCs w:val="24"/>
                <w:lang w:val="en-US" w:eastAsia="zh-CN"/>
              </w:rPr>
            </w:pPr>
            <w:r>
              <w:rPr>
                <w:rFonts w:hint="default" w:ascii="Times New Roman" w:hAnsi="Times New Roman" w:cs="Times New Roman" w:eastAsiaTheme="minorEastAsia"/>
                <w:b/>
                <w:bCs/>
                <w:color w:val="0000FF"/>
                <w:sz w:val="24"/>
                <w:szCs w:val="24"/>
                <w:lang w:val="en-US" w:eastAsia="zh-CN"/>
              </w:rPr>
              <w:t>表4-</w:t>
            </w:r>
            <w:r>
              <w:rPr>
                <w:rFonts w:hint="eastAsia" w:ascii="Times New Roman" w:hAnsi="Times New Roman" w:cs="Times New Roman" w:eastAsiaTheme="minorEastAsia"/>
                <w:b/>
                <w:bCs/>
                <w:color w:val="0000FF"/>
                <w:sz w:val="24"/>
                <w:szCs w:val="24"/>
                <w:lang w:val="en-US" w:eastAsia="zh-CN"/>
              </w:rPr>
              <w:t>7</w:t>
            </w:r>
            <w:r>
              <w:rPr>
                <w:rFonts w:hint="default" w:ascii="Times New Roman" w:hAnsi="Times New Roman" w:cs="Times New Roman" w:eastAsiaTheme="minorEastAsia"/>
                <w:b/>
                <w:bCs/>
                <w:color w:val="0000FF"/>
                <w:sz w:val="24"/>
                <w:szCs w:val="24"/>
                <w:lang w:val="en-US" w:eastAsia="zh-CN"/>
              </w:rPr>
              <w:t xml:space="preserve">  排放口信息汇总表</w:t>
            </w:r>
          </w:p>
          <w:tbl>
            <w:tblPr>
              <w:tblStyle w:val="2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78"/>
              <w:gridCol w:w="1191"/>
              <w:gridCol w:w="1463"/>
              <w:gridCol w:w="1444"/>
              <w:gridCol w:w="957"/>
              <w:gridCol w:w="700"/>
              <w:gridCol w:w="915"/>
              <w:gridCol w:w="10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2" w:hRule="atLeast"/>
              </w:trPr>
              <w:tc>
                <w:tcPr>
                  <w:tcW w:w="457"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编号</w:t>
                  </w:r>
                </w:p>
              </w:tc>
              <w:tc>
                <w:tcPr>
                  <w:tcW w:w="699"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名称</w:t>
                  </w:r>
                </w:p>
              </w:tc>
              <w:tc>
                <w:tcPr>
                  <w:tcW w:w="1707" w:type="pct"/>
                  <w:gridSpan w:val="2"/>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地理坐标</w:t>
                  </w:r>
                </w:p>
              </w:tc>
              <w:tc>
                <w:tcPr>
                  <w:tcW w:w="562"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排气筒</w:t>
                  </w:r>
                </w:p>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高度/m</w:t>
                  </w:r>
                </w:p>
              </w:tc>
              <w:tc>
                <w:tcPr>
                  <w:tcW w:w="411"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内径</w:t>
                  </w:r>
                </w:p>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w:t>
                  </w:r>
                  <w:r>
                    <w:rPr>
                      <w:rFonts w:hint="default" w:ascii="Times New Roman" w:hAnsi="Times New Roman" w:cs="Times New Roman"/>
                      <w:color w:val="0000FF"/>
                      <w:sz w:val="21"/>
                      <w:szCs w:val="21"/>
                      <w:lang w:val="en-US" w:eastAsia="zh-CN"/>
                    </w:rPr>
                    <w:t>m</w:t>
                  </w:r>
                  <w:r>
                    <w:rPr>
                      <w:rFonts w:hint="default" w:ascii="Times New Roman" w:hAnsi="Times New Roman" w:cs="Times New Roman"/>
                      <w:color w:val="0000FF"/>
                      <w:sz w:val="21"/>
                      <w:szCs w:val="21"/>
                    </w:rPr>
                    <w:t>）</w:t>
                  </w:r>
                </w:p>
              </w:tc>
              <w:tc>
                <w:tcPr>
                  <w:tcW w:w="537"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烟气温度</w:t>
                  </w:r>
                </w:p>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w:t>
                  </w:r>
                </w:p>
              </w:tc>
              <w:tc>
                <w:tcPr>
                  <w:tcW w:w="624" w:type="pct"/>
                  <w:vMerge w:val="restar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管理类别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7" w:hRule="atLeast"/>
              </w:trPr>
              <w:tc>
                <w:tcPr>
                  <w:tcW w:w="457"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p>
              </w:tc>
              <w:tc>
                <w:tcPr>
                  <w:tcW w:w="699"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p>
              </w:tc>
              <w:tc>
                <w:tcPr>
                  <w:tcW w:w="85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E(°)</w:t>
                  </w:r>
                </w:p>
              </w:tc>
              <w:tc>
                <w:tcPr>
                  <w:tcW w:w="847"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N(°)</w:t>
                  </w:r>
                </w:p>
              </w:tc>
              <w:tc>
                <w:tcPr>
                  <w:tcW w:w="562"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p>
              </w:tc>
              <w:tc>
                <w:tcPr>
                  <w:tcW w:w="411"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p>
              </w:tc>
              <w:tc>
                <w:tcPr>
                  <w:tcW w:w="537"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p>
              </w:tc>
              <w:tc>
                <w:tcPr>
                  <w:tcW w:w="624" w:type="pct"/>
                  <w:vMerge w:val="continue"/>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32" w:hRule="atLeast"/>
              </w:trPr>
              <w:tc>
                <w:tcPr>
                  <w:tcW w:w="457"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DA001</w:t>
                  </w:r>
                </w:p>
              </w:tc>
              <w:tc>
                <w:tcPr>
                  <w:tcW w:w="69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lang w:eastAsia="zh-CN"/>
                    </w:rPr>
                  </w:pPr>
                  <w:r>
                    <w:rPr>
                      <w:rFonts w:hint="default" w:ascii="Times New Roman" w:hAnsi="Times New Roman" w:cs="Times New Roman"/>
                      <w:color w:val="0000FF"/>
                      <w:sz w:val="21"/>
                      <w:szCs w:val="21"/>
                      <w:lang w:val="en-US" w:eastAsia="zh-CN"/>
                    </w:rPr>
                    <w:t>锅炉烟囱</w:t>
                  </w:r>
                </w:p>
              </w:tc>
              <w:tc>
                <w:tcPr>
                  <w:tcW w:w="859"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126.93796635</w:t>
                  </w:r>
                </w:p>
              </w:tc>
              <w:tc>
                <w:tcPr>
                  <w:tcW w:w="847"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47.55009411</w:t>
                  </w:r>
                </w:p>
              </w:tc>
              <w:tc>
                <w:tcPr>
                  <w:tcW w:w="56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35</w:t>
                  </w:r>
                </w:p>
              </w:tc>
              <w:tc>
                <w:tcPr>
                  <w:tcW w:w="411"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0.</w:t>
                  </w:r>
                  <w:r>
                    <w:rPr>
                      <w:rFonts w:hint="eastAsia" w:cs="Times New Roman"/>
                      <w:color w:val="0000FF"/>
                      <w:sz w:val="21"/>
                      <w:szCs w:val="21"/>
                      <w:lang w:val="en-US" w:eastAsia="zh-CN"/>
                    </w:rPr>
                    <w:t>5</w:t>
                  </w:r>
                </w:p>
              </w:tc>
              <w:tc>
                <w:tcPr>
                  <w:tcW w:w="537"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120</w:t>
                  </w:r>
                </w:p>
              </w:tc>
              <w:tc>
                <w:tcPr>
                  <w:tcW w:w="624"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napToGrid/>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eastAsia="zh-CN"/>
                    </w:rPr>
                    <w:t>一般</w:t>
                  </w:r>
                  <w:r>
                    <w:rPr>
                      <w:rFonts w:hint="default" w:ascii="Times New Roman" w:hAnsi="Times New Roman" w:cs="Times New Roman"/>
                      <w:color w:val="0000FF"/>
                      <w:sz w:val="21"/>
                      <w:szCs w:val="21"/>
                    </w:rPr>
                    <w:t>排放口</w:t>
                  </w:r>
                </w:p>
              </w:tc>
            </w:tr>
          </w:tbl>
          <w:p>
            <w:pPr>
              <w:shd w:val="clear"/>
              <w:spacing w:line="360" w:lineRule="auto"/>
              <w:ind w:firstLine="480" w:firstLineChars="200"/>
              <w:rPr>
                <w:rFonts w:hint="default" w:ascii="Times New Roman" w:hAnsi="Times New Roman" w:cs="Times New Roman"/>
                <w:color w:val="0000FF"/>
                <w:sz w:val="24"/>
                <w:szCs w:val="24"/>
                <w:lang w:val="en-US" w:eastAsia="zh-CN"/>
              </w:rPr>
            </w:pPr>
          </w:p>
          <w:p>
            <w:pPr>
              <w:shd w:val="clear"/>
              <w:spacing w:line="360" w:lineRule="auto"/>
              <w:ind w:firstLine="480" w:firstLineChars="200"/>
              <w:rPr>
                <w:rFonts w:hint="default" w:ascii="Times New Roman" w:hAnsi="Times New Roman" w:cs="Times New Roman"/>
                <w:color w:val="0000FF"/>
                <w:sz w:val="24"/>
                <w:szCs w:val="24"/>
              </w:rPr>
            </w:pPr>
            <w:r>
              <w:rPr>
                <w:rFonts w:hint="default" w:ascii="Times New Roman" w:hAnsi="Times New Roman" w:cs="Times New Roman"/>
                <w:color w:val="0000FF"/>
                <w:sz w:val="24"/>
                <w:szCs w:val="24"/>
                <w:lang w:val="en-US" w:eastAsia="zh-CN"/>
              </w:rPr>
              <w:t>4</w:t>
            </w:r>
            <w:r>
              <w:rPr>
                <w:rFonts w:hint="eastAsia" w:cs="Times New Roman"/>
                <w:color w:val="0000FF"/>
                <w:sz w:val="24"/>
                <w:szCs w:val="24"/>
                <w:lang w:val="en-US" w:eastAsia="zh-CN"/>
              </w:rPr>
              <w:t>、</w:t>
            </w:r>
            <w:r>
              <w:rPr>
                <w:rFonts w:hint="default" w:ascii="Times New Roman" w:hAnsi="Times New Roman" w:cs="Times New Roman"/>
                <w:color w:val="0000FF"/>
                <w:sz w:val="24"/>
                <w:szCs w:val="24"/>
              </w:rPr>
              <w:t>污染物防治措施可行性及达标</w:t>
            </w:r>
            <w:r>
              <w:rPr>
                <w:rFonts w:hint="default" w:ascii="Times New Roman" w:hAnsi="Times New Roman" w:cs="Times New Roman"/>
                <w:color w:val="0000FF"/>
                <w:sz w:val="24"/>
                <w:szCs w:val="24"/>
                <w:lang w:val="en-US" w:eastAsia="zh-CN"/>
              </w:rPr>
              <w:t>排放情况</w:t>
            </w:r>
            <w:r>
              <w:rPr>
                <w:rFonts w:hint="default" w:ascii="Times New Roman" w:hAnsi="Times New Roman" w:cs="Times New Roman"/>
                <w:color w:val="0000FF"/>
                <w:sz w:val="24"/>
                <w:szCs w:val="24"/>
              </w:rPr>
              <w:t>分析</w:t>
            </w:r>
          </w:p>
          <w:p>
            <w:pPr>
              <w:keepNext w:val="0"/>
              <w:keepLines w:val="0"/>
              <w:pageBreakBefore w:val="0"/>
              <w:widowControl w:val="0"/>
              <w:shd w:val="clear"/>
              <w:kinsoku/>
              <w:wordWrap/>
              <w:overflowPunct/>
              <w:topLinePunct w:val="0"/>
              <w:bidi w:val="0"/>
              <w:adjustRightInd/>
              <w:snapToGrid/>
              <w:spacing w:line="360" w:lineRule="auto"/>
              <w:ind w:firstLine="480" w:firstLineChars="200"/>
              <w:textAlignment w:val="auto"/>
              <w:rPr>
                <w:rFonts w:hint="default" w:ascii="Times New Roman" w:hAnsi="Times New Roman" w:cs="Times New Roman"/>
                <w:color w:val="0000FF"/>
                <w:sz w:val="24"/>
                <w:szCs w:val="24"/>
              </w:rPr>
            </w:pP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lang w:val="en-US" w:eastAsia="zh-CN"/>
              </w:rPr>
              <w:t>1</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rPr>
              <w:t>防治措施可行性分析</w:t>
            </w:r>
          </w:p>
          <w:p>
            <w:pPr>
              <w:keepNext w:val="0"/>
              <w:keepLines w:val="0"/>
              <w:pageBreakBefore w:val="0"/>
              <w:widowControl w:val="0"/>
              <w:shd w:val="clear"/>
              <w:kinsoku/>
              <w:wordWrap/>
              <w:overflowPunct/>
              <w:topLinePunct w:val="0"/>
              <w:bidi w:val="0"/>
              <w:adjustRightInd/>
              <w:snapToGrid/>
              <w:spacing w:line="360" w:lineRule="auto"/>
              <w:ind w:firstLine="480" w:firstLineChars="200"/>
              <w:textAlignment w:val="auto"/>
              <w:rPr>
                <w:rFonts w:hint="default" w:ascii="Times New Roman" w:hAnsi="Times New Roman" w:cs="Times New Roman"/>
                <w:color w:val="0000FF"/>
                <w:sz w:val="24"/>
                <w:szCs w:val="24"/>
                <w:lang w:val="en-US" w:eastAsia="zh-CN"/>
              </w:rPr>
            </w:pPr>
            <w:r>
              <w:rPr>
                <w:rFonts w:hint="default" w:ascii="Times New Roman" w:hAnsi="Times New Roman" w:cs="Times New Roman"/>
                <w:color w:val="0000FF"/>
                <w:sz w:val="24"/>
                <w:szCs w:val="24"/>
              </w:rPr>
              <w:t>①</w:t>
            </w:r>
            <w:r>
              <w:rPr>
                <w:rFonts w:hint="default" w:ascii="Times New Roman" w:hAnsi="Times New Roman" w:cs="Times New Roman"/>
                <w:color w:val="0000FF"/>
                <w:sz w:val="24"/>
                <w:szCs w:val="24"/>
                <w:lang w:val="en-US" w:eastAsia="zh-CN"/>
              </w:rPr>
              <w:t>除尘措施</w:t>
            </w:r>
          </w:p>
          <w:p>
            <w:pPr>
              <w:keepNext w:val="0"/>
              <w:keepLines w:val="0"/>
              <w:pageBreakBefore w:val="0"/>
              <w:widowControl w:val="0"/>
              <w:shd w:val="clear"/>
              <w:kinsoku/>
              <w:wordWrap/>
              <w:overflowPunct/>
              <w:topLinePunct w:val="0"/>
              <w:bidi w:val="0"/>
              <w:adjustRightInd/>
              <w:snapToGrid/>
              <w:spacing w:line="360" w:lineRule="auto"/>
              <w:ind w:firstLine="480" w:firstLineChars="200"/>
              <w:textAlignment w:val="auto"/>
              <w:rPr>
                <w:rFonts w:hint="default" w:ascii="Times New Roman" w:hAnsi="Times New Roman" w:cs="Times New Roman"/>
                <w:color w:val="0000FF"/>
                <w:sz w:val="24"/>
                <w:szCs w:val="24"/>
              </w:rPr>
            </w:pPr>
            <w:r>
              <w:rPr>
                <w:rFonts w:hint="default" w:ascii="Times New Roman" w:hAnsi="Times New Roman" w:cs="Times New Roman"/>
                <w:color w:val="0000FF"/>
                <w:sz w:val="24"/>
                <w:szCs w:val="24"/>
              </w:rPr>
              <w:t xml:space="preserve">根据《排污许可证申请与核发技术规范 </w:t>
            </w:r>
            <w:r>
              <w:rPr>
                <w:rFonts w:hint="default" w:ascii="Times New Roman" w:hAnsi="Times New Roman" w:cs="Times New Roman"/>
                <w:color w:val="0000FF"/>
                <w:sz w:val="24"/>
                <w:szCs w:val="24"/>
                <w:lang w:eastAsia="zh-CN"/>
              </w:rPr>
              <w:t>锅炉</w:t>
            </w:r>
            <w:r>
              <w:rPr>
                <w:rFonts w:hint="default" w:ascii="Times New Roman" w:hAnsi="Times New Roman" w:cs="Times New Roman"/>
                <w:color w:val="0000FF"/>
                <w:sz w:val="24"/>
                <w:szCs w:val="24"/>
              </w:rPr>
              <w:t>》（HJ</w:t>
            </w:r>
            <w:r>
              <w:rPr>
                <w:rFonts w:hint="default" w:ascii="Times New Roman" w:hAnsi="Times New Roman" w:cs="Times New Roman"/>
                <w:color w:val="0000FF"/>
                <w:sz w:val="24"/>
                <w:szCs w:val="24"/>
                <w:lang w:val="en-US" w:eastAsia="zh-CN"/>
              </w:rPr>
              <w:t xml:space="preserve"> 953-2018</w:t>
            </w:r>
            <w:r>
              <w:rPr>
                <w:rFonts w:hint="default" w:ascii="Times New Roman" w:hAnsi="Times New Roman" w:cs="Times New Roman"/>
                <w:color w:val="0000FF"/>
                <w:sz w:val="24"/>
                <w:szCs w:val="24"/>
              </w:rPr>
              <w:t>），</w:t>
            </w:r>
            <w:r>
              <w:rPr>
                <w:rFonts w:hint="default" w:ascii="Times New Roman" w:hAnsi="Times New Roman" w:cs="Times New Roman"/>
                <w:color w:val="0000FF"/>
                <w:sz w:val="24"/>
                <w:szCs w:val="24"/>
                <w:lang w:val="en-US" w:eastAsia="zh-CN"/>
              </w:rPr>
              <w:t>《工业锅炉污染防治可行技术指南》(HJ 1178-2021)</w:t>
            </w:r>
            <w:r>
              <w:rPr>
                <w:rFonts w:hint="default" w:ascii="Times New Roman" w:hAnsi="Times New Roman" w:cs="Times New Roman"/>
                <w:color w:val="0000FF"/>
                <w:sz w:val="24"/>
                <w:szCs w:val="24"/>
              </w:rPr>
              <w:t>，本项目选用</w:t>
            </w:r>
            <w:r>
              <w:rPr>
                <w:rFonts w:hint="default" w:ascii="Times New Roman" w:hAnsi="Times New Roman" w:cs="Times New Roman"/>
                <w:color w:val="0000FF"/>
                <w:sz w:val="24"/>
                <w:szCs w:val="24"/>
                <w:lang w:val="en-US" w:eastAsia="zh-CN"/>
              </w:rPr>
              <w:t>的</w:t>
            </w:r>
            <w:r>
              <w:rPr>
                <w:rFonts w:hint="default" w:ascii="Times New Roman" w:hAnsi="Times New Roman" w:cs="Times New Roman"/>
                <w:color w:val="0000FF"/>
                <w:sz w:val="24"/>
                <w:szCs w:val="24"/>
              </w:rPr>
              <w:t>布袋除尘器除尘效率为99</w:t>
            </w:r>
            <w:r>
              <w:rPr>
                <w:rFonts w:hint="default" w:ascii="Times New Roman" w:hAnsi="Times New Roman" w:cs="Times New Roman"/>
                <w:color w:val="0000FF"/>
                <w:sz w:val="24"/>
                <w:szCs w:val="24"/>
                <w:lang w:val="en-US" w:eastAsia="zh-CN"/>
              </w:rPr>
              <w:t>.</w:t>
            </w:r>
            <w:r>
              <w:rPr>
                <w:rFonts w:hint="eastAsia" w:cs="Times New Roman"/>
                <w:color w:val="0000FF"/>
                <w:sz w:val="24"/>
                <w:szCs w:val="24"/>
                <w:lang w:val="en-US" w:eastAsia="zh-CN"/>
              </w:rPr>
              <w:t>9</w:t>
            </w:r>
            <w:r>
              <w:rPr>
                <w:rFonts w:hint="default" w:ascii="Times New Roman" w:hAnsi="Times New Roman" w:cs="Times New Roman"/>
                <w:color w:val="0000FF"/>
                <w:sz w:val="24"/>
                <w:szCs w:val="24"/>
              </w:rPr>
              <w:t>%，根据其结构简单，维护操作方便，可以保证高净化效率的同时价格较低，对于经济、技术方面上是可行的。</w:t>
            </w:r>
          </w:p>
          <w:p>
            <w:pPr>
              <w:keepNext w:val="0"/>
              <w:keepLines w:val="0"/>
              <w:pageBreakBefore w:val="0"/>
              <w:widowControl w:val="0"/>
              <w:shd w:val="clear"/>
              <w:kinsoku/>
              <w:wordWrap/>
              <w:overflowPunct/>
              <w:topLinePunct w:val="0"/>
              <w:bidi w:val="0"/>
              <w:adjustRightInd/>
              <w:snapToGrid/>
              <w:spacing w:line="360" w:lineRule="auto"/>
              <w:ind w:firstLine="576" w:firstLineChars="240"/>
              <w:textAlignment w:val="auto"/>
              <w:rPr>
                <w:rFonts w:hint="default" w:ascii="Times New Roman" w:hAnsi="Times New Roman" w:cs="Times New Roman"/>
                <w:color w:val="0000FF"/>
                <w:sz w:val="24"/>
                <w:szCs w:val="24"/>
              </w:rPr>
            </w:pP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lang w:val="en-US" w:eastAsia="zh-CN"/>
              </w:rPr>
              <w:t>2</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lang w:val="en-US" w:eastAsia="zh-CN"/>
              </w:rPr>
              <w:t>废气</w:t>
            </w:r>
            <w:r>
              <w:rPr>
                <w:rFonts w:hint="default" w:ascii="Times New Roman" w:hAnsi="Times New Roman" w:cs="Times New Roman"/>
                <w:color w:val="0000FF"/>
                <w:sz w:val="24"/>
                <w:szCs w:val="24"/>
              </w:rPr>
              <w:t>达标</w:t>
            </w:r>
            <w:r>
              <w:rPr>
                <w:rFonts w:hint="default" w:ascii="Times New Roman" w:hAnsi="Times New Roman" w:cs="Times New Roman"/>
                <w:color w:val="0000FF"/>
                <w:sz w:val="24"/>
                <w:szCs w:val="24"/>
                <w:lang w:val="en-US" w:eastAsia="zh-CN"/>
              </w:rPr>
              <w:t>排放情况</w:t>
            </w:r>
            <w:r>
              <w:rPr>
                <w:rFonts w:hint="default" w:ascii="Times New Roman" w:hAnsi="Times New Roman" w:cs="Times New Roman"/>
                <w:color w:val="0000FF"/>
                <w:sz w:val="24"/>
                <w:szCs w:val="24"/>
              </w:rPr>
              <w:t>分析</w:t>
            </w:r>
          </w:p>
          <w:p>
            <w:pPr>
              <w:keepNext w:val="0"/>
              <w:keepLines w:val="0"/>
              <w:pageBreakBefore w:val="0"/>
              <w:widowControl w:val="0"/>
              <w:shd w:val="clear"/>
              <w:kinsoku/>
              <w:wordWrap/>
              <w:overflowPunct/>
              <w:topLinePunct w:val="0"/>
              <w:bidi w:val="0"/>
              <w:adjustRightInd/>
              <w:snapToGrid/>
              <w:spacing w:line="360" w:lineRule="auto"/>
              <w:ind w:firstLine="576" w:firstLineChars="240"/>
              <w:textAlignment w:val="auto"/>
              <w:rPr>
                <w:rFonts w:hint="default" w:ascii="Times New Roman" w:hAnsi="Times New Roman" w:cs="Times New Roman"/>
                <w:color w:val="0000FF"/>
                <w:sz w:val="24"/>
                <w:szCs w:val="24"/>
                <w:lang w:eastAsia="zh-CN"/>
              </w:rPr>
            </w:pPr>
            <w:r>
              <w:rPr>
                <w:rFonts w:hint="default" w:ascii="Times New Roman" w:hAnsi="Times New Roman" w:cs="Times New Roman"/>
                <w:color w:val="0000FF"/>
                <w:sz w:val="24"/>
                <w:szCs w:val="24"/>
              </w:rPr>
              <w:t>经计算，</w:t>
            </w:r>
            <w:r>
              <w:rPr>
                <w:rFonts w:hint="default" w:ascii="Times New Roman" w:hAnsi="Times New Roman" w:cs="Times New Roman"/>
                <w:color w:val="0000FF"/>
                <w:sz w:val="24"/>
                <w:szCs w:val="24"/>
                <w:lang w:val="en-US" w:eastAsia="zh-CN"/>
              </w:rPr>
              <w:t>本项目蒸汽锅炉</w:t>
            </w:r>
            <w:r>
              <w:rPr>
                <w:rFonts w:hint="default" w:ascii="Times New Roman" w:hAnsi="Times New Roman" w:cs="Times New Roman"/>
                <w:color w:val="0000FF"/>
                <w:sz w:val="24"/>
                <w:szCs w:val="24"/>
              </w:rPr>
              <w:t>烟气</w:t>
            </w:r>
            <w:r>
              <w:rPr>
                <w:rFonts w:hint="default" w:ascii="Times New Roman" w:hAnsi="Times New Roman" w:cs="Times New Roman"/>
                <w:color w:val="0000FF"/>
                <w:sz w:val="24"/>
                <w:szCs w:val="24"/>
                <w:lang w:eastAsia="zh-CN"/>
              </w:rPr>
              <w:t>经布袋除尘器处理后，</w:t>
            </w:r>
            <w:r>
              <w:rPr>
                <w:rFonts w:hint="default" w:ascii="Times New Roman" w:hAnsi="Times New Roman" w:cs="Times New Roman"/>
                <w:color w:val="0000FF"/>
                <w:sz w:val="24"/>
                <w:szCs w:val="24"/>
              </w:rPr>
              <w:t>颗粒物、SO</w:t>
            </w:r>
            <w:r>
              <w:rPr>
                <w:rFonts w:hint="default" w:ascii="Times New Roman" w:hAnsi="Times New Roman" w:cs="Times New Roman"/>
                <w:color w:val="0000FF"/>
                <w:sz w:val="24"/>
                <w:szCs w:val="24"/>
                <w:vertAlign w:val="subscript"/>
              </w:rPr>
              <w:t>2</w:t>
            </w:r>
            <w:r>
              <w:rPr>
                <w:rFonts w:hint="default" w:ascii="Times New Roman" w:hAnsi="Times New Roman" w:cs="Times New Roman"/>
                <w:color w:val="0000FF"/>
                <w:sz w:val="24"/>
                <w:szCs w:val="24"/>
              </w:rPr>
              <w:t>、NO</w:t>
            </w:r>
            <w:r>
              <w:rPr>
                <w:rFonts w:hint="default" w:ascii="Times New Roman" w:hAnsi="Times New Roman" w:cs="Times New Roman"/>
                <w:color w:val="0000FF"/>
                <w:sz w:val="24"/>
                <w:szCs w:val="24"/>
                <w:vertAlign w:val="subscript"/>
              </w:rPr>
              <w:t>X</w:t>
            </w:r>
            <w:r>
              <w:rPr>
                <w:rFonts w:hint="default" w:ascii="Times New Roman" w:hAnsi="Times New Roman" w:cs="Times New Roman"/>
                <w:color w:val="0000FF"/>
                <w:sz w:val="24"/>
                <w:szCs w:val="24"/>
              </w:rPr>
              <w:t>排放浓度分别为</w:t>
            </w:r>
            <w:r>
              <w:rPr>
                <w:rFonts w:hint="eastAsia" w:cs="Times New Roman"/>
                <w:color w:val="0000FF"/>
                <w:sz w:val="24"/>
                <w:szCs w:val="24"/>
                <w:lang w:val="en-US" w:eastAsia="zh-CN"/>
              </w:rPr>
              <w:t>5.49</w:t>
            </w:r>
            <w:r>
              <w:rPr>
                <w:rFonts w:hint="default" w:ascii="Times New Roman" w:hAnsi="Times New Roman" w:cs="Times New Roman"/>
                <w:color w:val="0000FF"/>
                <w:sz w:val="24"/>
                <w:szCs w:val="24"/>
              </w:rPr>
              <w:t>mg/m</w:t>
            </w:r>
            <w:r>
              <w:rPr>
                <w:rFonts w:hint="default" w:ascii="Times New Roman" w:hAnsi="Times New Roman" w:cs="Times New Roman"/>
                <w:color w:val="0000FF"/>
                <w:sz w:val="24"/>
                <w:szCs w:val="24"/>
                <w:vertAlign w:val="superscript"/>
              </w:rPr>
              <w:t>3</w:t>
            </w:r>
            <w:r>
              <w:rPr>
                <w:rFonts w:hint="default" w:ascii="Times New Roman" w:hAnsi="Times New Roman" w:cs="Times New Roman"/>
                <w:color w:val="0000FF"/>
                <w:sz w:val="24"/>
                <w:szCs w:val="24"/>
              </w:rPr>
              <w:t>、</w:t>
            </w:r>
            <w:r>
              <w:rPr>
                <w:rFonts w:hint="eastAsia" w:cs="Times New Roman"/>
                <w:color w:val="0000FF"/>
                <w:sz w:val="24"/>
                <w:szCs w:val="24"/>
                <w:lang w:val="en-US" w:eastAsia="zh-CN"/>
              </w:rPr>
              <w:t>16.46</w:t>
            </w:r>
            <w:r>
              <w:rPr>
                <w:rFonts w:hint="default" w:ascii="Times New Roman" w:hAnsi="Times New Roman" w:cs="Times New Roman"/>
                <w:color w:val="0000FF"/>
                <w:sz w:val="24"/>
                <w:szCs w:val="24"/>
              </w:rPr>
              <w:t>mg/m</w:t>
            </w:r>
            <w:r>
              <w:rPr>
                <w:rFonts w:hint="default" w:ascii="Times New Roman" w:hAnsi="Times New Roman" w:cs="Times New Roman"/>
                <w:color w:val="0000FF"/>
                <w:sz w:val="24"/>
                <w:szCs w:val="24"/>
                <w:vertAlign w:val="superscript"/>
              </w:rPr>
              <w:t>3</w:t>
            </w:r>
            <w:r>
              <w:rPr>
                <w:rFonts w:hint="default" w:ascii="Times New Roman" w:hAnsi="Times New Roman" w:cs="Times New Roman"/>
                <w:color w:val="0000FF"/>
                <w:sz w:val="24"/>
                <w:szCs w:val="24"/>
              </w:rPr>
              <w:t>、</w:t>
            </w:r>
            <w:r>
              <w:rPr>
                <w:rFonts w:hint="default" w:ascii="Times New Roman" w:hAnsi="Times New Roman" w:cs="Times New Roman"/>
                <w:color w:val="0000FF"/>
                <w:sz w:val="24"/>
                <w:szCs w:val="24"/>
                <w:lang w:val="en-US" w:eastAsia="zh-CN"/>
              </w:rPr>
              <w:t>180</w:t>
            </w:r>
            <w:r>
              <w:rPr>
                <w:rFonts w:hint="default" w:ascii="Times New Roman" w:hAnsi="Times New Roman" w:cs="Times New Roman"/>
                <w:color w:val="0000FF"/>
                <w:sz w:val="24"/>
                <w:szCs w:val="24"/>
              </w:rPr>
              <w:t>mg/m</w:t>
            </w:r>
            <w:r>
              <w:rPr>
                <w:rFonts w:hint="default" w:ascii="Times New Roman" w:hAnsi="Times New Roman" w:cs="Times New Roman"/>
                <w:color w:val="0000FF"/>
                <w:sz w:val="24"/>
                <w:szCs w:val="24"/>
                <w:vertAlign w:val="superscript"/>
              </w:rPr>
              <w:t>3</w:t>
            </w:r>
            <w:r>
              <w:rPr>
                <w:rFonts w:hint="default" w:ascii="Times New Roman" w:hAnsi="Times New Roman" w:cs="Times New Roman"/>
                <w:color w:val="0000FF"/>
                <w:sz w:val="24"/>
                <w:szCs w:val="24"/>
                <w:lang w:eastAsia="zh-CN"/>
              </w:rPr>
              <w:t>，满足</w:t>
            </w:r>
            <w:r>
              <w:rPr>
                <w:rFonts w:hint="default" w:ascii="Times New Roman" w:hAnsi="Times New Roman" w:eastAsia="宋体" w:cs="Times New Roman"/>
                <w:b w:val="0"/>
                <w:bCs/>
                <w:color w:val="0000FF"/>
                <w:kern w:val="0"/>
                <w:sz w:val="24"/>
                <w:szCs w:val="24"/>
              </w:rPr>
              <w:t>《锅炉大气污染物排放标准》（GB13271-2014）</w:t>
            </w:r>
            <w:r>
              <w:rPr>
                <w:rFonts w:hint="eastAsia" w:ascii="Times New Roman" w:hAnsi="Times New Roman" w:eastAsia="宋体" w:cs="Times New Roman"/>
                <w:b w:val="0"/>
                <w:bCs/>
                <w:color w:val="0000FF"/>
                <w:kern w:val="0"/>
                <w:sz w:val="24"/>
                <w:szCs w:val="24"/>
              </w:rPr>
              <w:t>表2新建锅炉大气污染物排放浓度限值中燃煤锅炉</w:t>
            </w:r>
            <w:r>
              <w:rPr>
                <w:rFonts w:hint="default" w:ascii="Times New Roman" w:hAnsi="Times New Roman" w:cs="Times New Roman"/>
                <w:color w:val="0000FF"/>
                <w:sz w:val="24"/>
                <w:szCs w:val="24"/>
                <w:lang w:eastAsia="zh-CN"/>
              </w:rPr>
              <w:t>标准</w:t>
            </w:r>
            <w:r>
              <w:rPr>
                <w:rFonts w:hint="default" w:ascii="Times New Roman" w:hAnsi="Times New Roman" w:cs="Times New Roman"/>
                <w:color w:val="0000FF"/>
                <w:sz w:val="24"/>
                <w:szCs w:val="24"/>
              </w:rPr>
              <w:t>要求（颗粒物</w:t>
            </w:r>
            <w:r>
              <w:rPr>
                <w:rFonts w:hint="eastAsia" w:cs="Times New Roman"/>
                <w:color w:val="0000FF"/>
                <w:sz w:val="24"/>
                <w:szCs w:val="24"/>
                <w:lang w:val="en-US" w:eastAsia="zh-CN"/>
              </w:rPr>
              <w:t>5</w:t>
            </w:r>
            <w:r>
              <w:rPr>
                <w:rFonts w:hint="default" w:ascii="Times New Roman" w:hAnsi="Times New Roman" w:cs="Times New Roman"/>
                <w:color w:val="0000FF"/>
                <w:sz w:val="24"/>
                <w:szCs w:val="24"/>
                <w:lang w:val="en-US" w:eastAsia="zh-CN"/>
              </w:rPr>
              <w:t>0</w:t>
            </w:r>
            <w:r>
              <w:rPr>
                <w:rFonts w:hint="default" w:ascii="Times New Roman" w:hAnsi="Times New Roman" w:cs="Times New Roman"/>
                <w:color w:val="0000FF"/>
                <w:sz w:val="24"/>
                <w:szCs w:val="24"/>
              </w:rPr>
              <w:t>mg/m</w:t>
            </w:r>
            <w:r>
              <w:rPr>
                <w:rFonts w:hint="default" w:ascii="Times New Roman" w:hAnsi="Times New Roman" w:cs="Times New Roman"/>
                <w:color w:val="0000FF"/>
                <w:sz w:val="24"/>
                <w:szCs w:val="24"/>
                <w:vertAlign w:val="superscript"/>
              </w:rPr>
              <w:t>3</w:t>
            </w:r>
            <w:r>
              <w:rPr>
                <w:rFonts w:hint="default" w:ascii="Times New Roman" w:hAnsi="Times New Roman" w:cs="Times New Roman"/>
                <w:color w:val="0000FF"/>
                <w:sz w:val="24"/>
                <w:szCs w:val="24"/>
              </w:rPr>
              <w:t>，二氧化硫</w:t>
            </w:r>
            <w:r>
              <w:rPr>
                <w:rFonts w:hint="eastAsia" w:cs="Times New Roman"/>
                <w:color w:val="0000FF"/>
                <w:sz w:val="24"/>
                <w:szCs w:val="24"/>
                <w:lang w:val="en-US" w:eastAsia="zh-CN"/>
              </w:rPr>
              <w:t>3</w:t>
            </w:r>
            <w:r>
              <w:rPr>
                <w:rFonts w:hint="default" w:ascii="Times New Roman" w:hAnsi="Times New Roman" w:cs="Times New Roman"/>
                <w:color w:val="0000FF"/>
                <w:sz w:val="24"/>
                <w:szCs w:val="24"/>
                <w:lang w:val="en-US" w:eastAsia="zh-CN"/>
              </w:rPr>
              <w:t>0</w:t>
            </w:r>
            <w:r>
              <w:rPr>
                <w:rFonts w:hint="default" w:ascii="Times New Roman" w:hAnsi="Times New Roman" w:cs="Times New Roman"/>
                <w:color w:val="0000FF"/>
                <w:sz w:val="24"/>
                <w:szCs w:val="24"/>
              </w:rPr>
              <w:t>0mg/m</w:t>
            </w:r>
            <w:r>
              <w:rPr>
                <w:rFonts w:hint="default" w:ascii="Times New Roman" w:hAnsi="Times New Roman" w:cs="Times New Roman"/>
                <w:color w:val="0000FF"/>
                <w:sz w:val="24"/>
                <w:szCs w:val="24"/>
                <w:vertAlign w:val="superscript"/>
              </w:rPr>
              <w:t>3</w:t>
            </w:r>
            <w:r>
              <w:rPr>
                <w:rFonts w:hint="default" w:ascii="Times New Roman" w:hAnsi="Times New Roman" w:cs="Times New Roman"/>
                <w:color w:val="0000FF"/>
                <w:sz w:val="24"/>
                <w:szCs w:val="24"/>
              </w:rPr>
              <w:t>，氮氧化物</w:t>
            </w:r>
            <w:r>
              <w:rPr>
                <w:rFonts w:hint="eastAsia" w:cs="Times New Roman"/>
                <w:color w:val="0000FF"/>
                <w:sz w:val="24"/>
                <w:szCs w:val="24"/>
                <w:lang w:val="en-US" w:eastAsia="zh-CN"/>
              </w:rPr>
              <w:t>3</w:t>
            </w:r>
            <w:r>
              <w:rPr>
                <w:rFonts w:hint="default" w:ascii="Times New Roman" w:hAnsi="Times New Roman" w:cs="Times New Roman"/>
                <w:color w:val="0000FF"/>
                <w:sz w:val="24"/>
                <w:szCs w:val="24"/>
                <w:lang w:val="en-US" w:eastAsia="zh-CN"/>
              </w:rPr>
              <w:t>0</w:t>
            </w:r>
            <w:r>
              <w:rPr>
                <w:rFonts w:hint="default" w:ascii="Times New Roman" w:hAnsi="Times New Roman" w:cs="Times New Roman"/>
                <w:color w:val="0000FF"/>
                <w:sz w:val="24"/>
                <w:szCs w:val="24"/>
              </w:rPr>
              <w:t>0mg/m</w:t>
            </w:r>
            <w:r>
              <w:rPr>
                <w:rFonts w:hint="default" w:ascii="Times New Roman" w:hAnsi="Times New Roman" w:cs="Times New Roman"/>
                <w:color w:val="0000FF"/>
                <w:sz w:val="24"/>
                <w:szCs w:val="24"/>
                <w:vertAlign w:val="superscript"/>
              </w:rPr>
              <w:t>3</w:t>
            </w:r>
            <w:r>
              <w:rPr>
                <w:rFonts w:hint="default" w:ascii="Times New Roman" w:hAnsi="Times New Roman" w:cs="Times New Roman"/>
                <w:color w:val="0000FF"/>
                <w:sz w:val="24"/>
                <w:szCs w:val="24"/>
              </w:rPr>
              <w:t>）</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rPr>
              <w:t>厂界无组织排放的</w:t>
            </w:r>
            <w:r>
              <w:rPr>
                <w:rFonts w:hint="eastAsia" w:cs="Times New Roman"/>
                <w:color w:val="0000FF"/>
                <w:sz w:val="24"/>
                <w:szCs w:val="24"/>
                <w:lang w:eastAsia="zh-CN"/>
              </w:rPr>
              <w:t>颗粒物</w:t>
            </w:r>
            <w:r>
              <w:rPr>
                <w:rFonts w:hint="default" w:ascii="Times New Roman" w:hAnsi="Times New Roman" w:cs="Times New Roman"/>
                <w:color w:val="0000FF"/>
                <w:sz w:val="24"/>
                <w:szCs w:val="24"/>
              </w:rPr>
              <w:t>满足</w:t>
            </w:r>
            <w:r>
              <w:rPr>
                <w:rFonts w:hint="default" w:ascii="Times New Roman" w:hAnsi="Times New Roman" w:cs="Times New Roman"/>
                <w:color w:val="0000FF"/>
                <w:sz w:val="24"/>
                <w:szCs w:val="24"/>
                <w:lang w:val="en-US" w:eastAsia="zh-CN"/>
              </w:rPr>
              <w:t>《大气污染物综合排放标准》（GB16297-1996）表2新污染源大气污染物排放限值中无组织排放监控浓度限值</w:t>
            </w:r>
            <w:r>
              <w:rPr>
                <w:rFonts w:hint="default" w:ascii="Times New Roman" w:hAnsi="Times New Roman" w:cs="Times New Roman"/>
                <w:color w:val="0000FF"/>
                <w:sz w:val="24"/>
                <w:szCs w:val="24"/>
              </w:rPr>
              <w:t>要求</w:t>
            </w:r>
            <w:r>
              <w:rPr>
                <w:rFonts w:hint="default" w:ascii="Times New Roman" w:hAnsi="Times New Roman" w:cs="Times New Roman"/>
                <w:color w:val="0000FF"/>
                <w:sz w:val="24"/>
                <w:szCs w:val="24"/>
                <w:lang w:eastAsia="zh-CN"/>
              </w:rPr>
              <w:t>（颗粒物：</w:t>
            </w:r>
            <w:r>
              <w:rPr>
                <w:rFonts w:hint="default" w:ascii="Times New Roman" w:hAnsi="Times New Roman" w:cs="Times New Roman"/>
                <w:color w:val="0000FF"/>
                <w:sz w:val="24"/>
                <w:szCs w:val="24"/>
                <w:lang w:val="en-US" w:eastAsia="zh-CN"/>
              </w:rPr>
              <w:t>1.0</w:t>
            </w:r>
            <w:r>
              <w:rPr>
                <w:rFonts w:hint="default" w:ascii="Times New Roman" w:hAnsi="Times New Roman" w:cs="Times New Roman"/>
                <w:color w:val="0000FF"/>
                <w:sz w:val="24"/>
                <w:szCs w:val="24"/>
              </w:rPr>
              <w:t>mg/m</w:t>
            </w:r>
            <w:r>
              <w:rPr>
                <w:rFonts w:hint="default" w:ascii="Times New Roman" w:hAnsi="Times New Roman" w:cs="Times New Roman"/>
                <w:color w:val="0000FF"/>
                <w:sz w:val="24"/>
                <w:szCs w:val="24"/>
                <w:vertAlign w:val="superscript"/>
              </w:rPr>
              <w:t>3</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rPr>
              <w:t>厂界臭气浓度能够满足《恶臭污染物排放标准》（GB14554-93）表2中臭气浓度20 (无量纲)标准限值。</w:t>
            </w:r>
            <w:r>
              <w:rPr>
                <w:rFonts w:hint="default" w:ascii="Times New Roman" w:hAnsi="Times New Roman" w:cs="Times New Roman"/>
                <w:color w:val="0000FF"/>
                <w:sz w:val="24"/>
                <w:szCs w:val="24"/>
                <w:lang w:eastAsia="zh-CN"/>
              </w:rPr>
              <w:t>食堂油烟</w:t>
            </w:r>
            <w:r>
              <w:rPr>
                <w:rFonts w:hint="default" w:ascii="Times New Roman" w:hAnsi="Times New Roman" w:cs="Times New Roman"/>
                <w:color w:val="0000FF"/>
                <w:sz w:val="24"/>
                <w:szCs w:val="24"/>
              </w:rPr>
              <w:t>满足《饮食业油烟排放标准（试行）》（GB18483-2001）中2.0mg/m</w:t>
            </w:r>
            <w:r>
              <w:rPr>
                <w:rFonts w:hint="default" w:ascii="Times New Roman" w:hAnsi="Times New Roman" w:cs="Times New Roman"/>
                <w:color w:val="0000FF"/>
                <w:sz w:val="24"/>
                <w:szCs w:val="24"/>
                <w:vertAlign w:val="superscript"/>
              </w:rPr>
              <w:t>3</w:t>
            </w:r>
            <w:r>
              <w:rPr>
                <w:rFonts w:hint="default" w:ascii="Times New Roman" w:hAnsi="Times New Roman" w:cs="Times New Roman"/>
                <w:color w:val="0000FF"/>
                <w:sz w:val="24"/>
                <w:szCs w:val="24"/>
              </w:rPr>
              <w:t>标准限值规定。</w:t>
            </w:r>
          </w:p>
          <w:p>
            <w:pPr>
              <w:keepNext w:val="0"/>
              <w:keepLines w:val="0"/>
              <w:pageBreakBefore w:val="0"/>
              <w:widowControl w:val="0"/>
              <w:shd w:val="clear"/>
              <w:kinsoku/>
              <w:wordWrap/>
              <w:overflowPunct/>
              <w:topLinePunct w:val="0"/>
              <w:bidi w:val="0"/>
              <w:adjustRightInd/>
              <w:snapToGrid/>
              <w:spacing w:line="360" w:lineRule="auto"/>
              <w:ind w:firstLine="576" w:firstLineChars="240"/>
              <w:textAlignment w:val="auto"/>
              <w:rPr>
                <w:rFonts w:hint="default" w:ascii="Times New Roman" w:hAnsi="Times New Roman" w:eastAsia="宋体" w:cs="Times New Roman"/>
                <w:color w:val="0000FF"/>
                <w:sz w:val="24"/>
                <w:szCs w:val="24"/>
              </w:rPr>
            </w:pPr>
            <w:r>
              <w:rPr>
                <w:rFonts w:hint="eastAsia" w:ascii="Times New Roman" w:hAnsi="Times New Roman" w:eastAsia="宋体" w:cs="Times New Roman"/>
                <w:color w:val="0000FF"/>
                <w:sz w:val="24"/>
                <w:szCs w:val="24"/>
                <w:lang w:val="en-US" w:eastAsia="zh-CN"/>
              </w:rPr>
              <w:t>5、</w:t>
            </w:r>
            <w:r>
              <w:rPr>
                <w:rFonts w:hint="default" w:ascii="Times New Roman" w:hAnsi="Times New Roman" w:eastAsia="宋体" w:cs="Times New Roman"/>
                <w:color w:val="0000FF"/>
                <w:sz w:val="24"/>
                <w:szCs w:val="24"/>
              </w:rPr>
              <w:t>监测计划</w:t>
            </w:r>
          </w:p>
          <w:p>
            <w:pPr>
              <w:keepNext w:val="0"/>
              <w:keepLines w:val="0"/>
              <w:pageBreakBefore w:val="0"/>
              <w:widowControl w:val="0"/>
              <w:shd w:val="clear"/>
              <w:kinsoku/>
              <w:wordWrap/>
              <w:overflowPunct/>
              <w:topLinePunct w:val="0"/>
              <w:bidi w:val="0"/>
              <w:adjustRightInd/>
              <w:snapToGrid/>
              <w:spacing w:line="360" w:lineRule="auto"/>
              <w:ind w:firstLine="576" w:firstLineChars="240"/>
              <w:textAlignment w:val="auto"/>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szCs w:val="24"/>
              </w:rPr>
              <w:t>根据《排污单位自行监测技术指南 总则》（HJ819-2017）和《</w:t>
            </w:r>
            <w:r>
              <w:rPr>
                <w:rFonts w:hint="default" w:ascii="Times New Roman" w:hAnsi="Times New Roman" w:eastAsia="宋体" w:cs="Times New Roman"/>
                <w:color w:val="0000FF"/>
                <w:sz w:val="24"/>
                <w:szCs w:val="24"/>
              </w:rPr>
              <w:fldChar w:fldCharType="begin"/>
            </w:r>
            <w:r>
              <w:rPr>
                <w:rFonts w:hint="default" w:ascii="Times New Roman" w:hAnsi="Times New Roman" w:eastAsia="宋体" w:cs="Times New Roman"/>
                <w:color w:val="0000FF"/>
                <w:sz w:val="24"/>
                <w:szCs w:val="24"/>
              </w:rPr>
              <w:instrText xml:space="preserve"> HYPERLINK "http://kjs.mep.gov.cn/hjbhbz/bzwb/shjbh/xgbzh/201705/W020170511332490849000.pdf" </w:instrText>
            </w:r>
            <w:r>
              <w:rPr>
                <w:rFonts w:hint="default" w:ascii="Times New Roman" w:hAnsi="Times New Roman" w:eastAsia="宋体" w:cs="Times New Roman"/>
                <w:color w:val="0000FF"/>
                <w:sz w:val="24"/>
                <w:szCs w:val="24"/>
              </w:rPr>
              <w:fldChar w:fldCharType="separate"/>
            </w:r>
            <w:r>
              <w:rPr>
                <w:rFonts w:hint="default" w:ascii="Times New Roman" w:hAnsi="Times New Roman" w:eastAsia="宋体" w:cs="Times New Roman"/>
                <w:color w:val="0000FF"/>
                <w:sz w:val="24"/>
                <w:szCs w:val="24"/>
              </w:rPr>
              <w:t>排污单位自行监测技术指南火力发电及锅炉》（HJ820-2017）</w:t>
            </w:r>
            <w:r>
              <w:rPr>
                <w:rFonts w:hint="default" w:ascii="Times New Roman" w:hAnsi="Times New Roman" w:eastAsia="宋体" w:cs="Times New Roman"/>
                <w:color w:val="0000FF"/>
                <w:sz w:val="24"/>
                <w:szCs w:val="24"/>
              </w:rPr>
              <w:fldChar w:fldCharType="end"/>
            </w:r>
            <w:r>
              <w:rPr>
                <w:rFonts w:hint="default" w:ascii="Times New Roman" w:hAnsi="Times New Roman" w:eastAsia="宋体" w:cs="Times New Roman"/>
                <w:color w:val="0000FF"/>
                <w:sz w:val="24"/>
                <w:szCs w:val="24"/>
              </w:rPr>
              <w:t>，并结合本项目的实际排污状况制定废气监测计划。</w:t>
            </w:r>
          </w:p>
          <w:p>
            <w:pPr>
              <w:pStyle w:val="93"/>
              <w:shd w:val="clear"/>
              <w:spacing w:line="240" w:lineRule="auto"/>
              <w:rPr>
                <w:rFonts w:hint="default" w:ascii="Times New Roman" w:hAnsi="Times New Roman" w:cs="Times New Roman" w:eastAsiaTheme="minorEastAsia"/>
                <w:b/>
                <w:bCs/>
                <w:color w:val="0000FF"/>
                <w:sz w:val="24"/>
                <w:szCs w:val="24"/>
                <w:lang w:val="en-US" w:eastAsia="zh-CN"/>
              </w:rPr>
            </w:pPr>
            <w:r>
              <w:rPr>
                <w:rFonts w:hint="default" w:ascii="Times New Roman" w:hAnsi="Times New Roman" w:cs="Times New Roman" w:eastAsiaTheme="minorEastAsia"/>
                <w:b/>
                <w:bCs/>
                <w:color w:val="0000FF"/>
                <w:sz w:val="24"/>
                <w:szCs w:val="24"/>
                <w:lang w:val="en-US" w:eastAsia="zh-CN"/>
              </w:rPr>
              <w:t>表4-</w:t>
            </w:r>
            <w:r>
              <w:rPr>
                <w:rFonts w:hint="eastAsia" w:ascii="Times New Roman" w:hAnsi="Times New Roman" w:cs="Times New Roman" w:eastAsiaTheme="minorEastAsia"/>
                <w:b/>
                <w:bCs/>
                <w:color w:val="0000FF"/>
                <w:sz w:val="24"/>
                <w:szCs w:val="24"/>
                <w:lang w:val="en-US" w:eastAsia="zh-CN"/>
              </w:rPr>
              <w:t>8</w:t>
            </w:r>
            <w:r>
              <w:rPr>
                <w:rFonts w:hint="default" w:ascii="Times New Roman" w:hAnsi="Times New Roman" w:cs="Times New Roman" w:eastAsiaTheme="minorEastAsia"/>
                <w:b/>
                <w:bCs/>
                <w:color w:val="0000FF"/>
                <w:sz w:val="24"/>
                <w:szCs w:val="24"/>
                <w:lang w:val="en-US" w:eastAsia="zh-CN"/>
              </w:rPr>
              <w:t xml:space="preserve">  营运期废气监测计划表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Layout w:type="autofit"/>
              <w:tblCellMar>
                <w:top w:w="0" w:type="dxa"/>
                <w:left w:w="108" w:type="dxa"/>
                <w:bottom w:w="0" w:type="dxa"/>
                <w:right w:w="108" w:type="dxa"/>
              </w:tblCellMar>
            </w:tblPr>
            <w:tblGrid>
              <w:gridCol w:w="1109"/>
              <w:gridCol w:w="1332"/>
              <w:gridCol w:w="1056"/>
              <w:gridCol w:w="1080"/>
              <w:gridCol w:w="3936"/>
            </w:tblGrid>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290" w:hRule="atLeast"/>
                <w:jc w:val="center"/>
              </w:trPr>
              <w:tc>
                <w:tcPr>
                  <w:tcW w:w="651"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rPr>
                  </w:pPr>
                  <w:r>
                    <w:rPr>
                      <w:rFonts w:hint="default" w:ascii="Times New Roman" w:hAnsi="Times New Roman" w:cs="Times New Roman"/>
                      <w:color w:val="0000FF"/>
                    </w:rPr>
                    <w:t>污染源</w:t>
                  </w:r>
                </w:p>
              </w:tc>
              <w:tc>
                <w:tcPr>
                  <w:tcW w:w="78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rPr>
                  </w:pPr>
                  <w:r>
                    <w:rPr>
                      <w:rFonts w:hint="default" w:ascii="Times New Roman" w:hAnsi="Times New Roman" w:cs="Times New Roman"/>
                      <w:color w:val="0000FF"/>
                    </w:rPr>
                    <w:t>监测指标</w:t>
                  </w:r>
                </w:p>
              </w:tc>
              <w:tc>
                <w:tcPr>
                  <w:tcW w:w="620"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rPr>
                  </w:pPr>
                  <w:r>
                    <w:rPr>
                      <w:rFonts w:hint="default" w:ascii="Times New Roman" w:hAnsi="Times New Roman" w:cs="Times New Roman"/>
                      <w:color w:val="0000FF"/>
                    </w:rPr>
                    <w:t>监测点</w:t>
                  </w:r>
                </w:p>
              </w:tc>
              <w:tc>
                <w:tcPr>
                  <w:tcW w:w="634"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rPr>
                  </w:pPr>
                  <w:r>
                    <w:rPr>
                      <w:rFonts w:hint="default" w:ascii="Times New Roman" w:hAnsi="Times New Roman" w:cs="Times New Roman"/>
                      <w:color w:val="0000FF"/>
                    </w:rPr>
                    <w:t>监测频次</w:t>
                  </w:r>
                </w:p>
              </w:tc>
              <w:tc>
                <w:tcPr>
                  <w:tcW w:w="2311"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rPr>
                  </w:pPr>
                  <w:r>
                    <w:rPr>
                      <w:rFonts w:hint="default" w:ascii="Times New Roman" w:hAnsi="Times New Roman" w:cs="Times New Roman"/>
                      <w:color w:val="0000FF"/>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293" w:hRule="atLeast"/>
                <w:jc w:val="center"/>
              </w:trPr>
              <w:tc>
                <w:tcPr>
                  <w:tcW w:w="651"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rPr>
                  </w:pPr>
                  <w:r>
                    <w:rPr>
                      <w:rFonts w:hint="eastAsia" w:cs="Times New Roman"/>
                      <w:color w:val="0000FF"/>
                      <w:lang w:val="en-US" w:eastAsia="zh-CN"/>
                    </w:rPr>
                    <w:t>1台4</w:t>
                  </w:r>
                  <w:r>
                    <w:rPr>
                      <w:rFonts w:hint="default" w:ascii="Times New Roman" w:hAnsi="Times New Roman" w:cs="Times New Roman"/>
                      <w:color w:val="0000FF"/>
                      <w:lang w:val="en-US" w:eastAsia="zh-CN"/>
                    </w:rPr>
                    <w:t>t/h燃生物质蒸汽锅炉</w:t>
                  </w:r>
                </w:p>
              </w:tc>
              <w:tc>
                <w:tcPr>
                  <w:tcW w:w="78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lang w:val="en-US" w:eastAsia="zh-CN"/>
                    </w:rPr>
                  </w:pPr>
                  <w:r>
                    <w:rPr>
                      <w:rFonts w:hint="default" w:ascii="Times New Roman" w:hAnsi="Times New Roman" w:cs="Times New Roman"/>
                      <w:color w:val="0000FF"/>
                    </w:rPr>
                    <w:t>颗粒物</w:t>
                  </w:r>
                  <w:r>
                    <w:rPr>
                      <w:rFonts w:hint="default" w:ascii="Times New Roman" w:hAnsi="Times New Roman" w:cs="Times New Roman"/>
                      <w:color w:val="0000FF"/>
                      <w:lang w:eastAsia="zh-CN"/>
                    </w:rPr>
                    <w:t>、</w:t>
                  </w:r>
                  <w:r>
                    <w:rPr>
                      <w:rFonts w:hint="default" w:ascii="Times New Roman" w:hAnsi="Times New Roman" w:cs="Times New Roman"/>
                      <w:color w:val="0000FF"/>
                      <w:lang w:val="en-US" w:eastAsia="zh-CN"/>
                    </w:rPr>
                    <w:t>SO</w:t>
                  </w:r>
                  <w:r>
                    <w:rPr>
                      <w:rFonts w:hint="default" w:ascii="Times New Roman" w:hAnsi="Times New Roman" w:cs="Times New Roman"/>
                      <w:color w:val="0000FF"/>
                      <w:vertAlign w:val="subscript"/>
                      <w:lang w:val="en-US" w:eastAsia="zh-CN"/>
                    </w:rPr>
                    <w:t>2</w:t>
                  </w:r>
                  <w:r>
                    <w:rPr>
                      <w:rFonts w:hint="default" w:ascii="Times New Roman" w:hAnsi="Times New Roman" w:cs="Times New Roman"/>
                      <w:color w:val="0000FF"/>
                      <w:lang w:val="en-US" w:eastAsia="zh-CN"/>
                    </w:rPr>
                    <w:t>、NOx、林格曼黑度</w:t>
                  </w:r>
                </w:p>
              </w:tc>
              <w:tc>
                <w:tcPr>
                  <w:tcW w:w="620"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lang w:val="en-US" w:eastAsia="zh-CN"/>
                    </w:rPr>
                  </w:pPr>
                  <w:r>
                    <w:rPr>
                      <w:rFonts w:hint="default" w:ascii="Times New Roman" w:hAnsi="Times New Roman" w:cs="Times New Roman"/>
                      <w:color w:val="0000FF"/>
                      <w:lang w:eastAsia="zh-CN"/>
                    </w:rPr>
                    <w:t>烟囱</w:t>
                  </w:r>
                  <w:r>
                    <w:rPr>
                      <w:rFonts w:hint="default" w:ascii="Times New Roman" w:hAnsi="Times New Roman" w:cs="Times New Roman"/>
                      <w:color w:val="0000FF"/>
                      <w:lang w:val="en-US" w:eastAsia="zh-CN"/>
                    </w:rPr>
                    <w:t>DA001</w:t>
                  </w:r>
                </w:p>
              </w:tc>
              <w:tc>
                <w:tcPr>
                  <w:tcW w:w="634"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lang w:eastAsia="zh-CN"/>
                    </w:rPr>
                  </w:pPr>
                  <w:r>
                    <w:rPr>
                      <w:rFonts w:hint="default" w:ascii="Times New Roman" w:hAnsi="Times New Roman" w:cs="Times New Roman"/>
                      <w:color w:val="0000FF"/>
                    </w:rPr>
                    <w:t>1次/</w:t>
                  </w:r>
                  <w:r>
                    <w:rPr>
                      <w:rFonts w:hint="default" w:ascii="Times New Roman" w:hAnsi="Times New Roman" w:cs="Times New Roman"/>
                      <w:color w:val="0000FF"/>
                      <w:lang w:eastAsia="zh-CN"/>
                    </w:rPr>
                    <w:t>月</w:t>
                  </w:r>
                </w:p>
              </w:tc>
              <w:tc>
                <w:tcPr>
                  <w:tcW w:w="2311" w:type="pct"/>
                  <w:tcBorders>
                    <w:tl2br w:val="nil"/>
                    <w:tr2bl w:val="nil"/>
                  </w:tcBorders>
                  <w:noWrap w:val="0"/>
                  <w:vAlign w:val="center"/>
                </w:tcPr>
                <w:p>
                  <w:pPr>
                    <w:shd w:val="clear"/>
                    <w:rPr>
                      <w:rFonts w:hint="default" w:ascii="Times New Roman" w:hAnsi="Times New Roman" w:eastAsia="宋体" w:cs="Times New Roman"/>
                      <w:color w:val="0000FF"/>
                    </w:rPr>
                  </w:pPr>
                  <w:r>
                    <w:rPr>
                      <w:rFonts w:hint="default" w:ascii="Times New Roman" w:hAnsi="Times New Roman" w:eastAsia="宋体" w:cs="Times New Roman"/>
                      <w:color w:val="0000FF"/>
                    </w:rPr>
                    <w:t>《锅炉大气污染物排放标准》（GB13271-2014）</w:t>
                  </w:r>
                  <w:r>
                    <w:rPr>
                      <w:rFonts w:hint="eastAsia" w:ascii="Times New Roman" w:hAnsi="Times New Roman" w:eastAsia="宋体" w:cs="Times New Roman"/>
                      <w:color w:val="0000FF"/>
                    </w:rPr>
                    <w:t>表2新建锅炉大气污染物排放浓度限值中燃煤锅炉</w:t>
                  </w:r>
                  <w:r>
                    <w:rPr>
                      <w:rFonts w:hint="default" w:ascii="Times New Roman" w:hAnsi="Times New Roman" w:eastAsia="宋体" w:cs="Times New Roman"/>
                      <w:color w:val="0000FF"/>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651"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rPr>
                  </w:pPr>
                  <w:r>
                    <w:rPr>
                      <w:rFonts w:hint="default" w:ascii="Times New Roman" w:hAnsi="Times New Roman" w:cs="Times New Roman"/>
                      <w:color w:val="0000FF"/>
                    </w:rPr>
                    <w:t>无组织</w:t>
                  </w:r>
                </w:p>
              </w:tc>
              <w:tc>
                <w:tcPr>
                  <w:tcW w:w="78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rPr>
                  </w:pPr>
                  <w:r>
                    <w:rPr>
                      <w:rFonts w:hint="default" w:ascii="Times New Roman" w:hAnsi="Times New Roman" w:cs="Times New Roman"/>
                      <w:color w:val="0000FF"/>
                    </w:rPr>
                    <w:t>颗粒物</w:t>
                  </w:r>
                </w:p>
              </w:tc>
              <w:tc>
                <w:tcPr>
                  <w:tcW w:w="620"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rPr>
                  </w:pPr>
                  <w:r>
                    <w:rPr>
                      <w:rFonts w:hint="default" w:ascii="Times New Roman" w:hAnsi="Times New Roman" w:cs="Times New Roman"/>
                      <w:color w:val="0000FF"/>
                    </w:rPr>
                    <w:t>企业边界</w:t>
                  </w:r>
                </w:p>
              </w:tc>
              <w:tc>
                <w:tcPr>
                  <w:tcW w:w="634"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lang w:eastAsia="zh-CN"/>
                    </w:rPr>
                  </w:pPr>
                  <w:r>
                    <w:rPr>
                      <w:rFonts w:hint="default" w:ascii="Times New Roman" w:hAnsi="Times New Roman" w:cs="Times New Roman"/>
                      <w:color w:val="0000FF"/>
                    </w:rPr>
                    <w:t>1次/</w:t>
                  </w:r>
                  <w:r>
                    <w:rPr>
                      <w:rFonts w:hint="default" w:ascii="Times New Roman" w:hAnsi="Times New Roman" w:cs="Times New Roman"/>
                      <w:color w:val="0000FF"/>
                      <w:lang w:eastAsia="zh-CN"/>
                    </w:rPr>
                    <w:t>季</w:t>
                  </w:r>
                </w:p>
              </w:tc>
              <w:tc>
                <w:tcPr>
                  <w:tcW w:w="2311" w:type="pct"/>
                  <w:tcBorders>
                    <w:tl2br w:val="nil"/>
                    <w:tr2bl w:val="nil"/>
                  </w:tcBorders>
                  <w:noWrap w:val="0"/>
                  <w:vAlign w:val="center"/>
                </w:tcPr>
                <w:p>
                  <w:pPr>
                    <w:shd w:val="clear"/>
                    <w:rPr>
                      <w:rFonts w:hint="default" w:ascii="Times New Roman" w:hAnsi="Times New Roman" w:cs="Times New Roman"/>
                      <w:color w:val="0000FF"/>
                    </w:rPr>
                  </w:pPr>
                  <w:r>
                    <w:rPr>
                      <w:rFonts w:hint="default" w:ascii="Times New Roman" w:hAnsi="Times New Roman" w:cs="Times New Roman"/>
                      <w:color w:val="0000FF"/>
                    </w:rPr>
                    <w:t>《大气污染物综合排放标准》（GB16297-1996）表2</w:t>
                  </w:r>
                  <w:r>
                    <w:rPr>
                      <w:rFonts w:hint="default" w:ascii="Times New Roman" w:hAnsi="Times New Roman" w:cs="Times New Roman"/>
                      <w:color w:val="0000FF"/>
                      <w:lang w:val="en-US" w:eastAsia="zh-CN"/>
                    </w:rPr>
                    <w:t>新污染源大气污染物排放限值</w:t>
                  </w:r>
                  <w:r>
                    <w:rPr>
                      <w:rFonts w:hint="default" w:ascii="Times New Roman" w:hAnsi="Times New Roman" w:cs="Times New Roman"/>
                      <w:color w:val="0000FF"/>
                    </w:rPr>
                    <w:t>中无组织排放监控浓度限值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651"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lang w:val="en-US" w:eastAsia="zh-CN"/>
                    </w:rPr>
                  </w:pPr>
                  <w:r>
                    <w:rPr>
                      <w:rFonts w:hint="default" w:ascii="Times New Roman" w:hAnsi="Times New Roman" w:cs="Times New Roman"/>
                      <w:color w:val="0000FF"/>
                    </w:rPr>
                    <w:t>无组织</w:t>
                  </w:r>
                </w:p>
              </w:tc>
              <w:tc>
                <w:tcPr>
                  <w:tcW w:w="782"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lang w:val="en-US" w:eastAsia="zh-CN"/>
                    </w:rPr>
                  </w:pPr>
                  <w:r>
                    <w:rPr>
                      <w:rFonts w:hint="default" w:ascii="Times New Roman" w:hAnsi="Times New Roman" w:cs="Times New Roman"/>
                      <w:color w:val="0000FF"/>
                      <w:lang w:eastAsia="zh-CN"/>
                    </w:rPr>
                    <w:t>臭气浓度</w:t>
                  </w:r>
                </w:p>
              </w:tc>
              <w:tc>
                <w:tcPr>
                  <w:tcW w:w="620"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lang w:val="en-US" w:eastAsia="zh-CN"/>
                    </w:rPr>
                  </w:pPr>
                  <w:r>
                    <w:rPr>
                      <w:rFonts w:hint="default" w:ascii="Times New Roman" w:hAnsi="Times New Roman" w:cs="Times New Roman"/>
                      <w:color w:val="0000FF"/>
                    </w:rPr>
                    <w:t>企业边界</w:t>
                  </w:r>
                </w:p>
              </w:tc>
              <w:tc>
                <w:tcPr>
                  <w:tcW w:w="634" w:type="pct"/>
                  <w:tcBorders>
                    <w:tl2br w:val="nil"/>
                    <w:tr2bl w:val="nil"/>
                  </w:tcBorders>
                  <w:noWrap w:val="0"/>
                  <w:vAlign w:val="center"/>
                </w:tcPr>
                <w:p>
                  <w:pPr>
                    <w:keepNext w:val="0"/>
                    <w:keepLines w:val="0"/>
                    <w:pageBreakBefore w:val="0"/>
                    <w:widowControl w:val="0"/>
                    <w:shd w:val="clear"/>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0000FF"/>
                      <w:lang w:val="en-US" w:eastAsia="zh-CN"/>
                    </w:rPr>
                  </w:pPr>
                  <w:r>
                    <w:rPr>
                      <w:rFonts w:hint="default" w:ascii="Times New Roman" w:hAnsi="Times New Roman" w:cs="Times New Roman"/>
                      <w:color w:val="0000FF"/>
                    </w:rPr>
                    <w:t>1次/</w:t>
                  </w:r>
                  <w:r>
                    <w:rPr>
                      <w:rFonts w:hint="default" w:ascii="Times New Roman" w:hAnsi="Times New Roman" w:cs="Times New Roman"/>
                      <w:color w:val="0000FF"/>
                      <w:lang w:eastAsia="zh-CN"/>
                    </w:rPr>
                    <w:t>年</w:t>
                  </w:r>
                </w:p>
              </w:tc>
              <w:tc>
                <w:tcPr>
                  <w:tcW w:w="2311" w:type="pct"/>
                  <w:tcBorders>
                    <w:tl2br w:val="nil"/>
                    <w:tr2bl w:val="nil"/>
                  </w:tcBorders>
                  <w:noWrap w:val="0"/>
                  <w:vAlign w:val="center"/>
                </w:tcPr>
                <w:p>
                  <w:pPr>
                    <w:shd w:val="clear"/>
                    <w:rPr>
                      <w:rFonts w:hint="default" w:ascii="Times New Roman" w:hAnsi="Times New Roman" w:cs="Times New Roman"/>
                      <w:color w:val="0000FF"/>
                    </w:rPr>
                  </w:pPr>
                  <w:r>
                    <w:rPr>
                      <w:rFonts w:hint="default" w:ascii="Times New Roman" w:hAnsi="Times New Roman" w:cs="Times New Roman"/>
                      <w:color w:val="0000FF"/>
                    </w:rPr>
                    <w:t>《</w:t>
                  </w:r>
                  <w:r>
                    <w:rPr>
                      <w:rFonts w:hint="default" w:ascii="Times New Roman" w:hAnsi="Times New Roman" w:cs="Times New Roman"/>
                      <w:color w:val="0000FF"/>
                      <w:lang w:val="en-US" w:eastAsia="zh-CN"/>
                    </w:rPr>
                    <w:t>恶臭污染物排放标准》（GB14554-93）表2中臭气浓度标准限值</w:t>
                  </w:r>
                </w:p>
              </w:tc>
            </w:tr>
          </w:tbl>
          <w:p>
            <w:pPr>
              <w:shd w:val="clear"/>
              <w:spacing w:line="360" w:lineRule="auto"/>
              <w:ind w:right="0" w:firstLine="480" w:firstLineChars="200"/>
              <w:rPr>
                <w:rFonts w:hint="default" w:ascii="Times New Roman" w:hAnsi="Times New Roman" w:eastAsia="宋体" w:cs="Times New Roman"/>
                <w:color w:val="0000FF"/>
                <w:kern w:val="2"/>
                <w:sz w:val="24"/>
                <w:szCs w:val="20"/>
                <w:lang w:val="en-US" w:eastAsia="zh-CN" w:bidi="ar-SA"/>
              </w:rPr>
            </w:pPr>
            <w:r>
              <w:rPr>
                <w:rFonts w:hint="eastAsia" w:cs="Times New Roman"/>
                <w:color w:val="0000FF"/>
                <w:kern w:val="2"/>
                <w:sz w:val="24"/>
                <w:szCs w:val="20"/>
                <w:lang w:val="en-US" w:eastAsia="zh-CN" w:bidi="ar-SA"/>
              </w:rPr>
              <w:t>6、</w:t>
            </w:r>
            <w:r>
              <w:rPr>
                <w:rFonts w:hint="default" w:ascii="Times New Roman" w:hAnsi="Times New Roman" w:eastAsia="宋体" w:cs="Times New Roman"/>
                <w:color w:val="0000FF"/>
                <w:kern w:val="2"/>
                <w:sz w:val="24"/>
                <w:szCs w:val="20"/>
                <w:lang w:val="en-US" w:eastAsia="zh-CN" w:bidi="ar-SA"/>
              </w:rPr>
              <w:t>环境影响评价结论</w:t>
            </w:r>
          </w:p>
          <w:p>
            <w:pPr>
              <w:shd w:val="clear"/>
              <w:spacing w:line="360" w:lineRule="auto"/>
              <w:ind w:firstLine="480" w:firstLineChars="200"/>
              <w:rPr>
                <w:rFonts w:hint="default" w:ascii="Times New Roman" w:hAnsi="Times New Roman" w:eastAsia="宋体" w:cs="Times New Roman"/>
                <w:color w:val="0000FF"/>
                <w:kern w:val="2"/>
                <w:sz w:val="24"/>
                <w:szCs w:val="20"/>
                <w:lang w:val="en-US" w:eastAsia="zh-CN" w:bidi="ar-SA"/>
              </w:rPr>
            </w:pPr>
            <w:r>
              <w:rPr>
                <w:rFonts w:hint="default" w:ascii="Times New Roman" w:hAnsi="Times New Roman" w:eastAsia="宋体" w:cs="Times New Roman"/>
                <w:color w:val="0000FF"/>
                <w:kern w:val="2"/>
                <w:sz w:val="24"/>
                <w:szCs w:val="20"/>
                <w:lang w:val="en-US" w:eastAsia="zh-CN" w:bidi="ar-SA"/>
              </w:rPr>
              <w:t>本项目</w:t>
            </w:r>
            <w:r>
              <w:rPr>
                <w:rFonts w:hint="eastAsia" w:cs="Times New Roman"/>
                <w:color w:val="0000FF"/>
                <w:kern w:val="2"/>
                <w:sz w:val="24"/>
                <w:szCs w:val="20"/>
                <w:lang w:val="en-US" w:eastAsia="zh-CN" w:bidi="ar-SA"/>
              </w:rPr>
              <w:t>1台4</w:t>
            </w:r>
            <w:r>
              <w:rPr>
                <w:rFonts w:hint="default" w:ascii="Times New Roman" w:hAnsi="Times New Roman" w:eastAsia="宋体" w:cs="Times New Roman"/>
                <w:color w:val="0000FF"/>
                <w:kern w:val="2"/>
                <w:sz w:val="24"/>
                <w:szCs w:val="20"/>
                <w:lang w:val="en-US" w:eastAsia="zh-CN" w:bidi="ar-SA"/>
              </w:rPr>
              <w:t>t/h燃生物质蒸汽锅炉产生的烟气经</w:t>
            </w:r>
            <w:r>
              <w:rPr>
                <w:rFonts w:hint="eastAsia" w:cs="Times New Roman"/>
                <w:color w:val="0000FF"/>
                <w:kern w:val="2"/>
                <w:sz w:val="24"/>
                <w:szCs w:val="20"/>
                <w:lang w:val="en-US" w:eastAsia="zh-CN" w:bidi="ar-SA"/>
              </w:rPr>
              <w:t>1套</w:t>
            </w:r>
            <w:r>
              <w:rPr>
                <w:rFonts w:hint="default" w:ascii="Times New Roman" w:hAnsi="Times New Roman" w:eastAsia="宋体" w:cs="Times New Roman"/>
                <w:color w:val="0000FF"/>
                <w:kern w:val="2"/>
                <w:sz w:val="24"/>
                <w:szCs w:val="20"/>
                <w:lang w:val="en-US" w:eastAsia="zh-CN" w:bidi="ar-SA"/>
              </w:rPr>
              <w:t>布袋除尘器处理后经1根</w:t>
            </w:r>
            <w:r>
              <w:rPr>
                <w:rFonts w:hint="eastAsia" w:cs="Times New Roman"/>
                <w:color w:val="0000FF"/>
                <w:kern w:val="2"/>
                <w:sz w:val="24"/>
                <w:szCs w:val="20"/>
                <w:lang w:val="en-US" w:eastAsia="zh-CN" w:bidi="ar-SA"/>
              </w:rPr>
              <w:t>35</w:t>
            </w:r>
            <w:r>
              <w:rPr>
                <w:rFonts w:hint="default" w:ascii="Times New Roman" w:hAnsi="Times New Roman" w:eastAsia="宋体" w:cs="Times New Roman"/>
                <w:color w:val="0000FF"/>
                <w:kern w:val="2"/>
                <w:sz w:val="24"/>
                <w:szCs w:val="20"/>
                <w:lang w:val="en-US" w:eastAsia="zh-CN" w:bidi="ar-SA"/>
              </w:rPr>
              <w:t>m高烟囱（DA001）排放，布袋除尘器处理效率为99.</w:t>
            </w:r>
            <w:r>
              <w:rPr>
                <w:rFonts w:hint="eastAsia" w:cs="Times New Roman"/>
                <w:color w:val="0000FF"/>
                <w:kern w:val="2"/>
                <w:sz w:val="24"/>
                <w:szCs w:val="20"/>
                <w:lang w:val="en-US" w:eastAsia="zh-CN" w:bidi="ar-SA"/>
              </w:rPr>
              <w:t>9</w:t>
            </w:r>
            <w:r>
              <w:rPr>
                <w:rFonts w:hint="default" w:ascii="Times New Roman" w:hAnsi="Times New Roman" w:eastAsia="宋体" w:cs="Times New Roman"/>
                <w:color w:val="0000FF"/>
                <w:kern w:val="2"/>
                <w:sz w:val="24"/>
                <w:szCs w:val="20"/>
                <w:lang w:val="en-US" w:eastAsia="zh-CN" w:bidi="ar-SA"/>
              </w:rPr>
              <w:t>%，满足</w:t>
            </w:r>
            <w:r>
              <w:rPr>
                <w:rFonts w:hint="default" w:ascii="Times New Roman" w:hAnsi="Times New Roman" w:eastAsia="宋体" w:cs="Times New Roman"/>
                <w:b w:val="0"/>
                <w:bCs/>
                <w:color w:val="0000FF"/>
                <w:kern w:val="0"/>
                <w:sz w:val="24"/>
                <w:szCs w:val="24"/>
              </w:rPr>
              <w:t>《锅炉大气污染物排放标准》（GB13271-2014）</w:t>
            </w:r>
            <w:r>
              <w:rPr>
                <w:rFonts w:hint="eastAsia" w:ascii="Times New Roman" w:hAnsi="Times New Roman" w:eastAsia="宋体" w:cs="Times New Roman"/>
                <w:b w:val="0"/>
                <w:bCs/>
                <w:color w:val="0000FF"/>
                <w:kern w:val="0"/>
                <w:sz w:val="24"/>
                <w:szCs w:val="24"/>
              </w:rPr>
              <w:t>表2新建锅炉大气污染物排放浓度限值中燃煤锅炉</w:t>
            </w:r>
            <w:r>
              <w:rPr>
                <w:rFonts w:hint="default" w:ascii="Times New Roman" w:hAnsi="Times New Roman" w:eastAsia="宋体" w:cs="Times New Roman"/>
                <w:b w:val="0"/>
                <w:bCs/>
                <w:color w:val="0000FF"/>
                <w:kern w:val="0"/>
                <w:sz w:val="24"/>
                <w:szCs w:val="24"/>
              </w:rPr>
              <w:t>标准</w:t>
            </w:r>
            <w:r>
              <w:rPr>
                <w:rFonts w:hint="default" w:ascii="Times New Roman" w:hAnsi="Times New Roman" w:eastAsia="宋体" w:cs="Times New Roman"/>
                <w:color w:val="0000FF"/>
                <w:kern w:val="2"/>
                <w:sz w:val="24"/>
                <w:szCs w:val="20"/>
                <w:lang w:val="en-US" w:eastAsia="zh-CN" w:bidi="ar-SA"/>
              </w:rPr>
              <w:t>要求。烟囱</w:t>
            </w:r>
            <w:r>
              <w:rPr>
                <w:rFonts w:hint="eastAsia" w:ascii="Times New Roman" w:hAnsi="Times New Roman" w:eastAsia="宋体" w:cs="Times New Roman"/>
                <w:color w:val="0000FF"/>
                <w:kern w:val="2"/>
                <w:sz w:val="24"/>
                <w:szCs w:val="20"/>
                <w:lang w:val="en-US" w:eastAsia="zh-CN" w:bidi="ar-SA"/>
              </w:rPr>
              <w:t>高度</w:t>
            </w:r>
            <w:r>
              <w:rPr>
                <w:rFonts w:hint="eastAsia" w:cs="Times New Roman"/>
                <w:color w:val="0000FF"/>
                <w:kern w:val="2"/>
                <w:sz w:val="24"/>
                <w:szCs w:val="20"/>
                <w:lang w:val="en-US" w:eastAsia="zh-CN" w:bidi="ar-SA"/>
              </w:rPr>
              <w:t>35</w:t>
            </w:r>
            <w:r>
              <w:rPr>
                <w:rFonts w:hint="eastAsia" w:ascii="Times New Roman" w:hAnsi="Times New Roman" w:eastAsia="宋体" w:cs="Times New Roman"/>
                <w:color w:val="0000FF"/>
                <w:kern w:val="2"/>
                <w:sz w:val="24"/>
                <w:szCs w:val="20"/>
                <w:lang w:val="en-US" w:eastAsia="zh-CN" w:bidi="ar-SA"/>
              </w:rPr>
              <w:t>m，满足</w:t>
            </w:r>
            <w:r>
              <w:rPr>
                <w:rFonts w:hint="default" w:ascii="Times New Roman" w:hAnsi="Times New Roman" w:eastAsia="宋体" w:cs="Times New Roman"/>
                <w:color w:val="0000FF"/>
                <w:kern w:val="2"/>
                <w:sz w:val="24"/>
                <w:szCs w:val="20"/>
                <w:lang w:val="en-US" w:eastAsia="zh-CN" w:bidi="ar-SA"/>
              </w:rPr>
              <w:t>《锅炉大气污染物排放标准》（GB13271-2014）</w:t>
            </w:r>
            <w:r>
              <w:rPr>
                <w:rFonts w:hint="eastAsia" w:ascii="Times New Roman" w:hAnsi="Times New Roman" w:eastAsia="宋体" w:cs="Times New Roman"/>
                <w:color w:val="0000FF"/>
                <w:kern w:val="2"/>
                <w:sz w:val="24"/>
                <w:szCs w:val="20"/>
                <w:lang w:val="en-US" w:eastAsia="zh-CN" w:bidi="ar-SA"/>
              </w:rPr>
              <w:t>4.5条款要求。</w:t>
            </w:r>
            <w:r>
              <w:rPr>
                <w:rFonts w:hint="default" w:ascii="Times New Roman" w:hAnsi="Times New Roman" w:eastAsia="宋体" w:cs="Times New Roman"/>
                <w:color w:val="0000FF"/>
                <w:kern w:val="2"/>
                <w:sz w:val="24"/>
                <w:szCs w:val="20"/>
                <w:lang w:val="en-US" w:eastAsia="zh-CN" w:bidi="ar-SA"/>
              </w:rPr>
              <w:t>玉米蒸煮工序会产生少量异味（以臭气浓度计），蒸煮工序产生异味在生产车间内</w:t>
            </w:r>
            <w:r>
              <w:rPr>
                <w:rFonts w:hint="eastAsia" w:cs="Times New Roman"/>
                <w:color w:val="0000FF"/>
                <w:kern w:val="2"/>
                <w:sz w:val="24"/>
                <w:szCs w:val="20"/>
                <w:lang w:val="en-US" w:eastAsia="zh-CN" w:bidi="ar-SA"/>
              </w:rPr>
              <w:t>散逸</w:t>
            </w:r>
            <w:r>
              <w:rPr>
                <w:rFonts w:hint="default" w:ascii="Times New Roman" w:hAnsi="Times New Roman" w:eastAsia="宋体" w:cs="Times New Roman"/>
                <w:color w:val="0000FF"/>
                <w:kern w:val="2"/>
                <w:sz w:val="24"/>
                <w:szCs w:val="20"/>
                <w:lang w:val="en-US" w:eastAsia="zh-CN" w:bidi="ar-SA"/>
              </w:rPr>
              <w:t>，加强车间通风，蒸煮工序异味对外环境影响较小。厂界臭气浓度能够满足《恶臭污染物排放标准》（GB14554-93）表2中臭气浓度20 (无量纲)标准限值。食堂安装油烟净化器进行净化，净化效率75%，油烟废气经油烟净化器处理后达标排放；本项目办公室冬季采暖使用电暖气，通过相应大气污染防治措施可使全部大气污染物达标排放，本项目废气对周边环境影响较小。</w:t>
            </w:r>
          </w:p>
          <w:p>
            <w:pPr>
              <w:shd w:val="clear"/>
              <w:adjustRightInd w:val="0"/>
              <w:snapToGrid w:val="0"/>
              <w:spacing w:before="120" w:beforeLines="50" w:line="360" w:lineRule="auto"/>
              <w:ind w:left="420" w:leftChars="200"/>
              <w:rPr>
                <w:b/>
                <w:color w:val="auto"/>
                <w:kern w:val="0"/>
                <w:sz w:val="24"/>
                <w:szCs w:val="20"/>
              </w:rPr>
            </w:pPr>
            <w:r>
              <w:rPr>
                <w:rFonts w:hint="eastAsia"/>
                <w:b/>
                <w:color w:val="auto"/>
                <w:kern w:val="0"/>
                <w:sz w:val="24"/>
                <w:szCs w:val="20"/>
              </w:rPr>
              <w:t>三</w:t>
            </w:r>
            <w:r>
              <w:rPr>
                <w:b/>
                <w:color w:val="auto"/>
                <w:kern w:val="0"/>
                <w:sz w:val="24"/>
                <w:szCs w:val="20"/>
              </w:rPr>
              <w:t>、噪声</w:t>
            </w:r>
          </w:p>
          <w:p>
            <w:pPr>
              <w:shd w:val="clear"/>
              <w:adjustRightInd w:val="0"/>
              <w:snapToGrid w:val="0"/>
              <w:spacing w:line="360" w:lineRule="auto"/>
              <w:ind w:firstLine="480" w:firstLineChars="200"/>
              <w:rPr>
                <w:bCs/>
                <w:color w:val="auto"/>
                <w:sz w:val="24"/>
              </w:rPr>
            </w:pPr>
            <w:r>
              <w:rPr>
                <w:rFonts w:hint="eastAsia"/>
                <w:bCs/>
                <w:color w:val="auto"/>
                <w:sz w:val="24"/>
              </w:rPr>
              <w:t>1.</w:t>
            </w:r>
            <w:r>
              <w:rPr>
                <w:bCs/>
                <w:color w:val="auto"/>
                <w:sz w:val="24"/>
              </w:rPr>
              <w:t>主要噪声源及源强</w:t>
            </w:r>
          </w:p>
          <w:p>
            <w:pPr>
              <w:shd w:val="clear"/>
              <w:spacing w:line="360" w:lineRule="auto"/>
              <w:ind w:firstLine="480" w:firstLineChars="200"/>
              <w:jc w:val="left"/>
              <w:rPr>
                <w:rFonts w:hint="eastAsia" w:eastAsia="宋体"/>
                <w:color w:val="auto"/>
                <w:sz w:val="24"/>
                <w:lang w:val="en-US" w:eastAsia="zh-CN"/>
              </w:rPr>
            </w:pPr>
            <w:r>
              <w:rPr>
                <w:color w:val="auto"/>
                <w:sz w:val="24"/>
              </w:rPr>
              <w:t>本项目运营期噪声主要来是</w:t>
            </w:r>
            <w:r>
              <w:rPr>
                <w:rFonts w:hint="eastAsia"/>
                <w:color w:val="auto"/>
                <w:sz w:val="24"/>
              </w:rPr>
              <w:t>生产</w:t>
            </w:r>
            <w:r>
              <w:rPr>
                <w:color w:val="auto"/>
                <w:sz w:val="24"/>
              </w:rPr>
              <w:t>等机械设备产生的噪声，主要设备噪声声压级见表4-</w:t>
            </w:r>
            <w:r>
              <w:rPr>
                <w:rFonts w:hint="eastAsia"/>
                <w:color w:val="auto"/>
                <w:sz w:val="24"/>
                <w:lang w:val="en-US" w:eastAsia="zh-CN"/>
              </w:rPr>
              <w:t>9</w:t>
            </w:r>
            <w:r>
              <w:rPr>
                <w:color w:val="auto"/>
                <w:sz w:val="24"/>
              </w:rPr>
              <w:t>。</w:t>
            </w:r>
          </w:p>
          <w:p>
            <w:pPr>
              <w:shd w:val="clear"/>
              <w:adjustRightInd w:val="0"/>
              <w:snapToGrid w:val="0"/>
              <w:spacing w:before="120" w:beforeLines="50" w:line="240" w:lineRule="auto"/>
              <w:jc w:val="center"/>
              <w:rPr>
                <w:b/>
                <w:color w:val="auto"/>
                <w:kern w:val="0"/>
                <w:sz w:val="24"/>
                <w:szCs w:val="24"/>
              </w:rPr>
            </w:pPr>
            <w:r>
              <w:rPr>
                <w:b/>
                <w:color w:val="auto"/>
                <w:kern w:val="0"/>
                <w:sz w:val="24"/>
                <w:szCs w:val="24"/>
              </w:rPr>
              <w:t>表4-</w:t>
            </w:r>
            <w:r>
              <w:rPr>
                <w:rFonts w:hint="eastAsia"/>
                <w:b/>
                <w:color w:val="auto"/>
                <w:kern w:val="0"/>
                <w:sz w:val="24"/>
                <w:szCs w:val="24"/>
                <w:lang w:val="en-US" w:eastAsia="zh-CN"/>
              </w:rPr>
              <w:t>9</w:t>
            </w:r>
            <w:r>
              <w:rPr>
                <w:b/>
                <w:color w:val="auto"/>
                <w:kern w:val="0"/>
                <w:sz w:val="24"/>
                <w:szCs w:val="24"/>
              </w:rPr>
              <w:t xml:space="preserve">  设备噪声源强一览表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8"/>
              <w:gridCol w:w="779"/>
              <w:gridCol w:w="873"/>
              <w:gridCol w:w="695"/>
              <w:gridCol w:w="666"/>
              <w:gridCol w:w="740"/>
              <w:gridCol w:w="815"/>
              <w:gridCol w:w="893"/>
              <w:gridCol w:w="784"/>
              <w:gridCol w:w="823"/>
              <w:gridCol w:w="8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3" w:type="pct"/>
                  <w:vMerge w:val="restart"/>
                  <w:tcBorders>
                    <w:tl2br w:val="nil"/>
                    <w:tr2bl w:val="nil"/>
                  </w:tcBorders>
                  <w:vAlign w:val="center"/>
                </w:tcPr>
                <w:p>
                  <w:pPr>
                    <w:shd w:val="clear"/>
                    <w:ind w:left="-42" w:leftChars="-20" w:right="-42" w:rightChars="-20"/>
                    <w:jc w:val="center"/>
                    <w:rPr>
                      <w:color w:val="auto"/>
                      <w:szCs w:val="21"/>
                    </w:rPr>
                  </w:pPr>
                  <w:r>
                    <w:rPr>
                      <w:color w:val="auto"/>
                      <w:kern w:val="0"/>
                      <w:szCs w:val="21"/>
                    </w:rPr>
                    <w:t>工序</w:t>
                  </w:r>
                </w:p>
              </w:tc>
              <w:tc>
                <w:tcPr>
                  <w:tcW w:w="457" w:type="pct"/>
                  <w:vMerge w:val="restart"/>
                  <w:tcBorders>
                    <w:tl2br w:val="nil"/>
                    <w:tr2bl w:val="nil"/>
                  </w:tcBorders>
                  <w:vAlign w:val="center"/>
                </w:tcPr>
                <w:p>
                  <w:pPr>
                    <w:shd w:val="clear"/>
                    <w:ind w:left="-42" w:leftChars="-20" w:right="-42" w:rightChars="-20"/>
                    <w:jc w:val="center"/>
                    <w:rPr>
                      <w:color w:val="auto"/>
                      <w:szCs w:val="21"/>
                    </w:rPr>
                  </w:pPr>
                  <w:r>
                    <w:rPr>
                      <w:color w:val="auto"/>
                      <w:szCs w:val="21"/>
                    </w:rPr>
                    <w:t>装置</w:t>
                  </w:r>
                </w:p>
              </w:tc>
              <w:tc>
                <w:tcPr>
                  <w:tcW w:w="512" w:type="pct"/>
                  <w:vMerge w:val="restart"/>
                  <w:tcBorders>
                    <w:tl2br w:val="nil"/>
                    <w:tr2bl w:val="nil"/>
                  </w:tcBorders>
                  <w:vAlign w:val="center"/>
                </w:tcPr>
                <w:p>
                  <w:pPr>
                    <w:shd w:val="clear"/>
                    <w:ind w:left="-42" w:leftChars="-20" w:right="-42" w:rightChars="-20"/>
                    <w:jc w:val="center"/>
                    <w:rPr>
                      <w:color w:val="auto"/>
                      <w:szCs w:val="21"/>
                    </w:rPr>
                  </w:pPr>
                  <w:r>
                    <w:rPr>
                      <w:color w:val="auto"/>
                      <w:szCs w:val="21"/>
                    </w:rPr>
                    <w:t>噪声源</w:t>
                  </w:r>
                </w:p>
              </w:tc>
              <w:tc>
                <w:tcPr>
                  <w:tcW w:w="408" w:type="pct"/>
                  <w:vMerge w:val="restart"/>
                  <w:tcBorders>
                    <w:tl2br w:val="nil"/>
                    <w:tr2bl w:val="nil"/>
                  </w:tcBorders>
                  <w:vAlign w:val="center"/>
                </w:tcPr>
                <w:p>
                  <w:pPr>
                    <w:shd w:val="clear"/>
                    <w:ind w:left="-42" w:leftChars="-20" w:right="-42" w:rightChars="-20"/>
                    <w:jc w:val="center"/>
                    <w:rPr>
                      <w:color w:val="auto"/>
                      <w:szCs w:val="21"/>
                    </w:rPr>
                  </w:pPr>
                  <w:r>
                    <w:rPr>
                      <w:color w:val="auto"/>
                      <w:kern w:val="0"/>
                      <w:szCs w:val="21"/>
                    </w:rPr>
                    <w:t>声源类型</w:t>
                  </w:r>
                </w:p>
              </w:tc>
              <w:tc>
                <w:tcPr>
                  <w:tcW w:w="825" w:type="pct"/>
                  <w:gridSpan w:val="2"/>
                  <w:tcBorders>
                    <w:tl2br w:val="nil"/>
                    <w:tr2bl w:val="nil"/>
                  </w:tcBorders>
                  <w:vAlign w:val="center"/>
                </w:tcPr>
                <w:p>
                  <w:pPr>
                    <w:shd w:val="clear"/>
                    <w:ind w:left="-41" w:leftChars="-51" w:right="-42" w:rightChars="-20" w:hanging="66"/>
                    <w:jc w:val="center"/>
                    <w:rPr>
                      <w:color w:val="auto"/>
                      <w:szCs w:val="21"/>
                    </w:rPr>
                  </w:pPr>
                  <w:r>
                    <w:rPr>
                      <w:color w:val="auto"/>
                      <w:kern w:val="0"/>
                      <w:szCs w:val="21"/>
                    </w:rPr>
                    <w:t>噪声源强</w:t>
                  </w:r>
                </w:p>
              </w:tc>
              <w:tc>
                <w:tcPr>
                  <w:tcW w:w="1002" w:type="pct"/>
                  <w:gridSpan w:val="2"/>
                  <w:tcBorders>
                    <w:tl2br w:val="nil"/>
                    <w:tr2bl w:val="nil"/>
                  </w:tcBorders>
                  <w:vAlign w:val="center"/>
                </w:tcPr>
                <w:p>
                  <w:pPr>
                    <w:shd w:val="clear"/>
                    <w:ind w:left="-42" w:leftChars="-20" w:right="-42" w:rightChars="-20"/>
                    <w:jc w:val="center"/>
                    <w:rPr>
                      <w:color w:val="auto"/>
                      <w:szCs w:val="21"/>
                    </w:rPr>
                  </w:pPr>
                  <w:r>
                    <w:rPr>
                      <w:color w:val="auto"/>
                      <w:kern w:val="0"/>
                      <w:szCs w:val="21"/>
                    </w:rPr>
                    <w:t>降噪措施</w:t>
                  </w:r>
                </w:p>
              </w:tc>
              <w:tc>
                <w:tcPr>
                  <w:tcW w:w="943" w:type="pct"/>
                  <w:gridSpan w:val="2"/>
                  <w:tcBorders>
                    <w:tl2br w:val="nil"/>
                    <w:tr2bl w:val="nil"/>
                  </w:tcBorders>
                  <w:vAlign w:val="center"/>
                </w:tcPr>
                <w:p>
                  <w:pPr>
                    <w:shd w:val="clear"/>
                    <w:ind w:left="-42" w:leftChars="-20" w:right="-42" w:rightChars="-20"/>
                    <w:jc w:val="center"/>
                    <w:rPr>
                      <w:color w:val="auto"/>
                      <w:szCs w:val="21"/>
                    </w:rPr>
                  </w:pPr>
                  <w:r>
                    <w:rPr>
                      <w:color w:val="auto"/>
                      <w:kern w:val="0"/>
                      <w:szCs w:val="21"/>
                    </w:rPr>
                    <w:t>噪声排放值</w:t>
                  </w:r>
                </w:p>
              </w:tc>
              <w:tc>
                <w:tcPr>
                  <w:tcW w:w="487" w:type="pct"/>
                  <w:vMerge w:val="restart"/>
                  <w:tcBorders>
                    <w:tl2br w:val="nil"/>
                    <w:tr2bl w:val="nil"/>
                  </w:tcBorders>
                  <w:vAlign w:val="center"/>
                </w:tcPr>
                <w:p>
                  <w:pPr>
                    <w:shd w:val="clear"/>
                    <w:ind w:left="-42" w:leftChars="-20" w:right="-42" w:rightChars="-20"/>
                    <w:jc w:val="center"/>
                    <w:rPr>
                      <w:color w:val="auto"/>
                      <w:kern w:val="0"/>
                      <w:szCs w:val="21"/>
                    </w:rPr>
                  </w:pPr>
                  <w:r>
                    <w:rPr>
                      <w:color w:val="auto"/>
                      <w:kern w:val="0"/>
                      <w:szCs w:val="21"/>
                    </w:rPr>
                    <w:t>持续时间/h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3" w:type="pct"/>
                  <w:vMerge w:val="continue"/>
                  <w:tcBorders>
                    <w:tl2br w:val="nil"/>
                    <w:tr2bl w:val="nil"/>
                  </w:tcBorders>
                  <w:vAlign w:val="center"/>
                </w:tcPr>
                <w:p>
                  <w:pPr>
                    <w:shd w:val="clear"/>
                    <w:ind w:left="-42" w:leftChars="-20" w:right="-42" w:rightChars="-20"/>
                    <w:jc w:val="center"/>
                    <w:rPr>
                      <w:color w:val="auto"/>
                      <w:szCs w:val="21"/>
                    </w:rPr>
                  </w:pPr>
                </w:p>
              </w:tc>
              <w:tc>
                <w:tcPr>
                  <w:tcW w:w="457" w:type="pct"/>
                  <w:vMerge w:val="continue"/>
                  <w:tcBorders>
                    <w:tl2br w:val="nil"/>
                    <w:tr2bl w:val="nil"/>
                  </w:tcBorders>
                  <w:vAlign w:val="center"/>
                </w:tcPr>
                <w:p>
                  <w:pPr>
                    <w:shd w:val="clear"/>
                    <w:ind w:left="-42" w:leftChars="-20" w:right="-42" w:rightChars="-20"/>
                    <w:jc w:val="center"/>
                    <w:rPr>
                      <w:color w:val="auto"/>
                      <w:szCs w:val="21"/>
                    </w:rPr>
                  </w:pPr>
                </w:p>
              </w:tc>
              <w:tc>
                <w:tcPr>
                  <w:tcW w:w="512" w:type="pct"/>
                  <w:vMerge w:val="continue"/>
                  <w:tcBorders>
                    <w:tl2br w:val="nil"/>
                    <w:tr2bl w:val="nil"/>
                  </w:tcBorders>
                  <w:vAlign w:val="center"/>
                </w:tcPr>
                <w:p>
                  <w:pPr>
                    <w:shd w:val="clear"/>
                    <w:ind w:left="-42" w:leftChars="-20" w:right="-42" w:rightChars="-20"/>
                    <w:jc w:val="center"/>
                    <w:rPr>
                      <w:color w:val="auto"/>
                      <w:szCs w:val="21"/>
                    </w:rPr>
                  </w:pPr>
                </w:p>
              </w:tc>
              <w:tc>
                <w:tcPr>
                  <w:tcW w:w="408" w:type="pct"/>
                  <w:vMerge w:val="continue"/>
                  <w:tcBorders>
                    <w:tl2br w:val="nil"/>
                    <w:tr2bl w:val="nil"/>
                  </w:tcBorders>
                  <w:vAlign w:val="center"/>
                </w:tcPr>
                <w:p>
                  <w:pPr>
                    <w:shd w:val="clear"/>
                    <w:ind w:left="-42" w:leftChars="-20" w:right="-42" w:rightChars="-20"/>
                    <w:jc w:val="center"/>
                    <w:rPr>
                      <w:color w:val="auto"/>
                      <w:szCs w:val="21"/>
                    </w:rPr>
                  </w:pPr>
                </w:p>
              </w:tc>
              <w:tc>
                <w:tcPr>
                  <w:tcW w:w="391" w:type="pct"/>
                  <w:tcBorders>
                    <w:tl2br w:val="nil"/>
                    <w:tr2bl w:val="nil"/>
                  </w:tcBorders>
                  <w:vAlign w:val="center"/>
                </w:tcPr>
                <w:p>
                  <w:pPr>
                    <w:shd w:val="clear"/>
                    <w:ind w:left="-42" w:leftChars="-20" w:right="-42" w:rightChars="-20"/>
                    <w:jc w:val="center"/>
                    <w:rPr>
                      <w:color w:val="auto"/>
                      <w:szCs w:val="21"/>
                    </w:rPr>
                  </w:pPr>
                  <w:r>
                    <w:rPr>
                      <w:color w:val="auto"/>
                      <w:kern w:val="0"/>
                      <w:szCs w:val="21"/>
                    </w:rPr>
                    <w:t>核算方法</w:t>
                  </w:r>
                </w:p>
              </w:tc>
              <w:tc>
                <w:tcPr>
                  <w:tcW w:w="434" w:type="pct"/>
                  <w:tcBorders>
                    <w:tl2br w:val="nil"/>
                    <w:tr2bl w:val="nil"/>
                  </w:tcBorders>
                  <w:vAlign w:val="center"/>
                </w:tcPr>
                <w:p>
                  <w:pPr>
                    <w:shd w:val="clear"/>
                    <w:ind w:left="-42" w:leftChars="-20" w:right="-42" w:rightChars="-20"/>
                    <w:jc w:val="center"/>
                    <w:rPr>
                      <w:color w:val="auto"/>
                      <w:szCs w:val="21"/>
                    </w:rPr>
                  </w:pPr>
                  <w:r>
                    <w:rPr>
                      <w:color w:val="auto"/>
                      <w:szCs w:val="21"/>
                    </w:rPr>
                    <w:t>噪声值dB(A)</w:t>
                  </w:r>
                </w:p>
              </w:tc>
              <w:tc>
                <w:tcPr>
                  <w:tcW w:w="478" w:type="pct"/>
                  <w:tcBorders>
                    <w:tl2br w:val="nil"/>
                    <w:tr2bl w:val="nil"/>
                  </w:tcBorders>
                  <w:vAlign w:val="center"/>
                </w:tcPr>
                <w:p>
                  <w:pPr>
                    <w:shd w:val="clear"/>
                    <w:ind w:left="-42" w:leftChars="-20" w:right="-42" w:rightChars="-20"/>
                    <w:jc w:val="center"/>
                    <w:rPr>
                      <w:color w:val="auto"/>
                      <w:szCs w:val="21"/>
                    </w:rPr>
                  </w:pPr>
                  <w:r>
                    <w:rPr>
                      <w:color w:val="auto"/>
                      <w:kern w:val="0"/>
                      <w:szCs w:val="21"/>
                    </w:rPr>
                    <w:t>工艺</w:t>
                  </w:r>
                </w:p>
              </w:tc>
              <w:tc>
                <w:tcPr>
                  <w:tcW w:w="524" w:type="pct"/>
                  <w:tcBorders>
                    <w:tl2br w:val="nil"/>
                    <w:tr2bl w:val="nil"/>
                  </w:tcBorders>
                  <w:vAlign w:val="center"/>
                </w:tcPr>
                <w:p>
                  <w:pPr>
                    <w:shd w:val="clear"/>
                    <w:ind w:left="-42" w:leftChars="-20" w:right="-42" w:rightChars="-20"/>
                    <w:jc w:val="center"/>
                    <w:rPr>
                      <w:color w:val="auto"/>
                      <w:szCs w:val="21"/>
                    </w:rPr>
                  </w:pPr>
                  <w:r>
                    <w:rPr>
                      <w:color w:val="auto"/>
                      <w:kern w:val="0"/>
                      <w:szCs w:val="21"/>
                    </w:rPr>
                    <w:t>降噪效果/(dB)</w:t>
                  </w:r>
                </w:p>
              </w:tc>
              <w:tc>
                <w:tcPr>
                  <w:tcW w:w="460" w:type="pct"/>
                  <w:tcBorders>
                    <w:tl2br w:val="nil"/>
                    <w:tr2bl w:val="nil"/>
                  </w:tcBorders>
                  <w:vAlign w:val="center"/>
                </w:tcPr>
                <w:p>
                  <w:pPr>
                    <w:shd w:val="clear"/>
                    <w:ind w:left="-42" w:leftChars="-20" w:right="-42" w:rightChars="-20"/>
                    <w:jc w:val="center"/>
                    <w:rPr>
                      <w:color w:val="auto"/>
                      <w:szCs w:val="21"/>
                    </w:rPr>
                  </w:pPr>
                  <w:r>
                    <w:rPr>
                      <w:color w:val="auto"/>
                      <w:kern w:val="0"/>
                      <w:szCs w:val="21"/>
                    </w:rPr>
                    <w:t>核算方法</w:t>
                  </w:r>
                </w:p>
              </w:tc>
              <w:tc>
                <w:tcPr>
                  <w:tcW w:w="483" w:type="pct"/>
                  <w:tcBorders>
                    <w:tl2br w:val="nil"/>
                    <w:tr2bl w:val="nil"/>
                  </w:tcBorders>
                  <w:vAlign w:val="center"/>
                </w:tcPr>
                <w:p>
                  <w:pPr>
                    <w:shd w:val="clear"/>
                    <w:ind w:left="-42" w:leftChars="-20" w:right="-42" w:rightChars="-20"/>
                    <w:jc w:val="center"/>
                    <w:rPr>
                      <w:color w:val="auto"/>
                      <w:szCs w:val="21"/>
                    </w:rPr>
                  </w:pPr>
                  <w:r>
                    <w:rPr>
                      <w:color w:val="auto"/>
                      <w:szCs w:val="21"/>
                    </w:rPr>
                    <w:t>噪声值dB(A)</w:t>
                  </w:r>
                </w:p>
              </w:tc>
              <w:tc>
                <w:tcPr>
                  <w:tcW w:w="487" w:type="pct"/>
                  <w:vMerge w:val="continue"/>
                  <w:tcBorders>
                    <w:tl2br w:val="nil"/>
                    <w:tr2bl w:val="nil"/>
                  </w:tcBorders>
                  <w:vAlign w:val="center"/>
                </w:tcPr>
                <w:p>
                  <w:pPr>
                    <w:shd w:val="clear"/>
                    <w:ind w:left="-42" w:leftChars="-20" w:right="-42" w:rightChars="-20"/>
                    <w:jc w:val="center"/>
                    <w:rPr>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3" w:type="pct"/>
                  <w:vMerge w:val="restart"/>
                  <w:tcBorders>
                    <w:tl2br w:val="nil"/>
                    <w:tr2bl w:val="nil"/>
                  </w:tcBorders>
                  <w:vAlign w:val="center"/>
                </w:tcPr>
                <w:p>
                  <w:pPr>
                    <w:shd w:val="clear"/>
                    <w:ind w:left="-42" w:leftChars="-20" w:right="-42" w:rightChars="-20"/>
                    <w:jc w:val="center"/>
                    <w:textAlignment w:val="center"/>
                    <w:rPr>
                      <w:color w:val="auto"/>
                      <w:szCs w:val="21"/>
                    </w:rPr>
                  </w:pPr>
                  <w:r>
                    <w:rPr>
                      <w:color w:val="auto"/>
                      <w:szCs w:val="21"/>
                    </w:rPr>
                    <w:t>生产工程</w:t>
                  </w:r>
                </w:p>
              </w:tc>
              <w:tc>
                <w:tcPr>
                  <w:tcW w:w="457" w:type="pct"/>
                  <w:vMerge w:val="restart"/>
                  <w:tcBorders>
                    <w:tl2br w:val="nil"/>
                    <w:tr2bl w:val="nil"/>
                  </w:tcBorders>
                  <w:vAlign w:val="center"/>
                </w:tcPr>
                <w:p>
                  <w:pPr>
                    <w:shd w:val="clear"/>
                    <w:jc w:val="center"/>
                    <w:rPr>
                      <w:color w:val="auto"/>
                      <w:szCs w:val="21"/>
                    </w:rPr>
                  </w:pPr>
                  <w:r>
                    <w:rPr>
                      <w:color w:val="auto"/>
                      <w:szCs w:val="21"/>
                    </w:rPr>
                    <w:t>生产装置</w:t>
                  </w:r>
                </w:p>
              </w:tc>
              <w:tc>
                <w:tcPr>
                  <w:tcW w:w="512" w:type="pct"/>
                  <w:tcBorders>
                    <w:tl2br w:val="nil"/>
                    <w:tr2bl w:val="nil"/>
                  </w:tcBorders>
                  <w:vAlign w:val="center"/>
                </w:tcPr>
                <w:p>
                  <w:pPr>
                    <w:shd w:val="clear"/>
                    <w:contextualSpacing/>
                    <w:jc w:val="center"/>
                    <w:rPr>
                      <w:bCs/>
                      <w:color w:val="auto"/>
                      <w:szCs w:val="21"/>
                    </w:rPr>
                  </w:pPr>
                  <w:r>
                    <w:rPr>
                      <w:rFonts w:hint="eastAsia" w:cs="宋体"/>
                      <w:bCs/>
                      <w:color w:val="auto"/>
                      <w:kern w:val="0"/>
                      <w:szCs w:val="21"/>
                    </w:rPr>
                    <w:t>皮带提升机</w:t>
                  </w:r>
                </w:p>
              </w:tc>
              <w:tc>
                <w:tcPr>
                  <w:tcW w:w="408" w:type="pct"/>
                  <w:tcBorders>
                    <w:tl2br w:val="nil"/>
                    <w:tr2bl w:val="nil"/>
                  </w:tcBorders>
                  <w:vAlign w:val="center"/>
                </w:tcPr>
                <w:p>
                  <w:pPr>
                    <w:shd w:val="clear"/>
                    <w:ind w:left="-42" w:leftChars="-20" w:right="-42" w:rightChars="-20"/>
                    <w:jc w:val="center"/>
                    <w:rPr>
                      <w:color w:val="auto"/>
                      <w:kern w:val="0"/>
                      <w:szCs w:val="21"/>
                    </w:rPr>
                  </w:pPr>
                  <w:r>
                    <w:rPr>
                      <w:color w:val="auto"/>
                      <w:kern w:val="0"/>
                      <w:szCs w:val="21"/>
                    </w:rPr>
                    <w:t>频发</w:t>
                  </w:r>
                </w:p>
              </w:tc>
              <w:tc>
                <w:tcPr>
                  <w:tcW w:w="391" w:type="pct"/>
                  <w:vMerge w:val="restart"/>
                  <w:tcBorders>
                    <w:tl2br w:val="nil"/>
                    <w:tr2bl w:val="nil"/>
                  </w:tcBorders>
                  <w:vAlign w:val="center"/>
                </w:tcPr>
                <w:p>
                  <w:pPr>
                    <w:shd w:val="clear"/>
                    <w:ind w:left="-42" w:leftChars="-20" w:right="-42" w:rightChars="-20"/>
                    <w:jc w:val="center"/>
                    <w:textAlignment w:val="center"/>
                    <w:rPr>
                      <w:color w:val="auto"/>
                      <w:szCs w:val="21"/>
                    </w:rPr>
                  </w:pPr>
                  <w:r>
                    <w:rPr>
                      <w:color w:val="auto"/>
                      <w:szCs w:val="21"/>
                    </w:rPr>
                    <w:t>类比法</w:t>
                  </w:r>
                </w:p>
              </w:tc>
              <w:tc>
                <w:tcPr>
                  <w:tcW w:w="434" w:type="pct"/>
                  <w:tcBorders>
                    <w:tl2br w:val="nil"/>
                    <w:tr2bl w:val="nil"/>
                  </w:tcBorders>
                  <w:vAlign w:val="center"/>
                </w:tcPr>
                <w:p>
                  <w:pPr>
                    <w:shd w:val="clear"/>
                    <w:adjustRightInd w:val="0"/>
                    <w:jc w:val="center"/>
                    <w:textAlignment w:val="baseline"/>
                    <w:rPr>
                      <w:snapToGrid w:val="0"/>
                      <w:color w:val="auto"/>
                      <w:kern w:val="0"/>
                      <w:szCs w:val="21"/>
                    </w:rPr>
                  </w:pPr>
                  <w:r>
                    <w:rPr>
                      <w:snapToGrid w:val="0"/>
                      <w:color w:val="auto"/>
                      <w:kern w:val="0"/>
                      <w:szCs w:val="21"/>
                    </w:rPr>
                    <w:t>7</w:t>
                  </w:r>
                  <w:r>
                    <w:rPr>
                      <w:rFonts w:hint="eastAsia"/>
                      <w:snapToGrid w:val="0"/>
                      <w:color w:val="auto"/>
                      <w:kern w:val="0"/>
                      <w:szCs w:val="21"/>
                    </w:rPr>
                    <w:t>0</w:t>
                  </w:r>
                </w:p>
              </w:tc>
              <w:tc>
                <w:tcPr>
                  <w:tcW w:w="478" w:type="pct"/>
                  <w:vMerge w:val="restart"/>
                  <w:tcBorders>
                    <w:tl2br w:val="nil"/>
                    <w:tr2bl w:val="nil"/>
                  </w:tcBorders>
                  <w:vAlign w:val="center"/>
                </w:tcPr>
                <w:p>
                  <w:pPr>
                    <w:shd w:val="clear"/>
                    <w:ind w:left="-42" w:leftChars="-20" w:right="-42" w:rightChars="-20"/>
                    <w:jc w:val="center"/>
                    <w:textAlignment w:val="center"/>
                    <w:rPr>
                      <w:color w:val="auto"/>
                      <w:szCs w:val="21"/>
                    </w:rPr>
                  </w:pPr>
                  <w:r>
                    <w:rPr>
                      <w:rFonts w:hint="eastAsia"/>
                      <w:color w:val="auto"/>
                      <w:szCs w:val="21"/>
                    </w:rPr>
                    <w:t>室内噪声、</w:t>
                  </w:r>
                  <w:r>
                    <w:rPr>
                      <w:color w:val="auto"/>
                      <w:szCs w:val="21"/>
                    </w:rPr>
                    <w:t>隔声、减振处理</w:t>
                  </w:r>
                </w:p>
              </w:tc>
              <w:tc>
                <w:tcPr>
                  <w:tcW w:w="524" w:type="pct"/>
                  <w:tcBorders>
                    <w:tl2br w:val="nil"/>
                    <w:tr2bl w:val="nil"/>
                  </w:tcBorders>
                  <w:vAlign w:val="center"/>
                </w:tcPr>
                <w:p>
                  <w:pPr>
                    <w:shd w:val="clear"/>
                    <w:ind w:left="-42" w:leftChars="-20" w:right="-42" w:rightChars="-20"/>
                    <w:jc w:val="center"/>
                    <w:textAlignment w:val="center"/>
                    <w:rPr>
                      <w:color w:val="auto"/>
                      <w:szCs w:val="21"/>
                    </w:rPr>
                  </w:pPr>
                  <w:r>
                    <w:rPr>
                      <w:color w:val="auto"/>
                      <w:szCs w:val="21"/>
                    </w:rPr>
                    <w:t>20</w:t>
                  </w:r>
                </w:p>
              </w:tc>
              <w:tc>
                <w:tcPr>
                  <w:tcW w:w="460" w:type="pct"/>
                  <w:vMerge w:val="restart"/>
                  <w:tcBorders>
                    <w:tl2br w:val="nil"/>
                    <w:tr2bl w:val="nil"/>
                  </w:tcBorders>
                  <w:vAlign w:val="center"/>
                </w:tcPr>
                <w:p>
                  <w:pPr>
                    <w:shd w:val="clear"/>
                    <w:ind w:left="-42" w:leftChars="-20" w:right="-42" w:rightChars="-20"/>
                    <w:jc w:val="center"/>
                    <w:textAlignment w:val="center"/>
                    <w:rPr>
                      <w:color w:val="auto"/>
                      <w:szCs w:val="21"/>
                    </w:rPr>
                  </w:pPr>
                  <w:r>
                    <w:rPr>
                      <w:color w:val="auto"/>
                      <w:szCs w:val="21"/>
                    </w:rPr>
                    <w:t>类比法</w:t>
                  </w:r>
                </w:p>
              </w:tc>
              <w:tc>
                <w:tcPr>
                  <w:tcW w:w="483" w:type="pct"/>
                  <w:tcBorders>
                    <w:tl2br w:val="nil"/>
                    <w:tr2bl w:val="nil"/>
                  </w:tcBorders>
                  <w:vAlign w:val="center"/>
                </w:tcPr>
                <w:p>
                  <w:pPr>
                    <w:shd w:val="clear"/>
                    <w:ind w:left="-42" w:leftChars="-20" w:right="-42" w:rightChars="-20"/>
                    <w:jc w:val="center"/>
                    <w:textAlignment w:val="center"/>
                    <w:rPr>
                      <w:color w:val="auto"/>
                      <w:szCs w:val="21"/>
                    </w:rPr>
                  </w:pPr>
                  <w:r>
                    <w:rPr>
                      <w:rFonts w:hint="eastAsia"/>
                      <w:color w:val="auto"/>
                      <w:szCs w:val="21"/>
                    </w:rPr>
                    <w:t>50</w:t>
                  </w:r>
                </w:p>
              </w:tc>
              <w:tc>
                <w:tcPr>
                  <w:tcW w:w="487" w:type="pct"/>
                  <w:vMerge w:val="restart"/>
                  <w:tcBorders>
                    <w:tl2br w:val="nil"/>
                    <w:tr2bl w:val="nil"/>
                  </w:tcBorders>
                  <w:shd w:val="clear" w:color="auto" w:fill="auto"/>
                  <w:vAlign w:val="center"/>
                </w:tcPr>
                <w:p>
                  <w:pPr>
                    <w:shd w:val="clear"/>
                    <w:ind w:left="-42" w:leftChars="-20" w:right="-42" w:rightChars="-20"/>
                    <w:jc w:val="center"/>
                    <w:textAlignment w:val="center"/>
                    <w:rPr>
                      <w:color w:val="auto"/>
                      <w:szCs w:val="21"/>
                    </w:rPr>
                  </w:pPr>
                  <w:r>
                    <w:rPr>
                      <w:rFonts w:hint="eastAsia"/>
                      <w:color w:val="auto"/>
                      <w:szCs w:val="21"/>
                      <w:lang w:val="en-US" w:eastAsia="zh-CN"/>
                    </w:rPr>
                    <w:t>9</w:t>
                  </w:r>
                  <w:r>
                    <w:rPr>
                      <w:color w:val="auto"/>
                      <w:szCs w:val="21"/>
                    </w:rPr>
                    <w:t>0</w:t>
                  </w:r>
                  <w:r>
                    <w:rPr>
                      <w:rFonts w:hint="eastAsia"/>
                      <w:color w:val="auto"/>
                      <w:szCs w:val="21"/>
                    </w:rPr>
                    <w:t>0</w:t>
                  </w:r>
                  <w:r>
                    <w:rPr>
                      <w:color w:val="auto"/>
                      <w:szCs w:val="21"/>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3"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57" w:type="pct"/>
                  <w:vMerge w:val="continue"/>
                  <w:tcBorders>
                    <w:tl2br w:val="nil"/>
                    <w:tr2bl w:val="nil"/>
                  </w:tcBorders>
                  <w:vAlign w:val="center"/>
                </w:tcPr>
                <w:p>
                  <w:pPr>
                    <w:shd w:val="clear"/>
                    <w:jc w:val="center"/>
                    <w:rPr>
                      <w:color w:val="auto"/>
                      <w:szCs w:val="21"/>
                    </w:rPr>
                  </w:pPr>
                </w:p>
              </w:tc>
              <w:tc>
                <w:tcPr>
                  <w:tcW w:w="512" w:type="pct"/>
                  <w:tcBorders>
                    <w:tl2br w:val="nil"/>
                    <w:tr2bl w:val="nil"/>
                  </w:tcBorders>
                  <w:vAlign w:val="center"/>
                </w:tcPr>
                <w:p>
                  <w:pPr>
                    <w:shd w:val="clear"/>
                    <w:jc w:val="center"/>
                    <w:rPr>
                      <w:color w:val="auto"/>
                      <w:szCs w:val="21"/>
                    </w:rPr>
                  </w:pPr>
                  <w:r>
                    <w:rPr>
                      <w:rFonts w:hint="eastAsia" w:cs="宋体"/>
                      <w:color w:val="auto"/>
                      <w:kern w:val="0"/>
                      <w:szCs w:val="21"/>
                    </w:rPr>
                    <w:t>玉米扒皮机</w:t>
                  </w:r>
                </w:p>
              </w:tc>
              <w:tc>
                <w:tcPr>
                  <w:tcW w:w="408" w:type="pct"/>
                  <w:tcBorders>
                    <w:tl2br w:val="nil"/>
                    <w:tr2bl w:val="nil"/>
                  </w:tcBorders>
                  <w:vAlign w:val="center"/>
                </w:tcPr>
                <w:p>
                  <w:pPr>
                    <w:shd w:val="clear"/>
                    <w:ind w:left="-42" w:leftChars="-20" w:right="-42" w:rightChars="-20"/>
                    <w:jc w:val="center"/>
                    <w:rPr>
                      <w:color w:val="auto"/>
                      <w:kern w:val="0"/>
                      <w:szCs w:val="21"/>
                    </w:rPr>
                  </w:pPr>
                  <w:r>
                    <w:rPr>
                      <w:color w:val="auto"/>
                      <w:kern w:val="0"/>
                      <w:szCs w:val="21"/>
                    </w:rPr>
                    <w:t>频发</w:t>
                  </w:r>
                </w:p>
              </w:tc>
              <w:tc>
                <w:tcPr>
                  <w:tcW w:w="391"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34" w:type="pct"/>
                  <w:tcBorders>
                    <w:tl2br w:val="nil"/>
                    <w:tr2bl w:val="nil"/>
                  </w:tcBorders>
                  <w:vAlign w:val="center"/>
                </w:tcPr>
                <w:p>
                  <w:pPr>
                    <w:shd w:val="clear"/>
                    <w:adjustRightInd w:val="0"/>
                    <w:jc w:val="center"/>
                    <w:textAlignment w:val="baseline"/>
                    <w:rPr>
                      <w:snapToGrid w:val="0"/>
                      <w:color w:val="auto"/>
                      <w:kern w:val="0"/>
                      <w:szCs w:val="21"/>
                    </w:rPr>
                  </w:pPr>
                  <w:r>
                    <w:rPr>
                      <w:rFonts w:hint="eastAsia"/>
                      <w:snapToGrid w:val="0"/>
                      <w:color w:val="auto"/>
                      <w:kern w:val="0"/>
                      <w:szCs w:val="21"/>
                    </w:rPr>
                    <w:t>75</w:t>
                  </w:r>
                </w:p>
              </w:tc>
              <w:tc>
                <w:tcPr>
                  <w:tcW w:w="478"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524" w:type="pct"/>
                  <w:tcBorders>
                    <w:tl2br w:val="nil"/>
                    <w:tr2bl w:val="nil"/>
                  </w:tcBorders>
                  <w:vAlign w:val="center"/>
                </w:tcPr>
                <w:p>
                  <w:pPr>
                    <w:shd w:val="clear"/>
                    <w:ind w:left="-42" w:leftChars="-20" w:right="-42" w:rightChars="-20"/>
                    <w:jc w:val="center"/>
                    <w:textAlignment w:val="center"/>
                    <w:rPr>
                      <w:color w:val="auto"/>
                      <w:szCs w:val="21"/>
                    </w:rPr>
                  </w:pPr>
                  <w:r>
                    <w:rPr>
                      <w:color w:val="auto"/>
                      <w:szCs w:val="21"/>
                    </w:rPr>
                    <w:t>20</w:t>
                  </w:r>
                </w:p>
              </w:tc>
              <w:tc>
                <w:tcPr>
                  <w:tcW w:w="460"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83" w:type="pct"/>
                  <w:tcBorders>
                    <w:tl2br w:val="nil"/>
                    <w:tr2bl w:val="nil"/>
                  </w:tcBorders>
                  <w:vAlign w:val="center"/>
                </w:tcPr>
                <w:p>
                  <w:pPr>
                    <w:shd w:val="clear"/>
                    <w:ind w:left="-42" w:leftChars="-20" w:right="-42" w:rightChars="-20"/>
                    <w:jc w:val="center"/>
                    <w:textAlignment w:val="center"/>
                    <w:rPr>
                      <w:color w:val="auto"/>
                      <w:szCs w:val="21"/>
                    </w:rPr>
                  </w:pPr>
                  <w:r>
                    <w:rPr>
                      <w:rFonts w:hint="eastAsia"/>
                      <w:color w:val="auto"/>
                      <w:szCs w:val="21"/>
                    </w:rPr>
                    <w:t>55</w:t>
                  </w:r>
                </w:p>
              </w:tc>
              <w:tc>
                <w:tcPr>
                  <w:tcW w:w="487" w:type="pct"/>
                  <w:vMerge w:val="continue"/>
                  <w:tcBorders>
                    <w:tl2br w:val="nil"/>
                    <w:tr2bl w:val="nil"/>
                  </w:tcBorders>
                  <w:shd w:val="clear" w:color="auto" w:fill="auto"/>
                  <w:vAlign w:val="center"/>
                </w:tcPr>
                <w:p>
                  <w:pPr>
                    <w:shd w:val="clear"/>
                    <w:ind w:left="-42" w:leftChars="-20" w:right="-42" w:rightChars="-20"/>
                    <w:jc w:val="center"/>
                    <w:textAlignment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3"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57" w:type="pct"/>
                  <w:vMerge w:val="continue"/>
                  <w:tcBorders>
                    <w:tl2br w:val="nil"/>
                    <w:tr2bl w:val="nil"/>
                  </w:tcBorders>
                  <w:vAlign w:val="center"/>
                </w:tcPr>
                <w:p>
                  <w:pPr>
                    <w:shd w:val="clear"/>
                    <w:jc w:val="center"/>
                    <w:rPr>
                      <w:color w:val="auto"/>
                      <w:szCs w:val="21"/>
                    </w:rPr>
                  </w:pPr>
                </w:p>
              </w:tc>
              <w:tc>
                <w:tcPr>
                  <w:tcW w:w="512" w:type="pct"/>
                  <w:tcBorders>
                    <w:tl2br w:val="nil"/>
                    <w:tr2bl w:val="nil"/>
                  </w:tcBorders>
                  <w:vAlign w:val="center"/>
                </w:tcPr>
                <w:p>
                  <w:pPr>
                    <w:shd w:val="clear"/>
                    <w:adjustRightInd w:val="0"/>
                    <w:snapToGrid w:val="0"/>
                    <w:jc w:val="center"/>
                    <w:rPr>
                      <w:color w:val="auto"/>
                      <w:szCs w:val="21"/>
                    </w:rPr>
                  </w:pPr>
                  <w:r>
                    <w:rPr>
                      <w:rFonts w:hint="eastAsia"/>
                      <w:color w:val="auto"/>
                      <w:szCs w:val="21"/>
                    </w:rPr>
                    <w:t>玉米切割机</w:t>
                  </w:r>
                </w:p>
              </w:tc>
              <w:tc>
                <w:tcPr>
                  <w:tcW w:w="408" w:type="pct"/>
                  <w:tcBorders>
                    <w:tl2br w:val="nil"/>
                    <w:tr2bl w:val="nil"/>
                  </w:tcBorders>
                  <w:vAlign w:val="center"/>
                </w:tcPr>
                <w:p>
                  <w:pPr>
                    <w:shd w:val="clear"/>
                    <w:ind w:left="-42" w:leftChars="-20" w:right="-42" w:rightChars="-20"/>
                    <w:jc w:val="center"/>
                    <w:rPr>
                      <w:color w:val="auto"/>
                      <w:kern w:val="0"/>
                      <w:szCs w:val="21"/>
                    </w:rPr>
                  </w:pPr>
                  <w:r>
                    <w:rPr>
                      <w:color w:val="auto"/>
                      <w:kern w:val="0"/>
                      <w:szCs w:val="21"/>
                    </w:rPr>
                    <w:t>频发</w:t>
                  </w:r>
                </w:p>
              </w:tc>
              <w:tc>
                <w:tcPr>
                  <w:tcW w:w="391"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34" w:type="pct"/>
                  <w:tcBorders>
                    <w:tl2br w:val="nil"/>
                    <w:tr2bl w:val="nil"/>
                  </w:tcBorders>
                  <w:vAlign w:val="center"/>
                </w:tcPr>
                <w:p>
                  <w:pPr>
                    <w:shd w:val="clear"/>
                    <w:adjustRightInd w:val="0"/>
                    <w:jc w:val="center"/>
                    <w:textAlignment w:val="baseline"/>
                    <w:rPr>
                      <w:snapToGrid w:val="0"/>
                      <w:color w:val="auto"/>
                      <w:kern w:val="0"/>
                      <w:szCs w:val="21"/>
                    </w:rPr>
                  </w:pPr>
                  <w:r>
                    <w:rPr>
                      <w:rFonts w:hint="eastAsia"/>
                      <w:snapToGrid w:val="0"/>
                      <w:color w:val="auto"/>
                      <w:kern w:val="0"/>
                      <w:szCs w:val="21"/>
                    </w:rPr>
                    <w:t>75</w:t>
                  </w:r>
                </w:p>
              </w:tc>
              <w:tc>
                <w:tcPr>
                  <w:tcW w:w="478"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524" w:type="pct"/>
                  <w:tcBorders>
                    <w:tl2br w:val="nil"/>
                    <w:tr2bl w:val="nil"/>
                  </w:tcBorders>
                  <w:vAlign w:val="center"/>
                </w:tcPr>
                <w:p>
                  <w:pPr>
                    <w:shd w:val="clear"/>
                    <w:ind w:left="-42" w:leftChars="-20" w:right="-42" w:rightChars="-20"/>
                    <w:jc w:val="center"/>
                    <w:textAlignment w:val="center"/>
                    <w:rPr>
                      <w:color w:val="auto"/>
                      <w:szCs w:val="21"/>
                    </w:rPr>
                  </w:pPr>
                  <w:r>
                    <w:rPr>
                      <w:color w:val="auto"/>
                      <w:szCs w:val="21"/>
                    </w:rPr>
                    <w:t>20</w:t>
                  </w:r>
                </w:p>
              </w:tc>
              <w:tc>
                <w:tcPr>
                  <w:tcW w:w="460"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83" w:type="pct"/>
                  <w:tcBorders>
                    <w:tl2br w:val="nil"/>
                    <w:tr2bl w:val="nil"/>
                  </w:tcBorders>
                  <w:vAlign w:val="center"/>
                </w:tcPr>
                <w:p>
                  <w:pPr>
                    <w:shd w:val="clear"/>
                    <w:ind w:left="-42" w:leftChars="-20" w:right="-42" w:rightChars="-20"/>
                    <w:jc w:val="center"/>
                    <w:textAlignment w:val="center"/>
                    <w:rPr>
                      <w:color w:val="auto"/>
                      <w:szCs w:val="21"/>
                    </w:rPr>
                  </w:pPr>
                  <w:r>
                    <w:rPr>
                      <w:rFonts w:hint="eastAsia"/>
                      <w:color w:val="auto"/>
                      <w:szCs w:val="21"/>
                    </w:rPr>
                    <w:t>55</w:t>
                  </w:r>
                </w:p>
              </w:tc>
              <w:tc>
                <w:tcPr>
                  <w:tcW w:w="487" w:type="pct"/>
                  <w:vMerge w:val="continue"/>
                  <w:tcBorders>
                    <w:tl2br w:val="nil"/>
                    <w:tr2bl w:val="nil"/>
                  </w:tcBorders>
                  <w:shd w:val="clear" w:color="auto" w:fill="auto"/>
                  <w:vAlign w:val="center"/>
                </w:tcPr>
                <w:p>
                  <w:pPr>
                    <w:shd w:val="clear"/>
                    <w:ind w:left="-42" w:leftChars="-20" w:right="-42" w:rightChars="-20"/>
                    <w:jc w:val="center"/>
                    <w:textAlignment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3"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57" w:type="pct"/>
                  <w:vMerge w:val="continue"/>
                  <w:tcBorders>
                    <w:tl2br w:val="nil"/>
                    <w:tr2bl w:val="nil"/>
                  </w:tcBorders>
                  <w:vAlign w:val="center"/>
                </w:tcPr>
                <w:p>
                  <w:pPr>
                    <w:shd w:val="clear"/>
                    <w:jc w:val="center"/>
                    <w:rPr>
                      <w:color w:val="auto"/>
                      <w:szCs w:val="21"/>
                    </w:rPr>
                  </w:pPr>
                </w:p>
              </w:tc>
              <w:tc>
                <w:tcPr>
                  <w:tcW w:w="512" w:type="pct"/>
                  <w:tcBorders>
                    <w:tl2br w:val="nil"/>
                    <w:tr2bl w:val="nil"/>
                  </w:tcBorders>
                  <w:vAlign w:val="center"/>
                </w:tcPr>
                <w:p>
                  <w:pPr>
                    <w:shd w:val="clear"/>
                    <w:adjustRightInd w:val="0"/>
                    <w:snapToGrid w:val="0"/>
                    <w:jc w:val="center"/>
                    <w:rPr>
                      <w:color w:val="auto"/>
                      <w:szCs w:val="21"/>
                      <w:shd w:val="clear" w:color="auto" w:fill="FFFFFF"/>
                    </w:rPr>
                  </w:pPr>
                  <w:r>
                    <w:rPr>
                      <w:rFonts w:hint="eastAsia" w:cs="宋体"/>
                      <w:color w:val="auto"/>
                      <w:kern w:val="0"/>
                      <w:szCs w:val="21"/>
                    </w:rPr>
                    <w:t>清洗机</w:t>
                  </w:r>
                </w:p>
              </w:tc>
              <w:tc>
                <w:tcPr>
                  <w:tcW w:w="408" w:type="pct"/>
                  <w:tcBorders>
                    <w:tl2br w:val="nil"/>
                    <w:tr2bl w:val="nil"/>
                  </w:tcBorders>
                  <w:vAlign w:val="center"/>
                </w:tcPr>
                <w:p>
                  <w:pPr>
                    <w:shd w:val="clear"/>
                    <w:ind w:left="-42" w:leftChars="-20" w:right="-42" w:rightChars="-20"/>
                    <w:jc w:val="center"/>
                    <w:rPr>
                      <w:color w:val="auto"/>
                      <w:kern w:val="0"/>
                      <w:szCs w:val="21"/>
                    </w:rPr>
                  </w:pPr>
                  <w:r>
                    <w:rPr>
                      <w:color w:val="auto"/>
                      <w:kern w:val="0"/>
                      <w:szCs w:val="21"/>
                    </w:rPr>
                    <w:t>频发</w:t>
                  </w:r>
                </w:p>
              </w:tc>
              <w:tc>
                <w:tcPr>
                  <w:tcW w:w="391"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34" w:type="pct"/>
                  <w:tcBorders>
                    <w:tl2br w:val="nil"/>
                    <w:tr2bl w:val="nil"/>
                  </w:tcBorders>
                  <w:vAlign w:val="center"/>
                </w:tcPr>
                <w:p>
                  <w:pPr>
                    <w:shd w:val="clear"/>
                    <w:adjustRightInd w:val="0"/>
                    <w:jc w:val="center"/>
                    <w:textAlignment w:val="baseline"/>
                    <w:rPr>
                      <w:snapToGrid w:val="0"/>
                      <w:color w:val="auto"/>
                      <w:kern w:val="0"/>
                      <w:szCs w:val="21"/>
                    </w:rPr>
                  </w:pPr>
                  <w:r>
                    <w:rPr>
                      <w:rFonts w:hint="eastAsia"/>
                      <w:snapToGrid w:val="0"/>
                      <w:color w:val="auto"/>
                      <w:kern w:val="0"/>
                      <w:szCs w:val="21"/>
                    </w:rPr>
                    <w:t>70</w:t>
                  </w:r>
                </w:p>
              </w:tc>
              <w:tc>
                <w:tcPr>
                  <w:tcW w:w="478"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524" w:type="pct"/>
                  <w:tcBorders>
                    <w:tl2br w:val="nil"/>
                    <w:tr2bl w:val="nil"/>
                  </w:tcBorders>
                  <w:vAlign w:val="center"/>
                </w:tcPr>
                <w:p>
                  <w:pPr>
                    <w:shd w:val="clear"/>
                    <w:ind w:left="-42" w:leftChars="-20" w:right="-42" w:rightChars="-20"/>
                    <w:jc w:val="center"/>
                    <w:textAlignment w:val="center"/>
                    <w:rPr>
                      <w:color w:val="auto"/>
                      <w:szCs w:val="21"/>
                    </w:rPr>
                  </w:pPr>
                  <w:r>
                    <w:rPr>
                      <w:rFonts w:hint="eastAsia"/>
                      <w:color w:val="auto"/>
                      <w:szCs w:val="21"/>
                    </w:rPr>
                    <w:t>20</w:t>
                  </w:r>
                </w:p>
              </w:tc>
              <w:tc>
                <w:tcPr>
                  <w:tcW w:w="460"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83" w:type="pct"/>
                  <w:tcBorders>
                    <w:tl2br w:val="nil"/>
                    <w:tr2bl w:val="nil"/>
                  </w:tcBorders>
                  <w:vAlign w:val="center"/>
                </w:tcPr>
                <w:p>
                  <w:pPr>
                    <w:shd w:val="clear"/>
                    <w:ind w:left="-42" w:leftChars="-20" w:right="-42" w:rightChars="-20"/>
                    <w:jc w:val="center"/>
                    <w:textAlignment w:val="center"/>
                    <w:rPr>
                      <w:color w:val="auto"/>
                      <w:szCs w:val="21"/>
                    </w:rPr>
                  </w:pPr>
                  <w:r>
                    <w:rPr>
                      <w:rFonts w:hint="eastAsia"/>
                      <w:color w:val="auto"/>
                      <w:szCs w:val="21"/>
                    </w:rPr>
                    <w:t>50</w:t>
                  </w:r>
                </w:p>
              </w:tc>
              <w:tc>
                <w:tcPr>
                  <w:tcW w:w="487" w:type="pct"/>
                  <w:vMerge w:val="continue"/>
                  <w:tcBorders>
                    <w:tl2br w:val="nil"/>
                    <w:tr2bl w:val="nil"/>
                  </w:tcBorders>
                  <w:shd w:val="clear" w:color="auto" w:fill="auto"/>
                  <w:vAlign w:val="center"/>
                </w:tcPr>
                <w:p>
                  <w:pPr>
                    <w:shd w:val="clear"/>
                    <w:ind w:left="-42" w:leftChars="-20" w:right="-42" w:rightChars="-20"/>
                    <w:jc w:val="center"/>
                    <w:textAlignment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3"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57" w:type="pct"/>
                  <w:vMerge w:val="continue"/>
                  <w:tcBorders>
                    <w:tl2br w:val="nil"/>
                    <w:tr2bl w:val="nil"/>
                  </w:tcBorders>
                  <w:vAlign w:val="center"/>
                </w:tcPr>
                <w:p>
                  <w:pPr>
                    <w:shd w:val="clear"/>
                    <w:jc w:val="center"/>
                    <w:rPr>
                      <w:color w:val="auto"/>
                      <w:szCs w:val="21"/>
                    </w:rPr>
                  </w:pPr>
                </w:p>
              </w:tc>
              <w:tc>
                <w:tcPr>
                  <w:tcW w:w="512" w:type="pct"/>
                  <w:tcBorders>
                    <w:tl2br w:val="nil"/>
                    <w:tr2bl w:val="nil"/>
                  </w:tcBorders>
                  <w:vAlign w:val="center"/>
                </w:tcPr>
                <w:p>
                  <w:pPr>
                    <w:shd w:val="clear"/>
                    <w:adjustRightInd w:val="0"/>
                    <w:snapToGrid w:val="0"/>
                    <w:jc w:val="center"/>
                    <w:rPr>
                      <w:color w:val="auto"/>
                      <w:szCs w:val="21"/>
                      <w:shd w:val="clear" w:color="auto" w:fill="FFFFFF"/>
                    </w:rPr>
                  </w:pPr>
                  <w:r>
                    <w:rPr>
                      <w:rFonts w:hint="eastAsia" w:cs="宋体"/>
                      <w:color w:val="auto"/>
                      <w:kern w:val="0"/>
                      <w:szCs w:val="21"/>
                    </w:rPr>
                    <w:t>玉米蒸锅</w:t>
                  </w:r>
                </w:p>
              </w:tc>
              <w:tc>
                <w:tcPr>
                  <w:tcW w:w="408" w:type="pct"/>
                  <w:tcBorders>
                    <w:tl2br w:val="nil"/>
                    <w:tr2bl w:val="nil"/>
                  </w:tcBorders>
                  <w:vAlign w:val="center"/>
                </w:tcPr>
                <w:p>
                  <w:pPr>
                    <w:shd w:val="clear"/>
                    <w:ind w:left="-42" w:leftChars="-20" w:right="-42" w:rightChars="-20"/>
                    <w:jc w:val="center"/>
                    <w:rPr>
                      <w:color w:val="auto"/>
                      <w:kern w:val="0"/>
                      <w:szCs w:val="21"/>
                    </w:rPr>
                  </w:pPr>
                  <w:r>
                    <w:rPr>
                      <w:color w:val="auto"/>
                      <w:kern w:val="0"/>
                      <w:szCs w:val="21"/>
                    </w:rPr>
                    <w:t>频发</w:t>
                  </w:r>
                </w:p>
              </w:tc>
              <w:tc>
                <w:tcPr>
                  <w:tcW w:w="391"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34" w:type="pct"/>
                  <w:tcBorders>
                    <w:tl2br w:val="nil"/>
                    <w:tr2bl w:val="nil"/>
                  </w:tcBorders>
                  <w:vAlign w:val="center"/>
                </w:tcPr>
                <w:p>
                  <w:pPr>
                    <w:shd w:val="clear"/>
                    <w:adjustRightInd w:val="0"/>
                    <w:jc w:val="center"/>
                    <w:textAlignment w:val="baseline"/>
                    <w:rPr>
                      <w:snapToGrid w:val="0"/>
                      <w:color w:val="auto"/>
                      <w:kern w:val="0"/>
                      <w:szCs w:val="21"/>
                    </w:rPr>
                  </w:pPr>
                  <w:r>
                    <w:rPr>
                      <w:rFonts w:hint="eastAsia"/>
                      <w:snapToGrid w:val="0"/>
                      <w:color w:val="auto"/>
                      <w:kern w:val="0"/>
                      <w:szCs w:val="21"/>
                    </w:rPr>
                    <w:t>7</w:t>
                  </w:r>
                  <w:r>
                    <w:rPr>
                      <w:snapToGrid w:val="0"/>
                      <w:color w:val="auto"/>
                      <w:kern w:val="0"/>
                      <w:szCs w:val="21"/>
                    </w:rPr>
                    <w:t>0</w:t>
                  </w:r>
                </w:p>
              </w:tc>
              <w:tc>
                <w:tcPr>
                  <w:tcW w:w="478"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524" w:type="pct"/>
                  <w:tcBorders>
                    <w:tl2br w:val="nil"/>
                    <w:tr2bl w:val="nil"/>
                  </w:tcBorders>
                  <w:vAlign w:val="center"/>
                </w:tcPr>
                <w:p>
                  <w:pPr>
                    <w:shd w:val="clear"/>
                    <w:ind w:left="-42" w:leftChars="-20" w:right="-42" w:rightChars="-20"/>
                    <w:jc w:val="center"/>
                    <w:textAlignment w:val="center"/>
                    <w:rPr>
                      <w:color w:val="auto"/>
                      <w:szCs w:val="21"/>
                    </w:rPr>
                  </w:pPr>
                  <w:r>
                    <w:rPr>
                      <w:rFonts w:hint="eastAsia"/>
                      <w:color w:val="auto"/>
                      <w:szCs w:val="21"/>
                    </w:rPr>
                    <w:t>2</w:t>
                  </w:r>
                  <w:r>
                    <w:rPr>
                      <w:color w:val="auto"/>
                      <w:szCs w:val="21"/>
                    </w:rPr>
                    <w:t>0</w:t>
                  </w:r>
                </w:p>
              </w:tc>
              <w:tc>
                <w:tcPr>
                  <w:tcW w:w="460"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83" w:type="pct"/>
                  <w:tcBorders>
                    <w:tl2br w:val="nil"/>
                    <w:tr2bl w:val="nil"/>
                  </w:tcBorders>
                  <w:vAlign w:val="center"/>
                </w:tcPr>
                <w:p>
                  <w:pPr>
                    <w:shd w:val="clear"/>
                    <w:ind w:left="-42" w:leftChars="-20" w:right="-42" w:rightChars="-20"/>
                    <w:jc w:val="center"/>
                    <w:textAlignment w:val="center"/>
                    <w:rPr>
                      <w:color w:val="auto"/>
                      <w:szCs w:val="21"/>
                    </w:rPr>
                  </w:pPr>
                  <w:r>
                    <w:rPr>
                      <w:rFonts w:hint="eastAsia"/>
                      <w:color w:val="auto"/>
                      <w:szCs w:val="21"/>
                    </w:rPr>
                    <w:t>5</w:t>
                  </w:r>
                  <w:r>
                    <w:rPr>
                      <w:color w:val="auto"/>
                      <w:szCs w:val="21"/>
                    </w:rPr>
                    <w:t>0</w:t>
                  </w:r>
                </w:p>
              </w:tc>
              <w:tc>
                <w:tcPr>
                  <w:tcW w:w="487" w:type="pct"/>
                  <w:vMerge w:val="continue"/>
                  <w:tcBorders>
                    <w:tl2br w:val="nil"/>
                    <w:tr2bl w:val="nil"/>
                  </w:tcBorders>
                  <w:shd w:val="clear" w:color="auto" w:fill="auto"/>
                  <w:vAlign w:val="center"/>
                </w:tcPr>
                <w:p>
                  <w:pPr>
                    <w:shd w:val="clear"/>
                    <w:ind w:left="-42" w:leftChars="-20" w:right="-42" w:rightChars="-20"/>
                    <w:jc w:val="center"/>
                    <w:textAlignment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3"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57" w:type="pct"/>
                  <w:vMerge w:val="continue"/>
                  <w:tcBorders>
                    <w:tl2br w:val="nil"/>
                    <w:tr2bl w:val="nil"/>
                  </w:tcBorders>
                  <w:vAlign w:val="center"/>
                </w:tcPr>
                <w:p>
                  <w:pPr>
                    <w:shd w:val="clear"/>
                    <w:jc w:val="center"/>
                    <w:rPr>
                      <w:color w:val="auto"/>
                      <w:szCs w:val="21"/>
                    </w:rPr>
                  </w:pPr>
                </w:p>
              </w:tc>
              <w:tc>
                <w:tcPr>
                  <w:tcW w:w="512" w:type="pct"/>
                  <w:tcBorders>
                    <w:tl2br w:val="nil"/>
                    <w:tr2bl w:val="nil"/>
                  </w:tcBorders>
                  <w:vAlign w:val="center"/>
                </w:tcPr>
                <w:p>
                  <w:pPr>
                    <w:shd w:val="clear"/>
                    <w:adjustRightInd w:val="0"/>
                    <w:snapToGrid w:val="0"/>
                    <w:jc w:val="center"/>
                    <w:rPr>
                      <w:color w:val="auto"/>
                      <w:szCs w:val="21"/>
                      <w:shd w:val="clear" w:color="auto" w:fill="FFFFFF"/>
                    </w:rPr>
                  </w:pPr>
                  <w:r>
                    <w:rPr>
                      <w:rFonts w:hint="eastAsia"/>
                      <w:color w:val="auto"/>
                      <w:szCs w:val="21"/>
                      <w:shd w:val="clear" w:color="auto" w:fill="FFFFFF"/>
                    </w:rPr>
                    <w:t>风机</w:t>
                  </w:r>
                </w:p>
              </w:tc>
              <w:tc>
                <w:tcPr>
                  <w:tcW w:w="408" w:type="pct"/>
                  <w:tcBorders>
                    <w:tl2br w:val="nil"/>
                    <w:tr2bl w:val="nil"/>
                  </w:tcBorders>
                  <w:vAlign w:val="center"/>
                </w:tcPr>
                <w:p>
                  <w:pPr>
                    <w:shd w:val="clear"/>
                    <w:ind w:left="-42" w:leftChars="-20" w:right="-42" w:rightChars="-20"/>
                    <w:jc w:val="center"/>
                    <w:rPr>
                      <w:color w:val="auto"/>
                      <w:kern w:val="0"/>
                      <w:szCs w:val="21"/>
                    </w:rPr>
                  </w:pPr>
                  <w:r>
                    <w:rPr>
                      <w:color w:val="auto"/>
                      <w:kern w:val="0"/>
                      <w:szCs w:val="21"/>
                    </w:rPr>
                    <w:t>频发</w:t>
                  </w:r>
                </w:p>
              </w:tc>
              <w:tc>
                <w:tcPr>
                  <w:tcW w:w="391"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34" w:type="pct"/>
                  <w:tcBorders>
                    <w:tl2br w:val="nil"/>
                    <w:tr2bl w:val="nil"/>
                  </w:tcBorders>
                  <w:vAlign w:val="center"/>
                </w:tcPr>
                <w:p>
                  <w:pPr>
                    <w:shd w:val="clear"/>
                    <w:adjustRightInd w:val="0"/>
                    <w:jc w:val="center"/>
                    <w:textAlignment w:val="baseline"/>
                    <w:rPr>
                      <w:snapToGrid w:val="0"/>
                      <w:color w:val="auto"/>
                      <w:kern w:val="0"/>
                      <w:szCs w:val="21"/>
                    </w:rPr>
                  </w:pPr>
                  <w:r>
                    <w:rPr>
                      <w:rFonts w:hint="eastAsia"/>
                      <w:snapToGrid w:val="0"/>
                      <w:color w:val="auto"/>
                      <w:kern w:val="0"/>
                      <w:szCs w:val="21"/>
                    </w:rPr>
                    <w:t>85</w:t>
                  </w:r>
                </w:p>
              </w:tc>
              <w:tc>
                <w:tcPr>
                  <w:tcW w:w="478"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524" w:type="pct"/>
                  <w:tcBorders>
                    <w:tl2br w:val="nil"/>
                    <w:tr2bl w:val="nil"/>
                  </w:tcBorders>
                  <w:vAlign w:val="center"/>
                </w:tcPr>
                <w:p>
                  <w:pPr>
                    <w:shd w:val="clear"/>
                    <w:ind w:left="-42" w:leftChars="-20" w:right="-42" w:rightChars="-20"/>
                    <w:jc w:val="center"/>
                    <w:textAlignment w:val="center"/>
                    <w:rPr>
                      <w:color w:val="auto"/>
                      <w:szCs w:val="21"/>
                    </w:rPr>
                  </w:pPr>
                  <w:r>
                    <w:rPr>
                      <w:rFonts w:hint="eastAsia"/>
                      <w:color w:val="auto"/>
                      <w:szCs w:val="21"/>
                    </w:rPr>
                    <w:t>20</w:t>
                  </w:r>
                </w:p>
              </w:tc>
              <w:tc>
                <w:tcPr>
                  <w:tcW w:w="460"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83" w:type="pct"/>
                  <w:tcBorders>
                    <w:tl2br w:val="nil"/>
                    <w:tr2bl w:val="nil"/>
                  </w:tcBorders>
                  <w:vAlign w:val="center"/>
                </w:tcPr>
                <w:p>
                  <w:pPr>
                    <w:shd w:val="clear"/>
                    <w:ind w:left="-42" w:leftChars="-20" w:right="-42" w:rightChars="-20"/>
                    <w:jc w:val="center"/>
                    <w:textAlignment w:val="center"/>
                    <w:rPr>
                      <w:color w:val="auto"/>
                      <w:szCs w:val="21"/>
                    </w:rPr>
                  </w:pPr>
                  <w:r>
                    <w:rPr>
                      <w:rFonts w:hint="eastAsia"/>
                      <w:color w:val="auto"/>
                      <w:szCs w:val="21"/>
                    </w:rPr>
                    <w:t>65</w:t>
                  </w:r>
                </w:p>
              </w:tc>
              <w:tc>
                <w:tcPr>
                  <w:tcW w:w="487" w:type="pct"/>
                  <w:vMerge w:val="continue"/>
                  <w:tcBorders>
                    <w:tl2br w:val="nil"/>
                    <w:tr2bl w:val="nil"/>
                  </w:tcBorders>
                  <w:shd w:val="clear" w:color="auto" w:fill="auto"/>
                  <w:vAlign w:val="center"/>
                </w:tcPr>
                <w:p>
                  <w:pPr>
                    <w:shd w:val="clear"/>
                    <w:ind w:left="-42" w:leftChars="-20" w:right="-42" w:rightChars="-20"/>
                    <w:jc w:val="center"/>
                    <w:textAlignment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3"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57" w:type="pct"/>
                  <w:vMerge w:val="continue"/>
                  <w:tcBorders>
                    <w:tl2br w:val="nil"/>
                    <w:tr2bl w:val="nil"/>
                  </w:tcBorders>
                  <w:vAlign w:val="center"/>
                </w:tcPr>
                <w:p>
                  <w:pPr>
                    <w:shd w:val="clear"/>
                    <w:jc w:val="center"/>
                    <w:rPr>
                      <w:color w:val="auto"/>
                      <w:szCs w:val="21"/>
                    </w:rPr>
                  </w:pPr>
                </w:p>
              </w:tc>
              <w:tc>
                <w:tcPr>
                  <w:tcW w:w="512" w:type="pct"/>
                  <w:tcBorders>
                    <w:tl2br w:val="nil"/>
                    <w:tr2bl w:val="nil"/>
                  </w:tcBorders>
                  <w:vAlign w:val="center"/>
                </w:tcPr>
                <w:p>
                  <w:pPr>
                    <w:shd w:val="clear"/>
                    <w:adjustRightInd w:val="0"/>
                    <w:snapToGrid w:val="0"/>
                    <w:jc w:val="center"/>
                    <w:rPr>
                      <w:color w:val="auto"/>
                      <w:szCs w:val="21"/>
                      <w:shd w:val="clear" w:color="auto" w:fill="FFFFFF"/>
                    </w:rPr>
                  </w:pPr>
                  <w:r>
                    <w:rPr>
                      <w:rFonts w:hint="eastAsia"/>
                      <w:color w:val="auto"/>
                      <w:szCs w:val="21"/>
                      <w:shd w:val="clear" w:color="auto" w:fill="FFFFFF"/>
                    </w:rPr>
                    <w:t>水泵</w:t>
                  </w:r>
                </w:p>
              </w:tc>
              <w:tc>
                <w:tcPr>
                  <w:tcW w:w="408" w:type="pct"/>
                  <w:tcBorders>
                    <w:tl2br w:val="nil"/>
                    <w:tr2bl w:val="nil"/>
                  </w:tcBorders>
                  <w:vAlign w:val="center"/>
                </w:tcPr>
                <w:p>
                  <w:pPr>
                    <w:shd w:val="clear"/>
                    <w:ind w:left="-42" w:leftChars="-20" w:right="-42" w:rightChars="-20"/>
                    <w:jc w:val="center"/>
                    <w:rPr>
                      <w:color w:val="auto"/>
                      <w:kern w:val="0"/>
                      <w:szCs w:val="21"/>
                    </w:rPr>
                  </w:pPr>
                  <w:r>
                    <w:rPr>
                      <w:color w:val="auto"/>
                      <w:kern w:val="0"/>
                      <w:szCs w:val="21"/>
                    </w:rPr>
                    <w:t>频发</w:t>
                  </w:r>
                </w:p>
              </w:tc>
              <w:tc>
                <w:tcPr>
                  <w:tcW w:w="391"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34" w:type="pct"/>
                  <w:tcBorders>
                    <w:tl2br w:val="nil"/>
                    <w:tr2bl w:val="nil"/>
                  </w:tcBorders>
                  <w:vAlign w:val="center"/>
                </w:tcPr>
                <w:p>
                  <w:pPr>
                    <w:shd w:val="clear"/>
                    <w:adjustRightInd w:val="0"/>
                    <w:jc w:val="center"/>
                    <w:textAlignment w:val="baseline"/>
                    <w:rPr>
                      <w:snapToGrid w:val="0"/>
                      <w:color w:val="auto"/>
                      <w:kern w:val="0"/>
                      <w:szCs w:val="21"/>
                    </w:rPr>
                  </w:pPr>
                  <w:r>
                    <w:rPr>
                      <w:rFonts w:hint="eastAsia"/>
                      <w:snapToGrid w:val="0"/>
                      <w:color w:val="auto"/>
                      <w:kern w:val="0"/>
                      <w:szCs w:val="21"/>
                    </w:rPr>
                    <w:t>70</w:t>
                  </w:r>
                </w:p>
              </w:tc>
              <w:tc>
                <w:tcPr>
                  <w:tcW w:w="478"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524" w:type="pct"/>
                  <w:tcBorders>
                    <w:tl2br w:val="nil"/>
                    <w:tr2bl w:val="nil"/>
                  </w:tcBorders>
                  <w:vAlign w:val="center"/>
                </w:tcPr>
                <w:p>
                  <w:pPr>
                    <w:shd w:val="clear"/>
                    <w:ind w:left="-42" w:leftChars="-20" w:right="-42" w:rightChars="-20"/>
                    <w:jc w:val="center"/>
                    <w:textAlignment w:val="center"/>
                    <w:rPr>
                      <w:color w:val="auto"/>
                      <w:szCs w:val="21"/>
                    </w:rPr>
                  </w:pPr>
                  <w:r>
                    <w:rPr>
                      <w:rFonts w:hint="eastAsia"/>
                      <w:color w:val="auto"/>
                      <w:szCs w:val="21"/>
                    </w:rPr>
                    <w:t>20</w:t>
                  </w:r>
                </w:p>
              </w:tc>
              <w:tc>
                <w:tcPr>
                  <w:tcW w:w="460" w:type="pct"/>
                  <w:vMerge w:val="continue"/>
                  <w:tcBorders>
                    <w:tl2br w:val="nil"/>
                    <w:tr2bl w:val="nil"/>
                  </w:tcBorders>
                  <w:vAlign w:val="center"/>
                </w:tcPr>
                <w:p>
                  <w:pPr>
                    <w:shd w:val="clear"/>
                    <w:ind w:left="-42" w:leftChars="-20" w:right="-42" w:rightChars="-20"/>
                    <w:jc w:val="center"/>
                    <w:textAlignment w:val="center"/>
                    <w:rPr>
                      <w:color w:val="auto"/>
                      <w:szCs w:val="21"/>
                    </w:rPr>
                  </w:pPr>
                </w:p>
              </w:tc>
              <w:tc>
                <w:tcPr>
                  <w:tcW w:w="483" w:type="pct"/>
                  <w:tcBorders>
                    <w:tl2br w:val="nil"/>
                    <w:tr2bl w:val="nil"/>
                  </w:tcBorders>
                  <w:vAlign w:val="center"/>
                </w:tcPr>
                <w:p>
                  <w:pPr>
                    <w:shd w:val="clear"/>
                    <w:ind w:left="-42" w:leftChars="-20" w:right="-42" w:rightChars="-20"/>
                    <w:jc w:val="center"/>
                    <w:textAlignment w:val="center"/>
                    <w:rPr>
                      <w:color w:val="auto"/>
                      <w:szCs w:val="21"/>
                    </w:rPr>
                  </w:pPr>
                  <w:r>
                    <w:rPr>
                      <w:rFonts w:hint="eastAsia"/>
                      <w:color w:val="auto"/>
                      <w:szCs w:val="21"/>
                    </w:rPr>
                    <w:t>50</w:t>
                  </w:r>
                </w:p>
              </w:tc>
              <w:tc>
                <w:tcPr>
                  <w:tcW w:w="487" w:type="pct"/>
                  <w:vMerge w:val="continue"/>
                  <w:tcBorders>
                    <w:tl2br w:val="nil"/>
                    <w:tr2bl w:val="nil"/>
                  </w:tcBorders>
                  <w:shd w:val="clear" w:color="auto" w:fill="auto"/>
                  <w:vAlign w:val="center"/>
                </w:tcPr>
                <w:p>
                  <w:pPr>
                    <w:shd w:val="clear"/>
                    <w:ind w:left="-42" w:leftChars="-20" w:right="-42" w:rightChars="-20"/>
                    <w:jc w:val="center"/>
                    <w:textAlignment w:val="center"/>
                    <w:rPr>
                      <w:color w:val="auto"/>
                      <w:szCs w:val="21"/>
                    </w:rPr>
                  </w:pPr>
                </w:p>
              </w:tc>
            </w:tr>
          </w:tbl>
          <w:p>
            <w:pPr>
              <w:keepNext w:val="0"/>
              <w:keepLines w:val="0"/>
              <w:pageBreakBefore w:val="0"/>
              <w:widowControl w:val="0"/>
              <w:shd w:val="clear"/>
              <w:kinsoku/>
              <w:wordWrap/>
              <w:overflowPunct/>
              <w:topLinePunct w:val="0"/>
              <w:autoSpaceDE/>
              <w:autoSpaceDN/>
              <w:bidi w:val="0"/>
              <w:adjustRightInd/>
              <w:snapToGrid/>
              <w:spacing w:line="360" w:lineRule="auto"/>
              <w:ind w:firstLine="484" w:firstLineChars="202"/>
              <w:jc w:val="left"/>
              <w:textAlignment w:val="auto"/>
              <w:rPr>
                <w:bCs/>
                <w:color w:val="auto"/>
                <w:sz w:val="24"/>
              </w:rPr>
            </w:pPr>
            <w:r>
              <w:rPr>
                <w:rFonts w:hint="eastAsia"/>
                <w:bCs/>
                <w:color w:val="auto"/>
                <w:sz w:val="24"/>
              </w:rPr>
              <w:t>2.噪声影响预测模式</w:t>
            </w:r>
          </w:p>
          <w:p>
            <w:pPr>
              <w:keepNext w:val="0"/>
              <w:keepLines w:val="0"/>
              <w:pageBreakBefore w:val="0"/>
              <w:widowControl w:val="0"/>
              <w:shd w:val="clear"/>
              <w:kinsoku/>
              <w:wordWrap/>
              <w:overflowPunct/>
              <w:topLinePunct w:val="0"/>
              <w:autoSpaceDE/>
              <w:autoSpaceDN/>
              <w:bidi w:val="0"/>
              <w:adjustRightInd/>
              <w:snapToGrid/>
              <w:spacing w:line="360" w:lineRule="auto"/>
              <w:ind w:firstLine="484" w:firstLineChars="202"/>
              <w:jc w:val="left"/>
              <w:textAlignment w:val="auto"/>
              <w:rPr>
                <w:color w:val="auto"/>
                <w:sz w:val="24"/>
                <w:szCs w:val="22"/>
              </w:rPr>
            </w:pPr>
            <w:r>
              <w:rPr>
                <w:rFonts w:hint="eastAsia"/>
                <w:bCs/>
                <w:color w:val="auto"/>
                <w:sz w:val="24"/>
              </w:rPr>
              <w:t>本</w:t>
            </w:r>
            <w:r>
              <w:rPr>
                <w:color w:val="auto"/>
                <w:sz w:val="24"/>
                <w:szCs w:val="22"/>
              </w:rPr>
              <w:t>项目运行期间噪声源主要为生产设备，为降低噪声对外环境的影响，应采取以下措施：</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color w:val="auto"/>
                <w:sz w:val="24"/>
                <w:szCs w:val="22"/>
              </w:rPr>
            </w:pPr>
            <w:r>
              <w:rPr>
                <w:color w:val="auto"/>
                <w:sz w:val="24"/>
                <w:szCs w:val="22"/>
              </w:rPr>
              <w:t>1）本项目已选用先进的低噪声设备，从声源上降低了设备本身噪声；</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color w:val="auto"/>
                <w:sz w:val="24"/>
                <w:szCs w:val="22"/>
              </w:rPr>
            </w:pPr>
            <w:r>
              <w:rPr>
                <w:color w:val="auto"/>
                <w:sz w:val="24"/>
                <w:szCs w:val="22"/>
              </w:rPr>
              <w:t>2）发声设备应安装高效消声器（风机），机座（颗粒机等）应设减振垫、隔声设施；消声器需加强维修或更换；加强设备的维护，确保设备处于良好的运转状态，杜绝因设备不正常运转时产生的高噪声现象</w:t>
            </w:r>
            <w:r>
              <w:rPr>
                <w:rFonts w:hint="eastAsia"/>
                <w:color w:val="auto"/>
                <w:sz w:val="24"/>
                <w:szCs w:val="22"/>
              </w:rPr>
              <w:t>。</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color w:val="auto"/>
                <w:sz w:val="24"/>
                <w:szCs w:val="22"/>
              </w:rPr>
            </w:pPr>
            <w:r>
              <w:rPr>
                <w:rFonts w:hint="eastAsia"/>
                <w:color w:val="auto"/>
                <w:sz w:val="24"/>
                <w:szCs w:val="22"/>
                <w:lang w:val="en-US" w:eastAsia="zh-CN"/>
              </w:rPr>
              <w:t>3</w:t>
            </w:r>
            <w:r>
              <w:rPr>
                <w:rFonts w:hint="eastAsia"/>
                <w:color w:val="auto"/>
                <w:sz w:val="24"/>
                <w:szCs w:val="22"/>
              </w:rPr>
              <w:t>.</w:t>
            </w:r>
            <w:r>
              <w:rPr>
                <w:color w:val="auto"/>
                <w:sz w:val="24"/>
                <w:szCs w:val="22"/>
              </w:rPr>
              <w:t>监测计划</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color w:val="auto"/>
                <w:sz w:val="24"/>
                <w:szCs w:val="22"/>
              </w:rPr>
            </w:pPr>
            <w:r>
              <w:rPr>
                <w:color w:val="auto"/>
                <w:sz w:val="24"/>
                <w:szCs w:val="22"/>
              </w:rPr>
              <w:t>根据《排污单位自行监测技术指南 总则》（HJ819-2017）并结合本项目的实际排污状况制定噪声监测计划。</w:t>
            </w:r>
          </w:p>
          <w:p>
            <w:pPr>
              <w:shd w:val="clear"/>
              <w:adjustRightInd w:val="0"/>
              <w:snapToGrid w:val="0"/>
              <w:jc w:val="center"/>
              <w:rPr>
                <w:b/>
                <w:color w:val="auto"/>
                <w:kern w:val="0"/>
                <w:sz w:val="24"/>
                <w:szCs w:val="24"/>
              </w:rPr>
            </w:pPr>
            <w:r>
              <w:rPr>
                <w:b/>
                <w:color w:val="auto"/>
                <w:kern w:val="0"/>
                <w:sz w:val="24"/>
                <w:szCs w:val="24"/>
              </w:rPr>
              <w:t>表4-</w:t>
            </w:r>
            <w:r>
              <w:rPr>
                <w:rFonts w:hint="eastAsia"/>
                <w:b/>
                <w:color w:val="auto"/>
                <w:kern w:val="0"/>
                <w:sz w:val="24"/>
                <w:szCs w:val="24"/>
              </w:rPr>
              <w:t>1</w:t>
            </w:r>
            <w:r>
              <w:rPr>
                <w:rFonts w:hint="eastAsia"/>
                <w:b/>
                <w:color w:val="auto"/>
                <w:kern w:val="0"/>
                <w:sz w:val="24"/>
                <w:szCs w:val="24"/>
                <w:lang w:val="en-US" w:eastAsia="zh-CN"/>
              </w:rPr>
              <w:t>0</w:t>
            </w:r>
            <w:r>
              <w:rPr>
                <w:rFonts w:hint="eastAsia"/>
                <w:b/>
                <w:color w:val="auto"/>
                <w:kern w:val="0"/>
                <w:sz w:val="24"/>
                <w:szCs w:val="24"/>
              </w:rPr>
              <w:t xml:space="preserve">  噪声</w:t>
            </w:r>
            <w:r>
              <w:rPr>
                <w:b/>
                <w:color w:val="auto"/>
                <w:kern w:val="0"/>
                <w:sz w:val="24"/>
                <w:szCs w:val="24"/>
              </w:rPr>
              <w:t>监测计划</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7"/>
              <w:gridCol w:w="2420"/>
              <w:gridCol w:w="2420"/>
              <w:gridCol w:w="22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tcBorders>
                    <w:tl2br w:val="nil"/>
                    <w:tr2bl w:val="nil"/>
                  </w:tcBorders>
                  <w:vAlign w:val="center"/>
                </w:tcPr>
                <w:p>
                  <w:pPr>
                    <w:shd w:val="clear"/>
                    <w:adjustRightInd w:val="0"/>
                    <w:snapToGrid w:val="0"/>
                    <w:jc w:val="center"/>
                    <w:rPr>
                      <w:color w:val="auto"/>
                      <w:szCs w:val="21"/>
                    </w:rPr>
                  </w:pPr>
                  <w:r>
                    <w:rPr>
                      <w:color w:val="auto"/>
                      <w:szCs w:val="21"/>
                    </w:rPr>
                    <w:t>项目</w:t>
                  </w:r>
                </w:p>
              </w:tc>
              <w:tc>
                <w:tcPr>
                  <w:tcW w:w="1421" w:type="pct"/>
                  <w:tcBorders>
                    <w:tl2br w:val="nil"/>
                    <w:tr2bl w:val="nil"/>
                  </w:tcBorders>
                  <w:vAlign w:val="center"/>
                </w:tcPr>
                <w:p>
                  <w:pPr>
                    <w:shd w:val="clear"/>
                    <w:adjustRightInd w:val="0"/>
                    <w:snapToGrid w:val="0"/>
                    <w:jc w:val="center"/>
                    <w:rPr>
                      <w:color w:val="auto"/>
                      <w:szCs w:val="21"/>
                    </w:rPr>
                  </w:pPr>
                  <w:r>
                    <w:rPr>
                      <w:color w:val="auto"/>
                      <w:szCs w:val="21"/>
                    </w:rPr>
                    <w:t>监测点位</w:t>
                  </w:r>
                </w:p>
              </w:tc>
              <w:tc>
                <w:tcPr>
                  <w:tcW w:w="1421" w:type="pct"/>
                  <w:tcBorders>
                    <w:tl2br w:val="nil"/>
                    <w:tr2bl w:val="nil"/>
                  </w:tcBorders>
                  <w:vAlign w:val="center"/>
                </w:tcPr>
                <w:p>
                  <w:pPr>
                    <w:shd w:val="clear"/>
                    <w:adjustRightInd w:val="0"/>
                    <w:snapToGrid w:val="0"/>
                    <w:jc w:val="center"/>
                    <w:rPr>
                      <w:color w:val="auto"/>
                      <w:szCs w:val="21"/>
                    </w:rPr>
                  </w:pPr>
                  <w:r>
                    <w:rPr>
                      <w:color w:val="auto"/>
                      <w:szCs w:val="21"/>
                    </w:rPr>
                    <w:t>监测</w:t>
                  </w:r>
                  <w:r>
                    <w:rPr>
                      <w:rFonts w:hint="eastAsia"/>
                      <w:color w:val="auto"/>
                      <w:szCs w:val="21"/>
                    </w:rPr>
                    <w:t>因子</w:t>
                  </w:r>
                </w:p>
              </w:tc>
              <w:tc>
                <w:tcPr>
                  <w:tcW w:w="1324" w:type="pct"/>
                  <w:tcBorders>
                    <w:tl2br w:val="nil"/>
                    <w:tr2bl w:val="nil"/>
                  </w:tcBorders>
                  <w:vAlign w:val="center"/>
                </w:tcPr>
                <w:p>
                  <w:pPr>
                    <w:shd w:val="clear"/>
                    <w:adjustRightInd w:val="0"/>
                    <w:snapToGrid w:val="0"/>
                    <w:jc w:val="center"/>
                    <w:rPr>
                      <w:color w:val="auto"/>
                      <w:szCs w:val="21"/>
                    </w:rPr>
                  </w:pPr>
                  <w:r>
                    <w:rPr>
                      <w:color w:val="auto"/>
                      <w:szCs w:val="21"/>
                    </w:rPr>
                    <w:t>监测频</w:t>
                  </w:r>
                  <w:r>
                    <w:rPr>
                      <w:rFonts w:hint="eastAsia"/>
                      <w:color w:val="auto"/>
                      <w:szCs w:val="21"/>
                    </w:rPr>
                    <w: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tcBorders>
                    <w:tl2br w:val="nil"/>
                    <w:tr2bl w:val="nil"/>
                  </w:tcBorders>
                  <w:vAlign w:val="center"/>
                </w:tcPr>
                <w:p>
                  <w:pPr>
                    <w:shd w:val="clear"/>
                    <w:adjustRightInd w:val="0"/>
                    <w:snapToGrid w:val="0"/>
                    <w:jc w:val="center"/>
                    <w:rPr>
                      <w:color w:val="auto"/>
                      <w:szCs w:val="21"/>
                    </w:rPr>
                  </w:pPr>
                  <w:r>
                    <w:rPr>
                      <w:color w:val="auto"/>
                      <w:szCs w:val="21"/>
                    </w:rPr>
                    <w:t>噪声</w:t>
                  </w:r>
                </w:p>
              </w:tc>
              <w:tc>
                <w:tcPr>
                  <w:tcW w:w="1421" w:type="pct"/>
                  <w:tcBorders>
                    <w:tl2br w:val="nil"/>
                    <w:tr2bl w:val="nil"/>
                  </w:tcBorders>
                  <w:vAlign w:val="center"/>
                </w:tcPr>
                <w:p>
                  <w:pPr>
                    <w:shd w:val="clear"/>
                    <w:adjustRightInd w:val="0"/>
                    <w:snapToGrid w:val="0"/>
                    <w:jc w:val="center"/>
                    <w:rPr>
                      <w:color w:val="auto"/>
                      <w:kern w:val="0"/>
                      <w:szCs w:val="21"/>
                    </w:rPr>
                  </w:pPr>
                  <w:r>
                    <w:rPr>
                      <w:color w:val="auto"/>
                      <w:kern w:val="0"/>
                      <w:szCs w:val="21"/>
                    </w:rPr>
                    <w:t>厂界四周</w:t>
                  </w:r>
                </w:p>
              </w:tc>
              <w:tc>
                <w:tcPr>
                  <w:tcW w:w="1421" w:type="pct"/>
                  <w:tcBorders>
                    <w:tl2br w:val="nil"/>
                    <w:tr2bl w:val="nil"/>
                  </w:tcBorders>
                  <w:vAlign w:val="center"/>
                </w:tcPr>
                <w:p>
                  <w:pPr>
                    <w:shd w:val="clear"/>
                    <w:adjustRightInd w:val="0"/>
                    <w:snapToGrid w:val="0"/>
                    <w:jc w:val="center"/>
                    <w:rPr>
                      <w:color w:val="auto"/>
                      <w:kern w:val="0"/>
                      <w:szCs w:val="21"/>
                    </w:rPr>
                  </w:pPr>
                  <w:r>
                    <w:rPr>
                      <w:color w:val="auto"/>
                      <w:kern w:val="0"/>
                      <w:szCs w:val="21"/>
                    </w:rPr>
                    <w:t>昼间噪声</w:t>
                  </w:r>
                </w:p>
              </w:tc>
              <w:tc>
                <w:tcPr>
                  <w:tcW w:w="1324" w:type="pct"/>
                  <w:tcBorders>
                    <w:tl2br w:val="nil"/>
                    <w:tr2bl w:val="nil"/>
                  </w:tcBorders>
                  <w:vAlign w:val="center"/>
                </w:tcPr>
                <w:p>
                  <w:pPr>
                    <w:shd w:val="clear"/>
                    <w:adjustRightInd w:val="0"/>
                    <w:snapToGrid w:val="0"/>
                    <w:jc w:val="center"/>
                    <w:rPr>
                      <w:color w:val="auto"/>
                      <w:kern w:val="0"/>
                      <w:szCs w:val="21"/>
                    </w:rPr>
                  </w:pPr>
                  <w:r>
                    <w:rPr>
                      <w:color w:val="auto"/>
                      <w:kern w:val="0"/>
                      <w:szCs w:val="21"/>
                    </w:rPr>
                    <w:t>1次/季度</w:t>
                  </w:r>
                </w:p>
              </w:tc>
            </w:tr>
          </w:tbl>
          <w:p>
            <w:pPr>
              <w:shd w:val="clear"/>
              <w:adjustRightInd w:val="0"/>
              <w:snapToGrid w:val="0"/>
              <w:spacing w:line="360" w:lineRule="auto"/>
              <w:ind w:firstLine="480" w:firstLineChars="200"/>
              <w:rPr>
                <w:bCs/>
                <w:color w:val="auto"/>
                <w:kern w:val="0"/>
                <w:sz w:val="24"/>
                <w:szCs w:val="20"/>
              </w:rPr>
            </w:pPr>
            <w:r>
              <w:rPr>
                <w:rFonts w:hint="eastAsia"/>
                <w:bCs/>
                <w:color w:val="auto"/>
                <w:kern w:val="0"/>
                <w:sz w:val="24"/>
                <w:szCs w:val="20"/>
                <w:lang w:val="en-US" w:eastAsia="zh-CN"/>
              </w:rPr>
              <w:t>4</w:t>
            </w:r>
            <w:r>
              <w:rPr>
                <w:rFonts w:hint="eastAsia"/>
                <w:bCs/>
                <w:color w:val="auto"/>
                <w:kern w:val="0"/>
                <w:sz w:val="24"/>
                <w:szCs w:val="20"/>
              </w:rPr>
              <w:t>.</w:t>
            </w:r>
            <w:r>
              <w:rPr>
                <w:color w:val="auto"/>
                <w:sz w:val="24"/>
                <w:szCs w:val="20"/>
              </w:rPr>
              <w:t>噪声影响分析</w:t>
            </w:r>
            <w:r>
              <w:rPr>
                <w:rFonts w:hint="eastAsia"/>
                <w:color w:val="auto"/>
                <w:sz w:val="24"/>
                <w:szCs w:val="20"/>
              </w:rPr>
              <w:t>结论</w:t>
            </w:r>
          </w:p>
          <w:p>
            <w:pPr>
              <w:shd w:val="clear"/>
              <w:spacing w:line="360" w:lineRule="auto"/>
              <w:ind w:firstLine="484" w:firstLineChars="202"/>
              <w:jc w:val="left"/>
              <w:rPr>
                <w:color w:val="auto"/>
                <w:sz w:val="24"/>
              </w:rPr>
            </w:pPr>
            <w:r>
              <w:rPr>
                <w:rFonts w:hint="eastAsia"/>
                <w:bCs/>
                <w:color w:val="auto"/>
                <w:sz w:val="24"/>
              </w:rPr>
              <w:t>本项目设备先选低噪声的设备，并通过在高噪声设备基础增加减震垫等措施，</w:t>
            </w:r>
            <w:r>
              <w:rPr>
                <w:bCs/>
                <w:color w:val="auto"/>
                <w:sz w:val="24"/>
              </w:rPr>
              <w:t>厂房</w:t>
            </w:r>
            <w:r>
              <w:rPr>
                <w:rFonts w:hint="eastAsia"/>
                <w:bCs/>
                <w:color w:val="auto"/>
                <w:sz w:val="24"/>
              </w:rPr>
              <w:t>封闭、</w:t>
            </w:r>
            <w:r>
              <w:rPr>
                <w:bCs/>
                <w:color w:val="auto"/>
                <w:sz w:val="24"/>
              </w:rPr>
              <w:t>隔声，</w:t>
            </w:r>
            <w:r>
              <w:rPr>
                <w:color w:val="auto"/>
                <w:sz w:val="24"/>
              </w:rPr>
              <w:t>本项目</w:t>
            </w:r>
            <w:r>
              <w:rPr>
                <w:rFonts w:hint="eastAsia"/>
                <w:color w:val="auto"/>
                <w:sz w:val="24"/>
                <w:lang w:val="en-US" w:eastAsia="zh-CN"/>
              </w:rPr>
              <w:t>西</w:t>
            </w:r>
            <w:r>
              <w:rPr>
                <w:color w:val="auto"/>
                <w:sz w:val="24"/>
              </w:rPr>
              <w:t>厂界噪声值</w:t>
            </w:r>
            <w:r>
              <w:rPr>
                <w:rFonts w:hint="eastAsia"/>
                <w:color w:val="auto"/>
                <w:sz w:val="24"/>
              </w:rPr>
              <w:t>可以</w:t>
            </w:r>
            <w:r>
              <w:rPr>
                <w:color w:val="auto"/>
                <w:sz w:val="24"/>
              </w:rPr>
              <w:t>满足</w:t>
            </w:r>
            <w:r>
              <w:rPr>
                <w:bCs/>
                <w:color w:val="auto"/>
                <w:sz w:val="24"/>
              </w:rPr>
              <w:t>《工业企业厂界环境噪声排放标准》（GB12348-2008）中</w:t>
            </w:r>
            <w:r>
              <w:rPr>
                <w:rFonts w:hint="eastAsia"/>
                <w:bCs/>
                <w:color w:val="auto"/>
                <w:sz w:val="24"/>
                <w:lang w:val="en-US" w:eastAsia="zh-CN"/>
              </w:rPr>
              <w:t>4</w:t>
            </w:r>
            <w:r>
              <w:rPr>
                <w:bCs/>
                <w:color w:val="auto"/>
                <w:sz w:val="24"/>
              </w:rPr>
              <w:t>类标准的要求，</w:t>
            </w:r>
            <w:r>
              <w:rPr>
                <w:rFonts w:hint="eastAsia"/>
                <w:bCs/>
                <w:color w:val="auto"/>
                <w:sz w:val="24"/>
                <w:lang w:val="en-US" w:eastAsia="zh-CN"/>
              </w:rPr>
              <w:t>其余厂界</w:t>
            </w:r>
            <w:r>
              <w:rPr>
                <w:bCs/>
                <w:color w:val="auto"/>
                <w:sz w:val="24"/>
                <w:szCs w:val="21"/>
              </w:rPr>
              <w:t>噪声满足</w:t>
            </w:r>
            <w:r>
              <w:rPr>
                <w:bCs/>
                <w:color w:val="auto"/>
                <w:sz w:val="24"/>
              </w:rPr>
              <w:t>《工业企业厂界环境噪声排放标准》（GB12348-2008）</w:t>
            </w:r>
            <w:r>
              <w:rPr>
                <w:bCs/>
                <w:color w:val="auto"/>
                <w:sz w:val="24"/>
                <w:szCs w:val="21"/>
              </w:rPr>
              <w:t>中2类标准</w:t>
            </w:r>
            <w:r>
              <w:rPr>
                <w:color w:val="auto"/>
                <w:sz w:val="24"/>
              </w:rPr>
              <w:t>，对周围声环境影响较小。</w:t>
            </w:r>
          </w:p>
          <w:p>
            <w:pPr>
              <w:shd w:val="clear"/>
              <w:adjustRightInd w:val="0"/>
              <w:snapToGrid w:val="0"/>
              <w:spacing w:line="360" w:lineRule="auto"/>
              <w:ind w:firstLine="482" w:firstLineChars="200"/>
              <w:rPr>
                <w:b/>
                <w:color w:val="auto"/>
                <w:kern w:val="0"/>
                <w:sz w:val="24"/>
                <w:szCs w:val="20"/>
              </w:rPr>
            </w:pPr>
            <w:r>
              <w:rPr>
                <w:rFonts w:hint="eastAsia"/>
                <w:b/>
                <w:color w:val="auto"/>
                <w:kern w:val="0"/>
                <w:sz w:val="24"/>
                <w:szCs w:val="20"/>
              </w:rPr>
              <w:t>四</w:t>
            </w:r>
            <w:r>
              <w:rPr>
                <w:b/>
                <w:color w:val="auto"/>
                <w:kern w:val="0"/>
                <w:sz w:val="24"/>
                <w:szCs w:val="20"/>
              </w:rPr>
              <w:t>、固体废物</w:t>
            </w:r>
          </w:p>
          <w:p>
            <w:pPr>
              <w:shd w:val="clear"/>
              <w:spacing w:line="360" w:lineRule="auto"/>
              <w:ind w:firstLine="480" w:firstLineChars="200"/>
              <w:jc w:val="left"/>
              <w:rPr>
                <w:color w:val="auto"/>
                <w:sz w:val="24"/>
              </w:rPr>
            </w:pPr>
            <w:r>
              <w:rPr>
                <w:color w:val="auto"/>
                <w:sz w:val="24"/>
              </w:rPr>
              <w:t>1</w:t>
            </w:r>
            <w:r>
              <w:rPr>
                <w:rFonts w:hint="eastAsia"/>
                <w:color w:val="auto"/>
                <w:sz w:val="24"/>
              </w:rPr>
              <w:t>.</w:t>
            </w:r>
            <w:r>
              <w:rPr>
                <w:color w:val="auto"/>
                <w:sz w:val="24"/>
              </w:rPr>
              <w:t>固体废物产生及排放情况</w:t>
            </w:r>
          </w:p>
          <w:p>
            <w:pPr>
              <w:shd w:val="clear"/>
              <w:adjustRightInd w:val="0"/>
              <w:snapToGrid w:val="0"/>
              <w:jc w:val="center"/>
              <w:rPr>
                <w:rFonts w:ascii="Times New Roman" w:hAnsi="Times New Roman" w:eastAsia="宋体" w:cs="Times New Roman"/>
                <w:b/>
                <w:color w:val="auto"/>
                <w:kern w:val="0"/>
                <w:sz w:val="24"/>
                <w:szCs w:val="24"/>
              </w:rPr>
            </w:pPr>
            <w:r>
              <w:rPr>
                <w:rFonts w:ascii="Times New Roman" w:hAnsi="Times New Roman" w:eastAsia="宋体" w:cs="Times New Roman"/>
                <w:b/>
                <w:color w:val="auto"/>
                <w:kern w:val="0"/>
                <w:sz w:val="24"/>
                <w:szCs w:val="24"/>
              </w:rPr>
              <w:t>表4-1</w:t>
            </w:r>
            <w:r>
              <w:rPr>
                <w:rFonts w:hint="eastAsia" w:ascii="Times New Roman" w:hAnsi="Times New Roman" w:eastAsia="宋体" w:cs="Times New Roman"/>
                <w:b/>
                <w:color w:val="auto"/>
                <w:kern w:val="0"/>
                <w:sz w:val="24"/>
                <w:szCs w:val="24"/>
                <w:lang w:val="en-US" w:eastAsia="zh-CN"/>
              </w:rPr>
              <w:t>1</w:t>
            </w:r>
            <w:r>
              <w:rPr>
                <w:rFonts w:ascii="Times New Roman" w:hAnsi="Times New Roman" w:eastAsia="宋体" w:cs="Times New Roman"/>
                <w:b/>
                <w:color w:val="auto"/>
                <w:kern w:val="0"/>
                <w:sz w:val="24"/>
                <w:szCs w:val="24"/>
              </w:rPr>
              <w:t xml:space="preserve">  固体废物污染源源强核算结果及相关参数一览表</w:t>
            </w:r>
          </w:p>
          <w:tbl>
            <w:tblPr>
              <w:tblStyle w:val="2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36"/>
              <w:gridCol w:w="671"/>
              <w:gridCol w:w="957"/>
              <w:gridCol w:w="1229"/>
              <w:gridCol w:w="625"/>
              <w:gridCol w:w="715"/>
              <w:gridCol w:w="1103"/>
              <w:gridCol w:w="548"/>
              <w:gridCol w:w="991"/>
              <w:gridCol w:w="12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56" w:type="pct"/>
                  <w:vMerge w:val="restar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工序</w:t>
                  </w:r>
                </w:p>
              </w:tc>
              <w:tc>
                <w:tcPr>
                  <w:tcW w:w="394" w:type="pct"/>
                  <w:vMerge w:val="restar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装置</w:t>
                  </w:r>
                </w:p>
              </w:tc>
              <w:tc>
                <w:tcPr>
                  <w:tcW w:w="562" w:type="pct"/>
                  <w:vMerge w:val="restar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固体废物名称</w:t>
                  </w:r>
                </w:p>
              </w:tc>
              <w:tc>
                <w:tcPr>
                  <w:tcW w:w="722" w:type="pct"/>
                  <w:vMerge w:val="restar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固废代码</w:t>
                  </w:r>
                </w:p>
              </w:tc>
              <w:tc>
                <w:tcPr>
                  <w:tcW w:w="367" w:type="pct"/>
                  <w:vMerge w:val="restar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固体废物属性</w:t>
                  </w:r>
                </w:p>
              </w:tc>
              <w:tc>
                <w:tcPr>
                  <w:tcW w:w="1068" w:type="pct"/>
                  <w:gridSpan w:val="2"/>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产生情况</w:t>
                  </w:r>
                </w:p>
              </w:tc>
              <w:tc>
                <w:tcPr>
                  <w:tcW w:w="904" w:type="pct"/>
                  <w:gridSpan w:val="2"/>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处置措施</w:t>
                  </w:r>
                </w:p>
              </w:tc>
              <w:tc>
                <w:tcPr>
                  <w:tcW w:w="723" w:type="pct"/>
                  <w:vMerge w:val="restar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最终</w:t>
                  </w:r>
                </w:p>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56"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394"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562"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722"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367"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420"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核算</w:t>
                  </w:r>
                </w:p>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方法</w:t>
                  </w:r>
                </w:p>
              </w:tc>
              <w:tc>
                <w:tcPr>
                  <w:tcW w:w="648"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产生量t/a</w:t>
                  </w:r>
                </w:p>
              </w:tc>
              <w:tc>
                <w:tcPr>
                  <w:tcW w:w="32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工艺</w:t>
                  </w:r>
                </w:p>
              </w:tc>
              <w:tc>
                <w:tcPr>
                  <w:tcW w:w="58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处置量t/a</w:t>
                  </w:r>
                </w:p>
              </w:tc>
              <w:tc>
                <w:tcPr>
                  <w:tcW w:w="723"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56"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生活区</w:t>
                  </w:r>
                </w:p>
              </w:tc>
              <w:tc>
                <w:tcPr>
                  <w:tcW w:w="394"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垃圾箱</w:t>
                  </w:r>
                </w:p>
              </w:tc>
              <w:tc>
                <w:tcPr>
                  <w:tcW w:w="56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w:t>
                  </w:r>
                </w:p>
              </w:tc>
              <w:tc>
                <w:tcPr>
                  <w:tcW w:w="722" w:type="pct"/>
                  <w:tcBorders>
                    <w:tl2br w:val="nil"/>
                    <w:tr2bl w:val="nil"/>
                  </w:tcBorders>
                  <w:shd w:val="clear" w:color="auto" w:fill="auto"/>
                  <w:vAlign w:val="center"/>
                </w:tcPr>
                <w:p>
                  <w:pPr>
                    <w:widowControl/>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67" w:type="pct"/>
                  <w:tcBorders>
                    <w:tl2br w:val="nil"/>
                    <w:tr2bl w:val="nil"/>
                  </w:tcBorders>
                  <w:shd w:val="clear" w:color="auto" w:fill="auto"/>
                  <w:vAlign w:val="center"/>
                </w:tcPr>
                <w:p>
                  <w:pPr>
                    <w:widowControl/>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w:t>
                  </w:r>
                </w:p>
              </w:tc>
              <w:tc>
                <w:tcPr>
                  <w:tcW w:w="420"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类比法</w:t>
                  </w:r>
                </w:p>
              </w:tc>
              <w:tc>
                <w:tcPr>
                  <w:tcW w:w="648"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6.75</w:t>
                  </w:r>
                </w:p>
              </w:tc>
              <w:tc>
                <w:tcPr>
                  <w:tcW w:w="322" w:type="pct"/>
                  <w:vMerge w:val="restart"/>
                  <w:tcBorders>
                    <w:tl2br w:val="nil"/>
                    <w:tr2bl w:val="nil"/>
                  </w:tcBorders>
                  <w:shd w:val="clear" w:color="auto" w:fill="auto"/>
                  <w:vAlign w:val="center"/>
                </w:tcPr>
                <w:p>
                  <w:pPr>
                    <w:shd w:val="clear"/>
                    <w:jc w:val="center"/>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w:t>
                  </w:r>
                </w:p>
              </w:tc>
              <w:tc>
                <w:tcPr>
                  <w:tcW w:w="582"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6.75</w:t>
                  </w:r>
                </w:p>
              </w:tc>
              <w:tc>
                <w:tcPr>
                  <w:tcW w:w="723"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市政环卫统一处置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56" w:type="pct"/>
                  <w:vMerge w:val="restar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生产区</w:t>
                  </w:r>
                </w:p>
              </w:tc>
              <w:tc>
                <w:tcPr>
                  <w:tcW w:w="394" w:type="pct"/>
                  <w:vMerge w:val="restar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生产线</w:t>
                  </w:r>
                </w:p>
              </w:tc>
              <w:tc>
                <w:tcPr>
                  <w:tcW w:w="56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废纸箱及废包装袋</w:t>
                  </w:r>
                </w:p>
              </w:tc>
              <w:tc>
                <w:tcPr>
                  <w:tcW w:w="72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130-001-39</w:t>
                  </w:r>
                </w:p>
              </w:tc>
              <w:tc>
                <w:tcPr>
                  <w:tcW w:w="367" w:type="pct"/>
                  <w:vMerge w:val="restar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一般工业固体废物</w:t>
                  </w:r>
                </w:p>
              </w:tc>
              <w:tc>
                <w:tcPr>
                  <w:tcW w:w="420"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类比法</w:t>
                  </w:r>
                </w:p>
              </w:tc>
              <w:tc>
                <w:tcPr>
                  <w:tcW w:w="648"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0.2</w:t>
                  </w:r>
                </w:p>
              </w:tc>
              <w:tc>
                <w:tcPr>
                  <w:tcW w:w="322"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pacing w:val="-6"/>
                      <w:sz w:val="21"/>
                      <w:szCs w:val="21"/>
                    </w:rPr>
                  </w:pPr>
                </w:p>
              </w:tc>
              <w:tc>
                <w:tcPr>
                  <w:tcW w:w="582"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w:t>
                  </w:r>
                </w:p>
              </w:tc>
              <w:tc>
                <w:tcPr>
                  <w:tcW w:w="723"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集中收集，外售综合利用。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56"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394"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56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玉米叶、玉米须</w:t>
                  </w:r>
                </w:p>
              </w:tc>
              <w:tc>
                <w:tcPr>
                  <w:tcW w:w="72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130-001-34</w:t>
                  </w:r>
                </w:p>
              </w:tc>
              <w:tc>
                <w:tcPr>
                  <w:tcW w:w="367"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420"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系数法</w:t>
                  </w:r>
                </w:p>
              </w:tc>
              <w:tc>
                <w:tcPr>
                  <w:tcW w:w="648"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7.2</w:t>
                  </w:r>
                </w:p>
              </w:tc>
              <w:tc>
                <w:tcPr>
                  <w:tcW w:w="322"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pacing w:val="-6"/>
                      <w:sz w:val="21"/>
                      <w:szCs w:val="21"/>
                    </w:rPr>
                  </w:pPr>
                </w:p>
              </w:tc>
              <w:tc>
                <w:tcPr>
                  <w:tcW w:w="582"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7.2</w:t>
                  </w:r>
                </w:p>
              </w:tc>
              <w:tc>
                <w:tcPr>
                  <w:tcW w:w="723"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集中收集，外售用作饲料。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394"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56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不合格的果穗、青穗</w:t>
                  </w:r>
                </w:p>
              </w:tc>
              <w:tc>
                <w:tcPr>
                  <w:tcW w:w="72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130-001-34</w:t>
                  </w:r>
                </w:p>
              </w:tc>
              <w:tc>
                <w:tcPr>
                  <w:tcW w:w="367"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420"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系数法</w:t>
                  </w:r>
                </w:p>
              </w:tc>
              <w:tc>
                <w:tcPr>
                  <w:tcW w:w="648"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360</w:t>
                  </w:r>
                </w:p>
              </w:tc>
              <w:tc>
                <w:tcPr>
                  <w:tcW w:w="322"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pacing w:val="-6"/>
                      <w:sz w:val="21"/>
                      <w:szCs w:val="21"/>
                    </w:rPr>
                  </w:pPr>
                </w:p>
              </w:tc>
              <w:tc>
                <w:tcPr>
                  <w:tcW w:w="582"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360</w:t>
                  </w:r>
                </w:p>
              </w:tc>
              <w:tc>
                <w:tcPr>
                  <w:tcW w:w="723"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集中收集，外售用作饲料。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56"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394"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56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废弃玉米段</w:t>
                  </w:r>
                </w:p>
              </w:tc>
              <w:tc>
                <w:tcPr>
                  <w:tcW w:w="72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130-001-34</w:t>
                  </w:r>
                </w:p>
              </w:tc>
              <w:tc>
                <w:tcPr>
                  <w:tcW w:w="367"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420"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系数法</w:t>
                  </w:r>
                </w:p>
              </w:tc>
              <w:tc>
                <w:tcPr>
                  <w:tcW w:w="648"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360</w:t>
                  </w:r>
                </w:p>
              </w:tc>
              <w:tc>
                <w:tcPr>
                  <w:tcW w:w="322"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pacing w:val="-6"/>
                      <w:sz w:val="21"/>
                      <w:szCs w:val="21"/>
                    </w:rPr>
                  </w:pPr>
                </w:p>
              </w:tc>
              <w:tc>
                <w:tcPr>
                  <w:tcW w:w="582"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360</w:t>
                  </w:r>
                </w:p>
              </w:tc>
              <w:tc>
                <w:tcPr>
                  <w:tcW w:w="723"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集中收集，外售用作饲料。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56"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394"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56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锅炉灰渣</w:t>
                  </w:r>
                </w:p>
              </w:tc>
              <w:tc>
                <w:tcPr>
                  <w:tcW w:w="72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eastAsia="宋体" w:cs="Times New Roman"/>
                      <w:snapToGrid w:val="0"/>
                      <w:color w:val="auto"/>
                      <w:sz w:val="21"/>
                      <w:szCs w:val="21"/>
                      <w:highlight w:val="none"/>
                      <w:lang w:val="en-US" w:eastAsia="zh-CN"/>
                    </w:rPr>
                    <w:t>443-001</w:t>
                  </w:r>
                  <w:r>
                    <w:rPr>
                      <w:rFonts w:hint="default" w:ascii="Times New Roman" w:hAnsi="Times New Roman" w:eastAsia="宋体" w:cs="Times New Roman"/>
                      <w:snapToGrid w:val="0"/>
                      <w:color w:val="auto"/>
                      <w:sz w:val="21"/>
                      <w:szCs w:val="21"/>
                      <w:highlight w:val="none"/>
                    </w:rPr>
                    <w:t>-6</w:t>
                  </w:r>
                  <w:r>
                    <w:rPr>
                      <w:rFonts w:hint="default" w:ascii="Times New Roman" w:hAnsi="Times New Roman" w:eastAsia="宋体" w:cs="Times New Roman"/>
                      <w:snapToGrid w:val="0"/>
                      <w:color w:val="auto"/>
                      <w:sz w:val="21"/>
                      <w:szCs w:val="21"/>
                      <w:highlight w:val="none"/>
                      <w:lang w:val="en-US" w:eastAsia="zh-CN"/>
                    </w:rPr>
                    <w:t>4</w:t>
                  </w:r>
                </w:p>
              </w:tc>
              <w:tc>
                <w:tcPr>
                  <w:tcW w:w="367"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420"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物料平衡法</w:t>
                  </w:r>
                </w:p>
              </w:tc>
              <w:tc>
                <w:tcPr>
                  <w:tcW w:w="648"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129.38</w:t>
                  </w:r>
                </w:p>
              </w:tc>
              <w:tc>
                <w:tcPr>
                  <w:tcW w:w="322"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pacing w:val="-6"/>
                      <w:sz w:val="21"/>
                      <w:szCs w:val="21"/>
                    </w:rPr>
                  </w:pPr>
                </w:p>
              </w:tc>
              <w:tc>
                <w:tcPr>
                  <w:tcW w:w="582"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129.38</w:t>
                  </w:r>
                </w:p>
              </w:tc>
              <w:tc>
                <w:tcPr>
                  <w:tcW w:w="723"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锅炉</w:t>
                  </w:r>
                  <w:r>
                    <w:rPr>
                      <w:rFonts w:hint="default" w:ascii="Times New Roman" w:hAnsi="Times New Roman" w:cs="Times New Roman"/>
                      <w:color w:val="auto"/>
                      <w:sz w:val="21"/>
                      <w:szCs w:val="21"/>
                    </w:rPr>
                    <w:t>灰渣暂存于灰渣</w:t>
                  </w:r>
                  <w:r>
                    <w:rPr>
                      <w:rFonts w:hint="default" w:ascii="Times New Roman" w:hAnsi="Times New Roman" w:cs="Times New Roman"/>
                      <w:color w:val="auto"/>
                      <w:sz w:val="21"/>
                      <w:szCs w:val="21"/>
                      <w:lang w:eastAsia="zh-CN"/>
                    </w:rPr>
                    <w:t>间</w:t>
                  </w:r>
                  <w:r>
                    <w:rPr>
                      <w:rFonts w:hint="default" w:ascii="Times New Roman" w:hAnsi="Times New Roman" w:cs="Times New Roman"/>
                      <w:color w:val="auto"/>
                      <w:sz w:val="21"/>
                      <w:szCs w:val="21"/>
                    </w:rPr>
                    <w:t>，外售综合利用。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394"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56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lang w:eastAsia="zh-CN"/>
                    </w:rPr>
                    <w:t>除尘器废布袋</w:t>
                  </w:r>
                </w:p>
              </w:tc>
              <w:tc>
                <w:tcPr>
                  <w:tcW w:w="72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snapToGrid w:val="0"/>
                      <w:color w:val="auto"/>
                      <w:sz w:val="21"/>
                      <w:szCs w:val="21"/>
                      <w:highlight w:val="none"/>
                      <w:lang w:val="en-US" w:eastAsia="zh-CN"/>
                    </w:rPr>
                    <w:t>4</w:t>
                  </w:r>
                  <w:r>
                    <w:rPr>
                      <w:rFonts w:hint="eastAsia" w:cs="Times New Roman"/>
                      <w:snapToGrid w:val="0"/>
                      <w:color w:val="auto"/>
                      <w:sz w:val="21"/>
                      <w:szCs w:val="21"/>
                      <w:highlight w:val="none"/>
                      <w:lang w:val="en-US" w:eastAsia="zh-CN"/>
                    </w:rPr>
                    <w:t>43</w:t>
                  </w:r>
                  <w:r>
                    <w:rPr>
                      <w:rFonts w:hint="default" w:ascii="Times New Roman" w:hAnsi="Times New Roman" w:cs="Times New Roman"/>
                      <w:snapToGrid w:val="0"/>
                      <w:color w:val="auto"/>
                      <w:sz w:val="21"/>
                      <w:szCs w:val="21"/>
                      <w:highlight w:val="none"/>
                    </w:rPr>
                    <w:t>-999-99</w:t>
                  </w:r>
                </w:p>
              </w:tc>
              <w:tc>
                <w:tcPr>
                  <w:tcW w:w="367"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420"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类比法</w:t>
                  </w:r>
                </w:p>
              </w:tc>
              <w:tc>
                <w:tcPr>
                  <w:tcW w:w="648"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0.01</w:t>
                  </w:r>
                </w:p>
              </w:tc>
              <w:tc>
                <w:tcPr>
                  <w:tcW w:w="322"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pacing w:val="-6"/>
                      <w:sz w:val="21"/>
                      <w:szCs w:val="21"/>
                    </w:rPr>
                  </w:pPr>
                </w:p>
              </w:tc>
              <w:tc>
                <w:tcPr>
                  <w:tcW w:w="582"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c>
                <w:tcPr>
                  <w:tcW w:w="723"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集中收集，由厂家回收再利用。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394"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56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废离子交换树脂</w:t>
                  </w:r>
                </w:p>
              </w:tc>
              <w:tc>
                <w:tcPr>
                  <w:tcW w:w="722"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snapToGrid w:val="0"/>
                      <w:color w:val="auto"/>
                      <w:sz w:val="21"/>
                      <w:szCs w:val="21"/>
                      <w:highlight w:val="none"/>
                      <w:lang w:val="en-US" w:eastAsia="zh-CN"/>
                    </w:rPr>
                    <w:t>443-001</w:t>
                  </w:r>
                  <w:r>
                    <w:rPr>
                      <w:rFonts w:hint="default" w:ascii="Times New Roman" w:hAnsi="Times New Roman" w:cs="Times New Roman"/>
                      <w:snapToGrid w:val="0"/>
                      <w:color w:val="auto"/>
                      <w:sz w:val="21"/>
                      <w:szCs w:val="21"/>
                      <w:highlight w:val="none"/>
                    </w:rPr>
                    <w:t>-</w:t>
                  </w:r>
                  <w:r>
                    <w:rPr>
                      <w:rFonts w:hint="default" w:ascii="Times New Roman" w:hAnsi="Times New Roman" w:cs="Times New Roman"/>
                      <w:snapToGrid w:val="0"/>
                      <w:color w:val="auto"/>
                      <w:sz w:val="21"/>
                      <w:szCs w:val="21"/>
                      <w:highlight w:val="none"/>
                      <w:lang w:val="en-US" w:eastAsia="zh-CN"/>
                    </w:rPr>
                    <w:t>99</w:t>
                  </w:r>
                </w:p>
              </w:tc>
              <w:tc>
                <w:tcPr>
                  <w:tcW w:w="367"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p>
              </w:tc>
              <w:tc>
                <w:tcPr>
                  <w:tcW w:w="420"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类比法</w:t>
                  </w:r>
                </w:p>
              </w:tc>
              <w:tc>
                <w:tcPr>
                  <w:tcW w:w="648"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0.1</w:t>
                  </w:r>
                </w:p>
              </w:tc>
              <w:tc>
                <w:tcPr>
                  <w:tcW w:w="322" w:type="pct"/>
                  <w:vMerge w:val="continue"/>
                  <w:tcBorders>
                    <w:tl2br w:val="nil"/>
                    <w:tr2bl w:val="nil"/>
                  </w:tcBorders>
                  <w:shd w:val="clear" w:color="auto" w:fill="auto"/>
                  <w:vAlign w:val="center"/>
                </w:tcPr>
                <w:p>
                  <w:pPr>
                    <w:shd w:val="clear"/>
                    <w:jc w:val="center"/>
                    <w:rPr>
                      <w:rFonts w:hint="default" w:ascii="Times New Roman" w:hAnsi="Times New Roman" w:cs="Times New Roman"/>
                      <w:color w:val="auto"/>
                      <w:spacing w:val="-6"/>
                      <w:sz w:val="21"/>
                      <w:szCs w:val="21"/>
                    </w:rPr>
                  </w:pPr>
                </w:p>
              </w:tc>
              <w:tc>
                <w:tcPr>
                  <w:tcW w:w="582" w:type="pct"/>
                  <w:tcBorders>
                    <w:tl2br w:val="nil"/>
                    <w:tr2bl w:val="nil"/>
                  </w:tcBorders>
                  <w:shd w:val="clear" w:color="auto" w:fill="auto"/>
                  <w:vAlign w:val="center"/>
                </w:tcPr>
                <w:p>
                  <w:pPr>
                    <w:shd w:val="clea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c>
                <w:tcPr>
                  <w:tcW w:w="723" w:type="pct"/>
                  <w:tcBorders>
                    <w:tl2br w:val="nil"/>
                    <w:tr2bl w:val="nil"/>
                  </w:tcBorders>
                  <w:shd w:val="clear" w:color="auto" w:fill="auto"/>
                  <w:vAlign w:val="center"/>
                </w:tcPr>
                <w:p>
                  <w:pPr>
                    <w:shd w:val="clea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集中收集，由厂家回收再利用。</w:t>
                  </w:r>
                </w:p>
              </w:tc>
            </w:tr>
          </w:tbl>
          <w:p>
            <w:pPr>
              <w:shd w:val="clear"/>
              <w:spacing w:line="360" w:lineRule="auto"/>
              <w:ind w:firstLine="480" w:firstLineChars="200"/>
              <w:rPr>
                <w:color w:val="auto"/>
                <w:sz w:val="24"/>
              </w:rPr>
            </w:pPr>
            <w:r>
              <w:rPr>
                <w:rFonts w:hint="eastAsia"/>
                <w:color w:val="auto"/>
                <w:sz w:val="24"/>
              </w:rPr>
              <w:t>2.源强计算</w:t>
            </w:r>
          </w:p>
          <w:p>
            <w:pPr>
              <w:shd w:val="clear"/>
              <w:spacing w:line="360" w:lineRule="auto"/>
              <w:ind w:firstLine="480" w:firstLineChars="200"/>
              <w:jc w:val="left"/>
              <w:rPr>
                <w:color w:val="auto"/>
                <w:sz w:val="24"/>
              </w:rPr>
            </w:pPr>
            <w:r>
              <w:rPr>
                <w:color w:val="auto"/>
                <w:sz w:val="24"/>
              </w:rPr>
              <w:t>本项目产生的固体废物为生活垃圾和生产固废。</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color w:val="auto"/>
                <w:sz w:val="24"/>
                <w:szCs w:val="24"/>
              </w:rPr>
            </w:pPr>
            <w:r>
              <w:rPr>
                <w:color w:val="auto"/>
                <w:sz w:val="24"/>
                <w:szCs w:val="24"/>
              </w:rPr>
              <w:t>（1）生活垃圾</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color w:val="auto"/>
                <w:sz w:val="24"/>
                <w:szCs w:val="24"/>
              </w:rPr>
            </w:pPr>
            <w:r>
              <w:rPr>
                <w:color w:val="auto"/>
                <w:sz w:val="24"/>
                <w:szCs w:val="24"/>
              </w:rPr>
              <w:t>本项目员工</w:t>
            </w:r>
            <w:r>
              <w:rPr>
                <w:rFonts w:hint="eastAsia"/>
                <w:color w:val="auto"/>
                <w:sz w:val="24"/>
                <w:szCs w:val="24"/>
                <w:lang w:val="en-US" w:eastAsia="zh-CN"/>
              </w:rPr>
              <w:t>150</w:t>
            </w:r>
            <w:r>
              <w:rPr>
                <w:color w:val="auto"/>
                <w:sz w:val="24"/>
                <w:szCs w:val="24"/>
              </w:rPr>
              <w:t>人，产生垃圾量按0.5kg/人·天计，本项目日产生活垃圾量为</w:t>
            </w:r>
            <w:r>
              <w:rPr>
                <w:rFonts w:hint="eastAsia"/>
                <w:color w:val="auto"/>
                <w:sz w:val="24"/>
                <w:szCs w:val="24"/>
                <w:lang w:val="en-US" w:eastAsia="zh-CN"/>
              </w:rPr>
              <w:t>75</w:t>
            </w:r>
            <w:r>
              <w:rPr>
                <w:color w:val="auto"/>
                <w:sz w:val="24"/>
                <w:szCs w:val="24"/>
              </w:rPr>
              <w:t>kg/d，年运营时间按</w:t>
            </w:r>
            <w:r>
              <w:rPr>
                <w:rFonts w:hint="eastAsia"/>
                <w:color w:val="auto"/>
                <w:sz w:val="24"/>
                <w:szCs w:val="24"/>
              </w:rPr>
              <w:t>90</w:t>
            </w:r>
            <w:r>
              <w:rPr>
                <w:color w:val="auto"/>
                <w:sz w:val="24"/>
                <w:szCs w:val="24"/>
              </w:rPr>
              <w:t>天计，则年产生垃圾量</w:t>
            </w:r>
            <w:r>
              <w:rPr>
                <w:rFonts w:hint="eastAsia"/>
                <w:color w:val="auto"/>
                <w:sz w:val="24"/>
                <w:szCs w:val="24"/>
                <w:lang w:val="en-US" w:eastAsia="zh-CN"/>
              </w:rPr>
              <w:t>6.75</w:t>
            </w:r>
            <w:r>
              <w:rPr>
                <w:color w:val="auto"/>
                <w:sz w:val="24"/>
                <w:szCs w:val="24"/>
              </w:rPr>
              <w:t>t/a。生活垃圾集中收集后，由环卫部门统一处理。</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（2）废纸箱及废包装袋</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产品包装过程中会产生废弃包装箱及包装袋，类比同类项目，废弃包装箱产生量约为0.</w:t>
            </w: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rPr>
              <w:t>t/a。集中收集外售综合利用。</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（3）玉米叶、玉米须</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rPr>
            </w:pPr>
            <w:r>
              <w:rPr>
                <w:rFonts w:hint="eastAsia"/>
                <w:color w:val="auto"/>
                <w:sz w:val="24"/>
                <w:szCs w:val="28"/>
              </w:rPr>
              <w:t>项目在剥包过程中应除净玉米须、玉米叶，产生量约为原料量1‰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玉米须、玉米叶产生量为</w:t>
            </w:r>
            <w:r>
              <w:rPr>
                <w:rFonts w:hint="eastAsia" w:cs="Times New Roman"/>
                <w:b w:val="0"/>
                <w:bCs w:val="0"/>
                <w:color w:val="auto"/>
                <w:sz w:val="24"/>
                <w:szCs w:val="24"/>
                <w:lang w:val="en-US" w:eastAsia="zh-CN"/>
              </w:rPr>
              <w:t>7.2</w:t>
            </w:r>
            <w:r>
              <w:rPr>
                <w:rFonts w:hint="default" w:ascii="Times New Roman" w:hAnsi="Times New Roman" w:cs="Times New Roman"/>
                <w:b w:val="0"/>
                <w:bCs w:val="0"/>
                <w:color w:val="auto"/>
                <w:sz w:val="24"/>
                <w:szCs w:val="24"/>
              </w:rPr>
              <w:t>t/a，集中收集，外售用作饲料。</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（4）不合格的果穗、青穗</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项目检验过程中不合格的果穗、青穗产生量约为原料量</w:t>
            </w:r>
            <w:r>
              <w:rPr>
                <w:rFonts w:hint="default" w:ascii="Times New Roman" w:hAnsi="Times New Roman" w:cs="Times New Roman"/>
                <w:b w:val="0"/>
                <w:bCs w:val="0"/>
                <w:color w:val="auto"/>
                <w:sz w:val="24"/>
                <w:szCs w:val="24"/>
                <w:lang w:val="en-US" w:eastAsia="zh-CN"/>
              </w:rPr>
              <w:t>5</w:t>
            </w:r>
            <w:r>
              <w:rPr>
                <w:rFonts w:hint="default" w:ascii="Times New Roman" w:hAnsi="Times New Roman" w:cs="Times New Roman"/>
                <w:b w:val="0"/>
                <w:bCs w:val="0"/>
                <w:color w:val="auto"/>
                <w:sz w:val="24"/>
                <w:szCs w:val="24"/>
              </w:rPr>
              <w:t>%，玉米须、玉米叶产生量为</w:t>
            </w:r>
            <w:r>
              <w:rPr>
                <w:rFonts w:hint="eastAsia" w:cs="Times New Roman"/>
                <w:b w:val="0"/>
                <w:bCs w:val="0"/>
                <w:color w:val="auto"/>
                <w:sz w:val="24"/>
                <w:szCs w:val="24"/>
                <w:lang w:val="en-US" w:eastAsia="zh-CN"/>
              </w:rPr>
              <w:t>360</w:t>
            </w:r>
            <w:r>
              <w:rPr>
                <w:rFonts w:hint="default" w:ascii="Times New Roman" w:hAnsi="Times New Roman" w:cs="Times New Roman"/>
                <w:b w:val="0"/>
                <w:bCs w:val="0"/>
                <w:color w:val="auto"/>
                <w:sz w:val="24"/>
                <w:szCs w:val="24"/>
              </w:rPr>
              <w:t>t/a，集中收集，外售用作饲料。</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（5）废弃玉米段</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项目修整过程中废弃玉米段产生量约为原料量5%，玉米须、玉米叶产生量为</w:t>
            </w:r>
            <w:r>
              <w:rPr>
                <w:rFonts w:hint="default" w:ascii="Times New Roman" w:hAnsi="Times New Roman" w:cs="Times New Roman"/>
                <w:b w:val="0"/>
                <w:bCs w:val="0"/>
                <w:color w:val="auto"/>
                <w:sz w:val="24"/>
                <w:szCs w:val="24"/>
                <w:lang w:val="en-US" w:eastAsia="zh-CN"/>
              </w:rPr>
              <w:t>225</w:t>
            </w:r>
            <w:r>
              <w:rPr>
                <w:rFonts w:hint="default" w:ascii="Times New Roman" w:hAnsi="Times New Roman" w:cs="Times New Roman"/>
                <w:b w:val="0"/>
                <w:bCs w:val="0"/>
                <w:color w:val="auto"/>
                <w:sz w:val="24"/>
                <w:szCs w:val="24"/>
              </w:rPr>
              <w:t>t/a，集中收集，外售用作饲料。</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（6）锅炉灰渣</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锅炉灰渣产生量根据《污染源源强核算技术指南—锅炉》（HJ991-2018）中固体废物源强核算</w:t>
            </w:r>
          </w:p>
          <w:p>
            <w:pPr>
              <w:keepNext w:val="0"/>
              <w:keepLines w:val="0"/>
              <w:pageBreakBefore w:val="0"/>
              <w:shd w:val="clear"/>
              <w:kinsoku/>
              <w:wordWrap/>
              <w:overflowPunct/>
              <w:topLinePunct w:val="0"/>
              <w:autoSpaceDE/>
              <w:autoSpaceDN/>
              <w:bidi w:val="0"/>
              <w:spacing w:line="360" w:lineRule="auto"/>
              <w:ind w:right="0" w:firstLine="480" w:firstLineChars="20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E</w:t>
            </w:r>
            <w:r>
              <w:rPr>
                <w:rFonts w:hint="default" w:ascii="Times New Roman" w:hAnsi="Times New Roman" w:cs="Times New Roman"/>
                <w:b w:val="0"/>
                <w:bCs w:val="0"/>
                <w:color w:val="auto"/>
                <w:sz w:val="24"/>
                <w:szCs w:val="24"/>
                <w:highlight w:val="none"/>
                <w:vertAlign w:val="subscript"/>
              </w:rPr>
              <w:t>hz</w:t>
            </w:r>
            <w:r>
              <w:rPr>
                <w:rFonts w:hint="default" w:ascii="Times New Roman" w:hAnsi="Times New Roman" w:cs="Times New Roman"/>
                <w:b w:val="0"/>
                <w:bCs w:val="0"/>
                <w:color w:val="auto"/>
                <w:sz w:val="24"/>
                <w:szCs w:val="24"/>
                <w:highlight w:val="none"/>
              </w:rPr>
              <w:t>=R</w:t>
            </w:r>
            <w:r>
              <w:rPr>
                <w:rFonts w:hint="default" w:ascii="Times New Roman" w:hAnsi="Times New Roman" w:cs="Times New Roman"/>
                <w:b w:val="0"/>
                <w:bCs w:val="0"/>
                <w:color w:val="auto"/>
                <w:sz w:val="24"/>
                <w:szCs w:val="24"/>
                <w:highlight w:val="none"/>
              </w:rPr>
              <w:fldChar w:fldCharType="begin"/>
            </w:r>
            <w:r>
              <w:rPr>
                <w:rFonts w:hint="default" w:ascii="Times New Roman" w:hAnsi="Times New Roman" w:cs="Times New Roman"/>
                <w:b w:val="0"/>
                <w:bCs w:val="0"/>
                <w:color w:val="auto"/>
                <w:sz w:val="24"/>
                <w:szCs w:val="24"/>
                <w:highlight w:val="none"/>
              </w:rPr>
              <w:instrText xml:space="preserve"> QUOTE </w:instrText>
            </w:r>
            <w:r>
              <w:rPr>
                <w:rFonts w:hint="default" w:ascii="Times New Roman" w:hAnsi="Times New Roman" w:cs="Times New Roman"/>
                <w:b w:val="0"/>
                <w:bCs w:val="0"/>
                <w:color w:val="auto"/>
                <w:position w:val="-6"/>
                <w:sz w:val="24"/>
                <w:szCs w:val="24"/>
                <w:highlight w:val="none"/>
              </w:rPr>
              <w:pict>
                <v:shape id="_x0000_i1033" o:spt="75" type="#_x0000_t75" style="height:15.7pt;width:8.1pt;" filled="f" coordsize="21600,2160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bordersDontSurroundHeader/&gt;&lt;w:bordersDontSurroundFooter/&gt;&lt;w:gutterAtTop/&gt;&lt;w:hideSpellingErrors/&gt;&lt;w:stylePaneFormatFilter w:val=&quot;3F01&quot;/&gt;&lt;w:defaultTabStop w:val=&quot;0&quot;/&gt;&lt;w:drawingGridHorizontalSpacing w:val=&quot;105&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allowPNG/&gt;&lt;w:targetScreenSz w:val=&quot;1024x768&quot;/&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ulTrailSpace/&gt;&lt;w:doNotExpandShiftReturn/&gt;&lt;w:adjustLineHeightInTable/&gt;&lt;w:snapToGridInCell/&gt;&lt;w:useFELayout/&gt;&lt;/w:compat&gt;&lt;wsp:rsids&gt;&lt;wsp:rsidRoot wsp:val=&quot;00A3744C&quot;/&gt;&lt;wsp:rsid wsp:val=&quot;000005FE&quot;/&gt;&lt;wsp:rsid wsp:val=&quot;00000E72&quot;/&gt;&lt;wsp:rsid wsp:val=&quot;00001AD6&quot;/&gt;&lt;wsp:rsid wsp:val=&quot;0000238C&quot;/&gt;&lt;wsp:rsid wsp:val=&quot;00002F9B&quot;/&gt;&lt;wsp:rsid wsp:val=&quot;00003CF2&quot;/&gt;&lt;wsp:rsid wsp:val=&quot;00004E62&quot;/&gt;&lt;wsp:rsid wsp:val=&quot;000054C3&quot;/&gt;&lt;wsp:rsid wsp:val=&quot;00005DAB&quot;/&gt;&lt;wsp:rsid wsp:val=&quot;00005DC5&quot;/&gt;&lt;wsp:rsid wsp:val=&quot;000061D4&quot;/&gt;&lt;wsp:rsid wsp:val=&quot;00006363&quot;/&gt;&lt;wsp:rsid wsp:val=&quot;00006BB0&quot;/&gt;&lt;wsp:rsid wsp:val=&quot;00006ED1&quot;/&gt;&lt;wsp:rsid wsp:val=&quot;00007CCA&quot;/&gt;&lt;wsp:rsid wsp:val=&quot;00007D3B&quot;/&gt;&lt;wsp:rsid wsp:val=&quot;00010019&quot;/&gt;&lt;wsp:rsid wsp:val=&quot;00010051&quot;/&gt;&lt;wsp:rsid wsp:val=&quot;00010161&quot;/&gt;&lt;wsp:rsid wsp:val=&quot;000101E6&quot;/&gt;&lt;wsp:rsid wsp:val=&quot;000105AD&quot;/&gt;&lt;wsp:rsid wsp:val=&quot;00010C4C&quot;/&gt;&lt;wsp:rsid wsp:val=&quot;00010E8B&quot;/&gt;&lt;wsp:rsid wsp:val=&quot;0001176D&quot;/&gt;&lt;wsp:rsid wsp:val=&quot;00011FEC&quot;/&gt;&lt;wsp:rsid wsp:val=&quot;00012D59&quot;/&gt;&lt;wsp:rsid wsp:val=&quot;0001434C&quot;/&gt;&lt;wsp:rsid wsp:val=&quot;000145CC&quot;/&gt;&lt;wsp:rsid wsp:val=&quot;0001464F&quot;/&gt;&lt;wsp:rsid wsp:val=&quot;00014735&quot;/&gt;&lt;wsp:rsid wsp:val=&quot;00014CF9&quot;/&gt;&lt;wsp:rsid wsp:val=&quot;00015214&quot;/&gt;&lt;wsp:rsid wsp:val=&quot;0001589A&quot;/&gt;&lt;wsp:rsid wsp:val=&quot;0001644F&quot;/&gt;&lt;wsp:rsid wsp:val=&quot;00020179&quot;/&gt;&lt;wsp:rsid wsp:val=&quot;00021CD2&quot;/&gt;&lt;wsp:rsid wsp:val=&quot;00021E3C&quot;/&gt;&lt;wsp:rsid wsp:val=&quot;00022B15&quot;/&gt;&lt;wsp:rsid wsp:val=&quot;00022C49&quot;/&gt;&lt;wsp:rsid wsp:val=&quot;00022C9B&quot;/&gt;&lt;wsp:rsid wsp:val=&quot;00023214&quot;/&gt;&lt;wsp:rsid wsp:val=&quot;000241B2&quot;/&gt;&lt;wsp:rsid wsp:val=&quot;0002460F&quot;/&gt;&lt;wsp:rsid wsp:val=&quot;00024E09&quot;/&gt;&lt;wsp:rsid wsp:val=&quot;000250B4&quot;/&gt;&lt;wsp:rsid wsp:val=&quot;000257F1&quot;/&gt;&lt;wsp:rsid wsp:val=&quot;00025C9B&quot;/&gt;&lt;wsp:rsid wsp:val=&quot;00025E7B&quot;/&gt;&lt;wsp:rsid wsp:val=&quot;00026F3C&quot;/&gt;&lt;wsp:rsid wsp:val=&quot;00030480&quot;/&gt;&lt;wsp:rsid wsp:val=&quot;000307F8&quot;/&gt;&lt;wsp:rsid wsp:val=&quot;000326C6&quot;/&gt;&lt;wsp:rsid wsp:val=&quot;00033048&quot;/&gt;&lt;wsp:rsid wsp:val=&quot;00034F02&quot;/&gt;&lt;wsp:rsid wsp:val=&quot;000369AE&quot;/&gt;&lt;wsp:rsid wsp:val=&quot;00037CED&quot;/&gt;&lt;wsp:rsid wsp:val=&quot;00041212&quot;/&gt;&lt;wsp:rsid wsp:val=&quot;000416AD&quot;/&gt;&lt;wsp:rsid wsp:val=&quot;00042775&quot;/&gt;&lt;wsp:rsid wsp:val=&quot;00043FB9&quot;/&gt;&lt;wsp:rsid wsp:val=&quot;000445AA&quot;/&gt;&lt;wsp:rsid wsp:val=&quot;0004474B&quot;/&gt;&lt;wsp:rsid wsp:val=&quot;00044E87&quot;/&gt;&lt;wsp:rsid wsp:val=&quot;00045517&quot;/&gt;&lt;wsp:rsid wsp:val=&quot;00045EBA&quot;/&gt;&lt;wsp:rsid wsp:val=&quot;0004626E&quot;/&gt;&lt;wsp:rsid wsp:val=&quot;00047571&quot;/&gt;&lt;wsp:rsid wsp:val=&quot;00047ED2&quot;/&gt;&lt;wsp:rsid wsp:val=&quot;000506D4&quot;/&gt;&lt;wsp:rsid wsp:val=&quot;00052135&quot;/&gt;&lt;wsp:rsid wsp:val=&quot;00053BB8&quot;/&gt;&lt;wsp:rsid wsp:val=&quot;00053D74&quot;/&gt;&lt;wsp:rsid wsp:val=&quot;00054AF1&quot;/&gt;&lt;wsp:rsid wsp:val=&quot;00054EF2&quot;/&gt;&lt;wsp:rsid wsp:val=&quot;00055196&quot;/&gt;&lt;wsp:rsid wsp:val=&quot;00055371&quot;/&gt;&lt;wsp:rsid wsp:val=&quot;00055768&quot;/&gt;&lt;wsp:rsid wsp:val=&quot;000557FB&quot;/&gt;&lt;wsp:rsid wsp:val=&quot;000566EB&quot;/&gt;&lt;wsp:rsid wsp:val=&quot;00056F23&quot;/&gt;&lt;wsp:rsid wsp:val=&quot;00057183&quot;/&gt;&lt;wsp:rsid wsp:val=&quot;000573D6&quot;/&gt;&lt;wsp:rsid wsp:val=&quot;00057AA2&quot;/&gt;&lt;wsp:rsid wsp:val=&quot;00057D9B&quot;/&gt;&lt;wsp:rsid wsp:val=&quot;0006019A&quot;/&gt;&lt;wsp:rsid wsp:val=&quot;000603D9&quot;/&gt;&lt;wsp:rsid wsp:val=&quot;00060527&quot;/&gt;&lt;wsp:rsid wsp:val=&quot;00061118&quot;/&gt;&lt;wsp:rsid wsp:val=&quot;0006183B&quot;/&gt;&lt;wsp:rsid wsp:val=&quot;0006184C&quot;/&gt;&lt;wsp:rsid wsp:val=&quot;0006216B&quot;/&gt;&lt;wsp:rsid wsp:val=&quot;0006306B&quot;/&gt;&lt;wsp:rsid wsp:val=&quot;000630A5&quot;/&gt;&lt;wsp:rsid wsp:val=&quot;00063B02&quot;/&gt;&lt;wsp:rsid wsp:val=&quot;00064451&quot;/&gt;&lt;wsp:rsid wsp:val=&quot;000644D2&quot;/&gt;&lt;wsp:rsid wsp:val=&quot;00064B1A&quot;/&gt;&lt;wsp:rsid wsp:val=&quot;00064C42&quot;/&gt;&lt;wsp:rsid wsp:val=&quot;0006521D&quot;/&gt;&lt;wsp:rsid wsp:val=&quot;000665A1&quot;/&gt;&lt;wsp:rsid wsp:val=&quot;00066734&quot;/&gt;&lt;wsp:rsid wsp:val=&quot;00066FEC&quot;/&gt;&lt;wsp:rsid wsp:val=&quot;00067428&quot;/&gt;&lt;wsp:rsid wsp:val=&quot;0007023A&quot;/&gt;&lt;wsp:rsid wsp:val=&quot;00070538&quot;/&gt;&lt;wsp:rsid wsp:val=&quot;00070999&quot;/&gt;&lt;wsp:rsid wsp:val=&quot;00070BFF&quot;/&gt;&lt;wsp:rsid wsp:val=&quot;00071103&quot;/&gt;&lt;wsp:rsid wsp:val=&quot;000711D8&quot;/&gt;&lt;wsp:rsid wsp:val=&quot;000714ED&quot;/&gt;&lt;wsp:rsid wsp:val=&quot;000720E9&quot;/&gt;&lt;wsp:rsid wsp:val=&quot;000720F7&quot;/&gt;&lt;wsp:rsid wsp:val=&quot;00072498&quot;/&gt;&lt;wsp:rsid wsp:val=&quot;0007305D&quot;/&gt;&lt;wsp:rsid wsp:val=&quot;00073614&quot;/&gt;&lt;wsp:rsid wsp:val=&quot;0007485D&quot;/&gt;&lt;wsp:rsid wsp:val=&quot;00074880&quot;/&gt;&lt;wsp:rsid wsp:val=&quot;00074AC2&quot;/&gt;&lt;wsp:rsid wsp:val=&quot;00074C9E&quot;/&gt;&lt;wsp:rsid wsp:val=&quot;00075029&quot;/&gt;&lt;wsp:rsid wsp:val=&quot;00075295&quot;/&gt;&lt;wsp:rsid wsp:val=&quot;00076130&quot;/&gt;&lt;wsp:rsid wsp:val=&quot;00076453&quot;/&gt;&lt;wsp:rsid wsp:val=&quot;000776E1&quot;/&gt;&lt;wsp:rsid wsp:val=&quot;000801BD&quot;/&gt;&lt;wsp:rsid wsp:val=&quot;00081134&quot;/&gt;&lt;wsp:rsid wsp:val=&quot;00081A20&quot;/&gt;&lt;wsp:rsid wsp:val=&quot;00081B37&quot;/&gt;&lt;wsp:rsid wsp:val=&quot;00082DD0&quot;/&gt;&lt;wsp:rsid wsp:val=&quot;00082DD2&quot;/&gt;&lt;wsp:rsid wsp:val=&quot;0008329A&quot;/&gt;&lt;wsp:rsid wsp:val=&quot;000838EB&quot;/&gt;&lt;wsp:rsid wsp:val=&quot;00083977&quot;/&gt;&lt;wsp:rsid wsp:val=&quot;00083F53&quot;/&gt;&lt;wsp:rsid wsp:val=&quot;00084E86&quot;/&gt;&lt;wsp:rsid wsp:val=&quot;00085C15&quot;/&gt;&lt;wsp:rsid wsp:val=&quot;00085DC6&quot;/&gt;&lt;wsp:rsid wsp:val=&quot;00087C03&quot;/&gt;&lt;wsp:rsid wsp:val=&quot;00091321&quot;/&gt;&lt;wsp:rsid wsp:val=&quot;000929D0&quot;/&gt;&lt;wsp:rsid wsp:val=&quot;00094001&quot;/&gt;&lt;wsp:rsid wsp:val=&quot;00094DA2&quot;/&gt;&lt;wsp:rsid wsp:val=&quot;00094DA5&quot;/&gt;&lt;wsp:rsid wsp:val=&quot;00095E21&quot;/&gt;&lt;wsp:rsid wsp:val=&quot;0009637C&quot;/&gt;&lt;wsp:rsid wsp:val=&quot;0009695D&quot;/&gt;&lt;wsp:rsid wsp:val=&quot;00096D8C&quot;/&gt;&lt;wsp:rsid wsp:val=&quot;00096E3D&quot;/&gt;&lt;wsp:rsid wsp:val=&quot;00097935&quot;/&gt;&lt;wsp:rsid wsp:val=&quot;00097B10&quot;/&gt;&lt;wsp:rsid wsp:val=&quot;000A0A5F&quot;/&gt;&lt;wsp:rsid wsp:val=&quot;000A2A63&quot;/&gt;&lt;wsp:rsid wsp:val=&quot;000A3732&quot;/&gt;&lt;wsp:rsid wsp:val=&quot;000A3EA4&quot;/&gt;&lt;wsp:rsid wsp:val=&quot;000A5F7D&quot;/&gt;&lt;wsp:rsid wsp:val=&quot;000A667E&quot;/&gt;&lt;wsp:rsid wsp:val=&quot;000A6FFB&quot;/&gt;&lt;wsp:rsid wsp:val=&quot;000A7A6C&quot;/&gt;&lt;wsp:rsid wsp:val=&quot;000A7F9D&quot;/&gt;&lt;wsp:rsid wsp:val=&quot;000B0561&quot;/&gt;&lt;wsp:rsid wsp:val=&quot;000B1589&quot;/&gt;&lt;wsp:rsid wsp:val=&quot;000B16B8&quot;/&gt;&lt;wsp:rsid wsp:val=&quot;000B1721&quot;/&gt;&lt;wsp:rsid wsp:val=&quot;000B18A3&quot;/&gt;&lt;wsp:rsid wsp:val=&quot;000B1F5B&quot;/&gt;&lt;wsp:rsid wsp:val=&quot;000B34EC&quot;/&gt;&lt;wsp:rsid wsp:val=&quot;000B429D&quot;/&gt;&lt;wsp:rsid wsp:val=&quot;000B4C1C&quot;/&gt;&lt;wsp:rsid wsp:val=&quot;000B4CF3&quot;/&gt;&lt;wsp:rsid wsp:val=&quot;000B51C5&quot;/&gt;&lt;wsp:rsid wsp:val=&quot;000B589D&quot;/&gt;&lt;wsp:rsid wsp:val=&quot;000B5C1F&quot;/&gt;&lt;wsp:rsid wsp:val=&quot;000B6160&quot;/&gt;&lt;wsp:rsid wsp:val=&quot;000B7313&quot;/&gt;&lt;wsp:rsid wsp:val=&quot;000B7D84&quot;/&gt;&lt;wsp:rsid wsp:val=&quot;000C08EA&quot;/&gt;&lt;wsp:rsid wsp:val=&quot;000C0C7A&quot;/&gt;&lt;wsp:rsid wsp:val=&quot;000C213C&quot;/&gt;&lt;wsp:rsid wsp:val=&quot;000C2350&quot;/&gt;&lt;wsp:rsid wsp:val=&quot;000C2847&quot;/&gt;&lt;wsp:rsid wsp:val=&quot;000C2D5A&quot;/&gt;&lt;wsp:rsid wsp:val=&quot;000C3670&quot;/&gt;&lt;wsp:rsid wsp:val=&quot;000C3DA6&quot;/&gt;&lt;wsp:rsid wsp:val=&quot;000C4336&quot;/&gt;&lt;wsp:rsid wsp:val=&quot;000C4F7C&quot;/&gt;&lt;wsp:rsid wsp:val=&quot;000C523B&quot;/&gt;&lt;wsp:rsid wsp:val=&quot;000C5BC3&quot;/&gt;&lt;wsp:rsid wsp:val=&quot;000C64DD&quot;/&gt;&lt;wsp:rsid wsp:val=&quot;000C65B7&quot;/&gt;&lt;wsp:rsid wsp:val=&quot;000C6CD0&quot;/&gt;&lt;wsp:rsid wsp:val=&quot;000C753D&quot;/&gt;&lt;wsp:rsid wsp:val=&quot;000C794D&quot;/&gt;&lt;wsp:rsid wsp:val=&quot;000C7A13&quot;/&gt;&lt;wsp:rsid wsp:val=&quot;000D09FC&quot;/&gt;&lt;wsp:rsid wsp:val=&quot;000D1626&quot;/&gt;&lt;wsp:rsid wsp:val=&quot;000D1BD3&quot;/&gt;&lt;wsp:rsid wsp:val=&quot;000D226B&quot;/&gt;&lt;wsp:rsid wsp:val=&quot;000D2BB4&quot;/&gt;&lt;wsp:rsid wsp:val=&quot;000D441F&quot;/&gt;&lt;wsp:rsid wsp:val=&quot;000D47BB&quot;/&gt;&lt;wsp:rsid wsp:val=&quot;000D58FD&quot;/&gt;&lt;wsp:rsid wsp:val=&quot;000D61F8&quot;/&gt;&lt;wsp:rsid wsp:val=&quot;000D66A0&quot;/&gt;&lt;wsp:rsid wsp:val=&quot;000D789E&quot;/&gt;&lt;wsp:rsid wsp:val=&quot;000D7D61&quot;/&gt;&lt;wsp:rsid wsp:val=&quot;000E1AB5&quot;/&gt;&lt;wsp:rsid wsp:val=&quot;000E30DD&quot;/&gt;&lt;wsp:rsid wsp:val=&quot;000E3306&quot;/&gt;&lt;wsp:rsid wsp:val=&quot;000E3557&quot;/&gt;&lt;wsp:rsid wsp:val=&quot;000E356F&quot;/&gt;&lt;wsp:rsid wsp:val=&quot;000E376A&quot;/&gt;&lt;wsp:rsid wsp:val=&quot;000E3B80&quot;/&gt;&lt;wsp:rsid wsp:val=&quot;000E3D27&quot;/&gt;&lt;wsp:rsid wsp:val=&quot;000E4F41&quot;/&gt;&lt;wsp:rsid wsp:val=&quot;000E52C9&quot;/&gt;&lt;wsp:rsid wsp:val=&quot;000E5C21&quot;/&gt;&lt;wsp:rsid wsp:val=&quot;000E5F9A&quot;/&gt;&lt;wsp:rsid wsp:val=&quot;000E610F&quot;/&gt;&lt;wsp:rsid wsp:val=&quot;000E6287&quot;/&gt;&lt;wsp:rsid wsp:val=&quot;000E660C&quot;/&gt;&lt;wsp:rsid wsp:val=&quot;000E673F&quot;/&gt;&lt;wsp:rsid wsp:val=&quot;000E6CAB&quot;/&gt;&lt;wsp:rsid wsp:val=&quot;000E73BF&quot;/&gt;&lt;wsp:rsid wsp:val=&quot;000F06DC&quot;/&gt;&lt;wsp:rsid wsp:val=&quot;000F074B&quot;/&gt;&lt;wsp:rsid wsp:val=&quot;000F0E5D&quot;/&gt;&lt;wsp:rsid wsp:val=&quot;000F1FE4&quot;/&gt;&lt;wsp:rsid wsp:val=&quot;000F2685&quot;/&gt;&lt;wsp:rsid wsp:val=&quot;000F40B9&quot;/&gt;&lt;wsp:rsid wsp:val=&quot;000F512D&quot;/&gt;&lt;wsp:rsid wsp:val=&quot;000F57A9&quot;/&gt;&lt;wsp:rsid wsp:val=&quot;000F59BD&quot;/&gt;&lt;wsp:rsid wsp:val=&quot;000F6042&quot;/&gt;&lt;wsp:rsid wsp:val=&quot;000F605B&quot;/&gt;&lt;wsp:rsid wsp:val=&quot;000F71D5&quot;/&gt;&lt;wsp:rsid wsp:val=&quot;000F7927&quot;/&gt;&lt;wsp:rsid wsp:val=&quot;000F7A34&quot;/&gt;&lt;wsp:rsid wsp:val=&quot;000F7A6B&quot;/&gt;&lt;wsp:rsid wsp:val=&quot;000F7F5A&quot;/&gt;&lt;wsp:rsid wsp:val=&quot;00101351&quot;/&gt;&lt;wsp:rsid wsp:val=&quot;001016F2&quot;/&gt;&lt;wsp:rsid wsp:val=&quot;00101C9F&quot;/&gt;&lt;wsp:rsid wsp:val=&quot;00103352&quot;/&gt;&lt;wsp:rsid wsp:val=&quot;00103729&quot;/&gt;&lt;wsp:rsid wsp:val=&quot;00103C34&quot;/&gt;&lt;wsp:rsid wsp:val=&quot;0010409A&quot;/&gt;&lt;wsp:rsid wsp:val=&quot;001048F1&quot;/&gt;&lt;wsp:rsid wsp:val=&quot;00104ED2&quot;/&gt;&lt;wsp:rsid wsp:val=&quot;0010575C&quot;/&gt;&lt;wsp:rsid wsp:val=&quot;0010579F&quot;/&gt;&lt;wsp:rsid wsp:val=&quot;00105DC3&quot;/&gt;&lt;wsp:rsid wsp:val=&quot;00105E2F&quot;/&gt;&lt;wsp:rsid wsp:val=&quot;00106B2D&quot;/&gt;&lt;wsp:rsid wsp:val=&quot;00106FD5&quot;/&gt;&lt;wsp:rsid wsp:val=&quot;00110180&quot;/&gt;&lt;wsp:rsid wsp:val=&quot;001111ED&quot;/&gt;&lt;wsp:rsid wsp:val=&quot;0011135C&quot;/&gt;&lt;wsp:rsid wsp:val=&quot;00111DAE&quot;/&gt;&lt;wsp:rsid wsp:val=&quot;0011258B&quot;/&gt;&lt;wsp:rsid wsp:val=&quot;0011280A&quot;/&gt;&lt;wsp:rsid wsp:val=&quot;0011282A&quot;/&gt;&lt;wsp:rsid wsp:val=&quot;00114389&quot;/&gt;&lt;wsp:rsid wsp:val=&quot;00114583&quot;/&gt;&lt;wsp:rsid wsp:val=&quot;00114BBA&quot;/&gt;&lt;wsp:rsid wsp:val=&quot;00115336&quot;/&gt;&lt;wsp:rsid wsp:val=&quot;00115590&quot;/&gt;&lt;wsp:rsid wsp:val=&quot;00115D22&quot;/&gt;&lt;wsp:rsid wsp:val=&quot;0011626F&quot;/&gt;&lt;wsp:rsid wsp:val=&quot;00116A1C&quot;/&gt;&lt;wsp:rsid wsp:val=&quot;00117F7A&quot;/&gt;&lt;wsp:rsid wsp:val=&quot;00120305&quot;/&gt;&lt;wsp:rsid wsp:val=&quot;00120596&quot;/&gt;&lt;wsp:rsid wsp:val=&quot;001212BE&quot;/&gt;&lt;wsp:rsid wsp:val=&quot;00121AEE&quot;/&gt;&lt;wsp:rsid wsp:val=&quot;00121B71&quot;/&gt;&lt;wsp:rsid wsp:val=&quot;00122599&quot;/&gt;&lt;wsp:rsid wsp:val=&quot;00123A45&quot;/&gt;&lt;wsp:rsid wsp:val=&quot;00123CD6&quot;/&gt;&lt;wsp:rsid wsp:val=&quot;00124692&quot;/&gt;&lt;wsp:rsid wsp:val=&quot;0012473C&quot;/&gt;&lt;wsp:rsid wsp:val=&quot;00125AC4&quot;/&gt;&lt;wsp:rsid wsp:val=&quot;00126F28&quot;/&gt;&lt;wsp:rsid wsp:val=&quot;00127091&quot;/&gt;&lt;wsp:rsid wsp:val=&quot;001303C2&quot;/&gt;&lt;wsp:rsid wsp:val=&quot;001312BA&quot;/&gt;&lt;wsp:rsid wsp:val=&quot;00131B33&quot;/&gt;&lt;wsp:rsid wsp:val=&quot;00132028&quot;/&gt;&lt;wsp:rsid wsp:val=&quot;00132666&quot;/&gt;&lt;wsp:rsid wsp:val=&quot;00133238&quot;/&gt;&lt;wsp:rsid wsp:val=&quot;00134C71&quot;/&gt;&lt;wsp:rsid wsp:val=&quot;00135A2C&quot;/&gt;&lt;wsp:rsid wsp:val=&quot;00135AA0&quot;/&gt;&lt;wsp:rsid wsp:val=&quot;00136FBD&quot;/&gt;&lt;wsp:rsid wsp:val=&quot;00137EFB&quot;/&gt;&lt;wsp:rsid wsp:val=&quot;001404FE&quot;/&gt;&lt;wsp:rsid wsp:val=&quot;00140C8D&quot;/&gt;&lt;wsp:rsid wsp:val=&quot;00141304&quot;/&gt;&lt;wsp:rsid wsp:val=&quot;0014144C&quot;/&gt;&lt;wsp:rsid wsp:val=&quot;0014185B&quot;/&gt;&lt;wsp:rsid wsp:val=&quot;0014190C&quot;/&gt;&lt;wsp:rsid wsp:val=&quot;001426B0&quot;/&gt;&lt;wsp:rsid wsp:val=&quot;001428CA&quot;/&gt;&lt;wsp:rsid wsp:val=&quot;0014310D&quot;/&gt;&lt;wsp:rsid wsp:val=&quot;00143AF5&quot;/&gt;&lt;wsp:rsid wsp:val=&quot;00143ED0&quot;/&gt;&lt;wsp:rsid wsp:val=&quot;00143FAB&quot;/&gt;&lt;wsp:rsid wsp:val=&quot;00144721&quot;/&gt;&lt;wsp:rsid wsp:val=&quot;0014596E&quot;/&gt;&lt;wsp:rsid wsp:val=&quot;00145CD3&quot;/&gt;&lt;wsp:rsid wsp:val=&quot;001474E2&quot;/&gt;&lt;wsp:rsid wsp:val=&quot;00147C82&quot;/&gt;&lt;wsp:rsid wsp:val=&quot;001517F2&quot;/&gt;&lt;wsp:rsid wsp:val=&quot;00154D07&quot;/&gt;&lt;wsp:rsid wsp:val=&quot;0015562B&quot;/&gt;&lt;wsp:rsid wsp:val=&quot;001569BE&quot;/&gt;&lt;wsp:rsid wsp:val=&quot;00156B90&quot;/&gt;&lt;wsp:rsid wsp:val=&quot;00156DB1&quot;/&gt;&lt;wsp:rsid wsp:val=&quot;00157332&quot;/&gt;&lt;wsp:rsid wsp:val=&quot;00157DB6&quot;/&gt;&lt;wsp:rsid wsp:val=&quot;001607D7&quot;/&gt;&lt;wsp:rsid wsp:val=&quot;00160B4E&quot;/&gt;&lt;wsp:rsid wsp:val=&quot;00160B64&quot;/&gt;&lt;wsp:rsid wsp:val=&quot;00160C12&quot;/&gt;&lt;wsp:rsid wsp:val=&quot;00161A77&quot;/&gt;&lt;wsp:rsid wsp:val=&quot;0016225D&quot;/&gt;&lt;wsp:rsid wsp:val=&quot;00162840&quot;/&gt;&lt;wsp:rsid wsp:val=&quot;00162EF8&quot;/&gt;&lt;wsp:rsid wsp:val=&quot;00163267&quot;/&gt;&lt;wsp:rsid wsp:val=&quot;00163FEB&quot;/&gt;&lt;wsp:rsid wsp:val=&quot;001640BF&quot;/&gt;&lt;wsp:rsid wsp:val=&quot;0016410F&quot;/&gt;&lt;wsp:rsid wsp:val=&quot;0016460D&quot;/&gt;&lt;wsp:rsid wsp:val=&quot;00164A2D&quot;/&gt;&lt;wsp:rsid wsp:val=&quot;00164C5E&quot;/&gt;&lt;wsp:rsid wsp:val=&quot;00165146&quot;/&gt;&lt;wsp:rsid wsp:val=&quot;00166E97&quot;/&gt;&lt;wsp:rsid wsp:val=&quot;00166F24&quot;/&gt;&lt;wsp:rsid wsp:val=&quot;00167A30&quot;/&gt;&lt;wsp:rsid wsp:val=&quot;00167C7B&quot;/&gt;&lt;wsp:rsid wsp:val=&quot;00167E15&quot;/&gt;&lt;wsp:rsid wsp:val=&quot;00170211&quot;/&gt;&lt;wsp:rsid wsp:val=&quot;00170230&quot;/&gt;&lt;wsp:rsid wsp:val=&quot;00170595&quot;/&gt;&lt;wsp:rsid wsp:val=&quot;00171149&quot;/&gt;&lt;wsp:rsid wsp:val=&quot;001712EF&quot;/&gt;&lt;wsp:rsid wsp:val=&quot;00171970&quot;/&gt;&lt;wsp:rsid wsp:val=&quot;00171F9C&quot;/&gt;&lt;wsp:rsid wsp:val=&quot;00172125&quot;/&gt;&lt;wsp:rsid wsp:val=&quot;00172235&quot;/&gt;&lt;wsp:rsid wsp:val=&quot;00172632&quot;/&gt;&lt;wsp:rsid wsp:val=&quot;00173021&quot;/&gt;&lt;wsp:rsid wsp:val=&quot;00174676&quot;/&gt;&lt;wsp:rsid wsp:val=&quot;00174ACB&quot;/&gt;&lt;wsp:rsid wsp:val=&quot;00175C0C&quot;/&gt;&lt;wsp:rsid wsp:val=&quot;00175D8B&quot;/&gt;&lt;wsp:rsid wsp:val=&quot;0017670E&quot;/&gt;&lt;wsp:rsid wsp:val=&quot;00176765&quot;/&gt;&lt;wsp:rsid wsp:val=&quot;001772D0&quot;/&gt;&lt;wsp:rsid wsp:val=&quot;00177C24&quot;/&gt;&lt;wsp:rsid wsp:val=&quot;00177C4F&quot;/&gt;&lt;wsp:rsid wsp:val=&quot;00177E5C&quot;/&gt;&lt;wsp:rsid wsp:val=&quot;00180353&quot;/&gt;&lt;wsp:rsid wsp:val=&quot;00181305&quot;/&gt;&lt;wsp:rsid wsp:val=&quot;00181435&quot;/&gt;&lt;wsp:rsid wsp:val=&quot;001823A4&quot;/&gt;&lt;wsp:rsid wsp:val=&quot;00182614&quot;/&gt;&lt;wsp:rsid wsp:val=&quot;00183587&quot;/&gt;&lt;wsp:rsid wsp:val=&quot;00184E4F&quot;/&gt;&lt;wsp:rsid wsp:val=&quot;00185B77&quot;/&gt;&lt;wsp:rsid wsp:val=&quot;00186290&quot;/&gt;&lt;wsp:rsid wsp:val=&quot;00186605&quot;/&gt;&lt;wsp:rsid wsp:val=&quot;00186AFE&quot;/&gt;&lt;wsp:rsid wsp:val=&quot;00187401&quot;/&gt;&lt;wsp:rsid wsp:val=&quot;00187822&quot;/&gt;&lt;wsp:rsid wsp:val=&quot;00191487&quot;/&gt;&lt;wsp:rsid wsp:val=&quot;001915F0&quot;/&gt;&lt;wsp:rsid wsp:val=&quot;0019223E&quot;/&gt;&lt;wsp:rsid wsp:val=&quot;0019278B&quot;/&gt;&lt;wsp:rsid wsp:val=&quot;00192ACD&quot;/&gt;&lt;wsp:rsid wsp:val=&quot;00193636&quot;/&gt;&lt;wsp:rsid wsp:val=&quot;00193BA7&quot;/&gt;&lt;wsp:rsid wsp:val=&quot;001942C2&quot;/&gt;&lt;wsp:rsid wsp:val=&quot;0019453D&quot;/&gt;&lt;wsp:rsid wsp:val=&quot;00194FB9&quot;/&gt;&lt;wsp:rsid wsp:val=&quot;00195356&quot;/&gt;&lt;wsp:rsid wsp:val=&quot;0019546E&quot;/&gt;&lt;wsp:rsid wsp:val=&quot;0019632A&quot;/&gt;&lt;wsp:rsid wsp:val=&quot;001977A3&quot;/&gt;&lt;wsp:rsid wsp:val=&quot;00197EA6&quot;/&gt;&lt;wsp:rsid wsp:val=&quot;001A044C&quot;/&gt;&lt;wsp:rsid wsp:val=&quot;001A12AE&quot;/&gt;&lt;wsp:rsid wsp:val=&quot;001A1633&quot;/&gt;&lt;wsp:rsid wsp:val=&quot;001A2DD8&quot;/&gt;&lt;wsp:rsid wsp:val=&quot;001A2E5A&quot;/&gt;&lt;wsp:rsid wsp:val=&quot;001A3D0C&quot;/&gt;&lt;wsp:rsid wsp:val=&quot;001A40C1&quot;/&gt;&lt;wsp:rsid wsp:val=&quot;001A49B4&quot;/&gt;&lt;wsp:rsid wsp:val=&quot;001A4BFA&quot;/&gt;&lt;wsp:rsid wsp:val=&quot;001A5312&quot;/&gt;&lt;wsp:rsid wsp:val=&quot;001A675C&quot;/&gt;&lt;wsp:rsid wsp:val=&quot;001A6956&quot;/&gt;&lt;wsp:rsid wsp:val=&quot;001A7852&quot;/&gt;&lt;wsp:rsid wsp:val=&quot;001A7CB2&quot;/&gt;&lt;wsp:rsid wsp:val=&quot;001B09D1&quot;/&gt;&lt;wsp:rsid wsp:val=&quot;001B20A7&quot;/&gt;&lt;wsp:rsid wsp:val=&quot;001B2916&quot;/&gt;&lt;wsp:rsid wsp:val=&quot;001B4A37&quot;/&gt;&lt;wsp:rsid wsp:val=&quot;001B5489&quot;/&gt;&lt;wsp:rsid wsp:val=&quot;001B5F0A&quot;/&gt;&lt;wsp:rsid wsp:val=&quot;001B6163&quot;/&gt;&lt;wsp:rsid wsp:val=&quot;001B6E49&quot;/&gt;&lt;wsp:rsid wsp:val=&quot;001B71B0&quot;/&gt;&lt;wsp:rsid wsp:val=&quot;001B7664&quot;/&gt;&lt;wsp:rsid wsp:val=&quot;001B7B3B&quot;/&gt;&lt;wsp:rsid wsp:val=&quot;001B7E72&quot;/&gt;&lt;wsp:rsid wsp:val=&quot;001C07E9&quot;/&gt;&lt;wsp:rsid wsp:val=&quot;001C134C&quot;/&gt;&lt;wsp:rsid wsp:val=&quot;001C22D7&quot;/&gt;&lt;wsp:rsid wsp:val=&quot;001C2E99&quot;/&gt;&lt;wsp:rsid wsp:val=&quot;001C3559&quot;/&gt;&lt;wsp:rsid wsp:val=&quot;001C35BF&quot;/&gt;&lt;wsp:rsid wsp:val=&quot;001C5883&quot;/&gt;&lt;wsp:rsid wsp:val=&quot;001C5FF2&quot;/&gt;&lt;wsp:rsid wsp:val=&quot;001C7BE9&quot;/&gt;&lt;wsp:rsid wsp:val=&quot;001D0CA2&quot;/&gt;&lt;wsp:rsid wsp:val=&quot;001D124A&quot;/&gt;&lt;wsp:rsid wsp:val=&quot;001D1BE6&quot;/&gt;&lt;wsp:rsid wsp:val=&quot;001D292D&quot;/&gt;&lt;wsp:rsid wsp:val=&quot;001D2C30&quot;/&gt;&lt;wsp:rsid wsp:val=&quot;001D3327&quot;/&gt;&lt;wsp:rsid wsp:val=&quot;001D3A36&quot;/&gt;&lt;wsp:rsid wsp:val=&quot;001D43BA&quot;/&gt;&lt;wsp:rsid wsp:val=&quot;001D4EBB&quot;/&gt;&lt;wsp:rsid wsp:val=&quot;001D55F9&quot;/&gt;&lt;wsp:rsid wsp:val=&quot;001D65E1&quot;/&gt;&lt;wsp:rsid wsp:val=&quot;001D6BEB&quot;/&gt;&lt;wsp:rsid wsp:val=&quot;001D7AE7&quot;/&gt;&lt;wsp:rsid wsp:val=&quot;001E1A52&quot;/&gt;&lt;wsp:rsid wsp:val=&quot;001E1D62&quot;/&gt;&lt;wsp:rsid wsp:val=&quot;001E2878&quot;/&gt;&lt;wsp:rsid wsp:val=&quot;001E2D13&quot;/&gt;&lt;wsp:rsid wsp:val=&quot;001E2FFE&quot;/&gt;&lt;wsp:rsid wsp:val=&quot;001E317E&quot;/&gt;&lt;wsp:rsid wsp:val=&quot;001E5BF3&quot;/&gt;&lt;wsp:rsid wsp:val=&quot;001E5F84&quot;/&gt;&lt;wsp:rsid wsp:val=&quot;001E5FAB&quot;/&gt;&lt;wsp:rsid wsp:val=&quot;001E6005&quot;/&gt;&lt;wsp:rsid wsp:val=&quot;001E67AE&quot;/&gt;&lt;wsp:rsid wsp:val=&quot;001E6A81&quot;/&gt;&lt;wsp:rsid wsp:val=&quot;001E77AE&quot;/&gt;&lt;wsp:rsid wsp:val=&quot;001F136A&quot;/&gt;&lt;wsp:rsid wsp:val=&quot;001F1557&quot;/&gt;&lt;wsp:rsid wsp:val=&quot;001F22FC&quot;/&gt;&lt;wsp:rsid wsp:val=&quot;001F3203&quot;/&gt;&lt;wsp:rsid wsp:val=&quot;001F4A60&quot;/&gt;&lt;wsp:rsid wsp:val=&quot;001F7451&quot;/&gt;&lt;wsp:rsid wsp:val=&quot;002016B4&quot;/&gt;&lt;wsp:rsid wsp:val=&quot;00201E79&quot;/&gt;&lt;wsp:rsid wsp:val=&quot;00201F3C&quot;/&gt;&lt;wsp:rsid wsp:val=&quot;00202FBF&quot;/&gt;&lt;wsp:rsid wsp:val=&quot;00203B78&quot;/&gt;&lt;wsp:rsid wsp:val=&quot;00203FE2&quot;/&gt;&lt;wsp:rsid wsp:val=&quot;00204921&quot;/&gt;&lt;wsp:rsid wsp:val=&quot;00204EEF&quot;/&gt;&lt;wsp:rsid wsp:val=&quot;00205656&quot;/&gt;&lt;wsp:rsid wsp:val=&quot;00205701&quot;/&gt;&lt;wsp:rsid wsp:val=&quot;00205A39&quot;/&gt;&lt;wsp:rsid wsp:val=&quot;00206086&quot;/&gt;&lt;wsp:rsid wsp:val=&quot;002064D5&quot;/&gt;&lt;wsp:rsid wsp:val=&quot;002069C0&quot;/&gt;&lt;wsp:rsid wsp:val=&quot;002075CC&quot;/&gt;&lt;wsp:rsid wsp:val=&quot;00207B4C&quot;/&gt;&lt;wsp:rsid wsp:val=&quot;00210327&quot;/&gt;&lt;wsp:rsid wsp:val=&quot;00211303&quot;/&gt;&lt;wsp:rsid wsp:val=&quot;002120D1&quot;/&gt;&lt;wsp:rsid wsp:val=&quot;00213167&quot;/&gt;&lt;wsp:rsid wsp:val=&quot;00213297&quot;/&gt;&lt;wsp:rsid wsp:val=&quot;00213559&quot;/&gt;&lt;wsp:rsid wsp:val=&quot;00213630&quot;/&gt;&lt;wsp:rsid wsp:val=&quot;002136FA&quot;/&gt;&lt;wsp:rsid wsp:val=&quot;00213FE1&quot;/&gt;&lt;wsp:rsid wsp:val=&quot;002147D6&quot;/&gt;&lt;wsp:rsid wsp:val=&quot;00214C21&quot;/&gt;&lt;wsp:rsid wsp:val=&quot;002155B1&quot;/&gt;&lt;wsp:rsid wsp:val=&quot;00215710&quot;/&gt;&lt;wsp:rsid wsp:val=&quot;00216F4C&quot;/&gt;&lt;wsp:rsid wsp:val=&quot;00217532&quot;/&gt;&lt;wsp:rsid wsp:val=&quot;00217BCB&quot;/&gt;&lt;wsp:rsid wsp:val=&quot;002205FF&quot;/&gt;&lt;wsp:rsid wsp:val=&quot;00220660&quot;/&gt;&lt;wsp:rsid wsp:val=&quot;002208BF&quot;/&gt;&lt;wsp:rsid wsp:val=&quot;00221387&quot;/&gt;&lt;wsp:rsid wsp:val=&quot;0022145A&quot;/&gt;&lt;wsp:rsid wsp:val=&quot;00223DB1&quot;/&gt;&lt;wsp:rsid wsp:val=&quot;002247E9&quot;/&gt;&lt;wsp:rsid wsp:val=&quot;002250E7&quot;/&gt;&lt;wsp:rsid wsp:val=&quot;002254F3&quot;/&gt;&lt;wsp:rsid wsp:val=&quot;00225E14&quot;/&gt;&lt;wsp:rsid wsp:val=&quot;002262D3&quot;/&gt;&lt;wsp:rsid wsp:val=&quot;00226BB7&quot;/&gt;&lt;wsp:rsid wsp:val=&quot;00226C3F&quot;/&gt;&lt;wsp:rsid wsp:val=&quot;00227BE6&quot;/&gt;&lt;wsp:rsid wsp:val=&quot;00227C67&quot;/&gt;&lt;wsp:rsid wsp:val=&quot;00227FD9&quot;/&gt;&lt;wsp:rsid wsp:val=&quot;00230124&quot;/&gt;&lt;wsp:rsid wsp:val=&quot;00230D37&quot;/&gt;&lt;wsp:rsid wsp:val=&quot;00231375&quot;/&gt;&lt;wsp:rsid wsp:val=&quot;00231FD6&quot;/&gt;&lt;wsp:rsid wsp:val=&quot;00232652&quot;/&gt;&lt;wsp:rsid wsp:val=&quot;00235701&quot;/&gt;&lt;wsp:rsid wsp:val=&quot;00235B29&quot;/&gt;&lt;wsp:rsid wsp:val=&quot;00235E51&quot;/&gt;&lt;wsp:rsid wsp:val=&quot;002360B0&quot;/&gt;&lt;wsp:rsid wsp:val=&quot;002364DC&quot;/&gt;&lt;wsp:rsid wsp:val=&quot;002367CA&quot;/&gt;&lt;wsp:rsid wsp:val=&quot;00236CD1&quot;/&gt;&lt;wsp:rsid wsp:val=&quot;00236EFE&quot;/&gt;&lt;wsp:rsid wsp:val=&quot;00237E89&quot;/&gt;&lt;wsp:rsid wsp:val=&quot;0024047F&quot;/&gt;&lt;wsp:rsid wsp:val=&quot;002404F8&quot;/&gt;&lt;wsp:rsid wsp:val=&quot;0024097F&quot;/&gt;&lt;wsp:rsid wsp:val=&quot;00240A25&quot;/&gt;&lt;wsp:rsid wsp:val=&quot;00240D22&quot;/&gt;&lt;wsp:rsid wsp:val=&quot;002411CD&quot;/&gt;&lt;wsp:rsid wsp:val=&quot;00241C81&quot;/&gt;&lt;wsp:rsid wsp:val=&quot;0024220B&quot;/&gt;&lt;wsp:rsid wsp:val=&quot;002431E0&quot;/&gt;&lt;wsp:rsid wsp:val=&quot;00243B04&quot;/&gt;&lt;wsp:rsid wsp:val=&quot;00243DD4&quot;/&gt;&lt;wsp:rsid wsp:val=&quot;00244EFC&quot;/&gt;&lt;wsp:rsid wsp:val=&quot;002459E0&quot;/&gt;&lt;wsp:rsid wsp:val=&quot;00245BCF&quot;/&gt;&lt;wsp:rsid wsp:val=&quot;00245D2A&quot;/&gt;&lt;wsp:rsid wsp:val=&quot;002460B1&quot;/&gt;&lt;wsp:rsid wsp:val=&quot;002479B9&quot;/&gt;&lt;wsp:rsid wsp:val=&quot;00250301&quot;/&gt;&lt;wsp:rsid wsp:val=&quot;002505DE&quot;/&gt;&lt;wsp:rsid wsp:val=&quot;00250F1C&quot;/&gt;&lt;wsp:rsid wsp:val=&quot;00251009&quot;/&gt;&lt;wsp:rsid wsp:val=&quot;00251CEC&quot;/&gt;&lt;wsp:rsid wsp:val=&quot;002529DD&quot;/&gt;&lt;wsp:rsid wsp:val=&quot;00252B40&quot;/&gt;&lt;wsp:rsid wsp:val=&quot;00254369&quot;/&gt;&lt;wsp:rsid wsp:val=&quot;00254A94&quot;/&gt;&lt;wsp:rsid wsp:val=&quot;002550EA&quot;/&gt;&lt;wsp:rsid wsp:val=&quot;002551B5&quot;/&gt;&lt;wsp:rsid wsp:val=&quot;00255AC4&quot;/&gt;&lt;wsp:rsid wsp:val=&quot;0025728C&quot;/&gt;&lt;wsp:rsid wsp:val=&quot;00260674&quot;/&gt;&lt;wsp:rsid wsp:val=&quot;0026198F&quot;/&gt;&lt;wsp:rsid wsp:val=&quot;0026259D&quot;/&gt;&lt;wsp:rsid wsp:val=&quot;0026362A&quot;/&gt;&lt;wsp:rsid wsp:val=&quot;00264408&quot;/&gt;&lt;wsp:rsid wsp:val=&quot;00264838&quot;/&gt;&lt;wsp:rsid wsp:val=&quot;00264C34&quot;/&gt;&lt;wsp:rsid wsp:val=&quot;0026503E&quot;/&gt;&lt;wsp:rsid wsp:val=&quot;0026564C&quot;/&gt;&lt;wsp:rsid wsp:val=&quot;00265D7A&quot;/&gt;&lt;wsp:rsid wsp:val=&quot;00265E26&quot;/&gt;&lt;wsp:rsid wsp:val=&quot;00266952&quot;/&gt;&lt;wsp:rsid wsp:val=&quot;002669CB&quot;/&gt;&lt;wsp:rsid wsp:val=&quot;00267D7C&quot;/&gt;&lt;wsp:rsid wsp:val=&quot;00267E54&quot;/&gt;&lt;wsp:rsid wsp:val=&quot;00271288&quot;/&gt;&lt;wsp:rsid wsp:val=&quot;00271B26&quot;/&gt;&lt;wsp:rsid wsp:val=&quot;00272277&quot;/&gt;&lt;wsp:rsid wsp:val=&quot;00273364&quot;/&gt;&lt;wsp:rsid wsp:val=&quot;002733CD&quot;/&gt;&lt;wsp:rsid wsp:val=&quot;0027395C&quot;/&gt;&lt;wsp:rsid wsp:val=&quot;00273AA2&quot;/&gt;&lt;wsp:rsid wsp:val=&quot;002758D7&quot;/&gt;&lt;wsp:rsid wsp:val=&quot;0027650D&quot;/&gt;&lt;wsp:rsid wsp:val=&quot;00276903&quot;/&gt;&lt;wsp:rsid wsp:val=&quot;00276BA2&quot;/&gt;&lt;wsp:rsid wsp:val=&quot;002777F6&quot;/&gt;&lt;wsp:rsid wsp:val=&quot;002800C6&quot;/&gt;&lt;wsp:rsid wsp:val=&quot;0028043C&quot;/&gt;&lt;wsp:rsid wsp:val=&quot;002804E0&quot;/&gt;&lt;wsp:rsid wsp:val=&quot;00280AB0&quot;/&gt;&lt;wsp:rsid wsp:val=&quot;00280B29&quot;/&gt;&lt;wsp:rsid wsp:val=&quot;00281281&quot;/&gt;&lt;wsp:rsid wsp:val=&quot;00281688&quot;/&gt;&lt;wsp:rsid wsp:val=&quot;002824A2&quot;/&gt;&lt;wsp:rsid wsp:val=&quot;002824B5&quot;/&gt;&lt;wsp:rsid wsp:val=&quot;0028292D&quot;/&gt;&lt;wsp:rsid wsp:val=&quot;00282ECF&quot;/&gt;&lt;wsp:rsid wsp:val=&quot;00282F01&quot;/&gt;&lt;wsp:rsid wsp:val=&quot;00283C20&quot;/&gt;&lt;wsp:rsid wsp:val=&quot;00284118&quot;/&gt;&lt;wsp:rsid wsp:val=&quot;002855C4&quot;/&gt;&lt;wsp:rsid wsp:val=&quot;00285A21&quot;/&gt;&lt;wsp:rsid wsp:val=&quot;00285FFE&quot;/&gt;&lt;wsp:rsid wsp:val=&quot;002861BA&quot;/&gt;&lt;wsp:rsid wsp:val=&quot;0028641E&quot;/&gt;&lt;wsp:rsid wsp:val=&quot;00286483&quot;/&gt;&lt;wsp:rsid wsp:val=&quot;002869D8&quot;/&gt;&lt;wsp:rsid wsp:val=&quot;00286D61&quot;/&gt;&lt;wsp:rsid wsp:val=&quot;0028746E&quot;/&gt;&lt;wsp:rsid wsp:val=&quot;0029036C&quot;/&gt;&lt;wsp:rsid wsp:val=&quot;00290A58&quot;/&gt;&lt;wsp:rsid wsp:val=&quot;00290B24&quot;/&gt;&lt;wsp:rsid wsp:val=&quot;00290C35&quot;/&gt;&lt;wsp:rsid wsp:val=&quot;00291703&quot;/&gt;&lt;wsp:rsid wsp:val=&quot;00292674&quot;/&gt;&lt;wsp:rsid wsp:val=&quot;002927E8&quot;/&gt;&lt;wsp:rsid wsp:val=&quot;00292B77&quot;/&gt;&lt;wsp:rsid wsp:val=&quot;00295651&quot;/&gt;&lt;wsp:rsid wsp:val=&quot;00295AEC&quot;/&gt;&lt;wsp:rsid wsp:val=&quot;00295F37&quot;/&gt;&lt;wsp:rsid wsp:val=&quot;0029607C&quot;/&gt;&lt;wsp:rsid wsp:val=&quot;00296B71&quot;/&gt;&lt;wsp:rsid wsp:val=&quot;00296DB3&quot;/&gt;&lt;wsp:rsid wsp:val=&quot;002975ED&quot;/&gt;&lt;wsp:rsid wsp:val=&quot;002A0715&quot;/&gt;&lt;wsp:rsid wsp:val=&quot;002A10BD&quot;/&gt;&lt;wsp:rsid wsp:val=&quot;002A1435&quot;/&gt;&lt;wsp:rsid wsp:val=&quot;002A1663&quot;/&gt;&lt;wsp:rsid wsp:val=&quot;002A2230&quot;/&gt;&lt;wsp:rsid wsp:val=&quot;002A2592&quot;/&gt;&lt;wsp:rsid wsp:val=&quot;002A2767&quot;/&gt;&lt;wsp:rsid wsp:val=&quot;002A302A&quot;/&gt;&lt;wsp:rsid wsp:val=&quot;002A37FE&quot;/&gt;&lt;wsp:rsid wsp:val=&quot;002A3F26&quot;/&gt;&lt;wsp:rsid wsp:val=&quot;002A66AB&quot;/&gt;&lt;wsp:rsid wsp:val=&quot;002A7335&quot;/&gt;&lt;wsp:rsid wsp:val=&quot;002A77C1&quot;/&gt;&lt;wsp:rsid wsp:val=&quot;002A79A3&quot;/&gt;&lt;wsp:rsid wsp:val=&quot;002A7A37&quot;/&gt;&lt;wsp:rsid wsp:val=&quot;002B092B&quot;/&gt;&lt;wsp:rsid wsp:val=&quot;002B136A&quot;/&gt;&lt;wsp:rsid wsp:val=&quot;002B1547&quot;/&gt;&lt;wsp:rsid wsp:val=&quot;002B1DA4&quot;/&gt;&lt;wsp:rsid wsp:val=&quot;002B1F53&quot;/&gt;&lt;wsp:rsid wsp:val=&quot;002B20A2&quot;/&gt;&lt;wsp:rsid wsp:val=&quot;002B2BF5&quot;/&gt;&lt;wsp:rsid wsp:val=&quot;002B3C26&quot;/&gt;&lt;wsp:rsid wsp:val=&quot;002B430E&quot;/&gt;&lt;wsp:rsid wsp:val=&quot;002B4424&quot;/&gt;&lt;wsp:rsid wsp:val=&quot;002B5E01&quot;/&gt;&lt;wsp:rsid wsp:val=&quot;002B703F&quot;/&gt;&lt;wsp:rsid wsp:val=&quot;002B718D&quot;/&gt;&lt;wsp:rsid wsp:val=&quot;002B7195&quot;/&gt;&lt;wsp:rsid wsp:val=&quot;002B7A36&quot;/&gt;&lt;wsp:rsid wsp:val=&quot;002C1026&quot;/&gt;&lt;wsp:rsid wsp:val=&quot;002C2767&quot;/&gt;&lt;wsp:rsid wsp:val=&quot;002C3429&quot;/&gt;&lt;wsp:rsid wsp:val=&quot;002C4C62&quot;/&gt;&lt;wsp:rsid wsp:val=&quot;002C4CB7&quot;/&gt;&lt;wsp:rsid wsp:val=&quot;002C551E&quot;/&gt;&lt;wsp:rsid wsp:val=&quot;002C5E0E&quot;/&gt;&lt;wsp:rsid wsp:val=&quot;002C617C&quot;/&gt;&lt;wsp:rsid wsp:val=&quot;002C69EF&quot;/&gt;&lt;wsp:rsid wsp:val=&quot;002C6A32&quot;/&gt;&lt;wsp:rsid wsp:val=&quot;002C6C47&quot;/&gt;&lt;wsp:rsid wsp:val=&quot;002D1CFD&quot;/&gt;&lt;wsp:rsid wsp:val=&quot;002D24FA&quot;/&gt;&lt;wsp:rsid wsp:val=&quot;002D2659&quot;/&gt;&lt;wsp:rsid wsp:val=&quot;002D33BE&quot;/&gt;&lt;wsp:rsid wsp:val=&quot;002D345A&quot;/&gt;&lt;wsp:rsid wsp:val=&quot;002D3635&quot;/&gt;&lt;wsp:rsid wsp:val=&quot;002D4370&quot;/&gt;&lt;wsp:rsid wsp:val=&quot;002D479C&quot;/&gt;&lt;wsp:rsid wsp:val=&quot;002D47D8&quot;/&gt;&lt;wsp:rsid wsp:val=&quot;002D5295&quot;/&gt;&lt;wsp:rsid wsp:val=&quot;002D599D&quot;/&gt;&lt;wsp:rsid wsp:val=&quot;002D72D3&quot;/&gt;&lt;wsp:rsid wsp:val=&quot;002D732F&quot;/&gt;&lt;wsp:rsid wsp:val=&quot;002D7776&quot;/&gt;&lt;wsp:rsid wsp:val=&quot;002D783E&quot;/&gt;&lt;wsp:rsid wsp:val=&quot;002E05C2&quot;/&gt;&lt;wsp:rsid wsp:val=&quot;002E0C7D&quot;/&gt;&lt;wsp:rsid wsp:val=&quot;002E0CE1&quot;/&gt;&lt;wsp:rsid wsp:val=&quot;002E0F7D&quot;/&gt;&lt;wsp:rsid wsp:val=&quot;002E23EA&quot;/&gt;&lt;wsp:rsid wsp:val=&quot;002E263E&quot;/&gt;&lt;wsp:rsid wsp:val=&quot;002E3A6A&quot;/&gt;&lt;wsp:rsid wsp:val=&quot;002E3C99&quot;/&gt;&lt;wsp:rsid wsp:val=&quot;002E3DBB&quot;/&gt;&lt;wsp:rsid wsp:val=&quot;002E52C2&quot;/&gt;&lt;wsp:rsid wsp:val=&quot;002E69F2&quot;/&gt;&lt;wsp:rsid wsp:val=&quot;002E7153&quot;/&gt;&lt;wsp:rsid wsp:val=&quot;002F00DF&quot;/&gt;&lt;wsp:rsid wsp:val=&quot;002F0C16&quot;/&gt;&lt;wsp:rsid wsp:val=&quot;002F0F96&quot;/&gt;&lt;wsp:rsid wsp:val=&quot;002F141E&quot;/&gt;&lt;wsp:rsid wsp:val=&quot;002F180C&quot;/&gt;&lt;wsp:rsid wsp:val=&quot;002F1EDD&quot;/&gt;&lt;wsp:rsid wsp:val=&quot;002F25B4&quot;/&gt;&lt;wsp:rsid wsp:val=&quot;002F3BF6&quot;/&gt;&lt;wsp:rsid wsp:val=&quot;002F3D6B&quot;/&gt;&lt;wsp:rsid wsp:val=&quot;002F41B3&quot;/&gt;&lt;wsp:rsid wsp:val=&quot;002F47DB&quot;/&gt;&lt;wsp:rsid wsp:val=&quot;002F66B7&quot;/&gt;&lt;wsp:rsid wsp:val=&quot;002F6BB0&quot;/&gt;&lt;wsp:rsid wsp:val=&quot;002F6CD9&quot;/&gt;&lt;wsp:rsid wsp:val=&quot;002F7D3B&quot;/&gt;&lt;wsp:rsid wsp:val=&quot;0030003D&quot;/&gt;&lt;wsp:rsid wsp:val=&quot;0030039D&quot;/&gt;&lt;wsp:rsid wsp:val=&quot;0030157F&quot;/&gt;&lt;wsp:rsid wsp:val=&quot;00301D28&quot;/&gt;&lt;wsp:rsid wsp:val=&quot;0030215D&quot;/&gt;&lt;wsp:rsid wsp:val=&quot;0030298D&quot;/&gt;&lt;wsp:rsid wsp:val=&quot;00302D4D&quot;/&gt;&lt;wsp:rsid wsp:val=&quot;00303253&quot;/&gt;&lt;wsp:rsid wsp:val=&quot;00303491&quot;/&gt;&lt;wsp:rsid wsp:val=&quot;00303813&quot;/&gt;&lt;wsp:rsid wsp:val=&quot;00303859&quot;/&gt;&lt;wsp:rsid wsp:val=&quot;003038BE&quot;/&gt;&lt;wsp:rsid wsp:val=&quot;00303B02&quot;/&gt;&lt;wsp:rsid wsp:val=&quot;00303FBF&quot;/&gt;&lt;wsp:rsid wsp:val=&quot;00304212&quot;/&gt;&lt;wsp:rsid wsp:val=&quot;0030448F&quot;/&gt;&lt;wsp:rsid wsp:val=&quot;00306E2B&quot;/&gt;&lt;wsp:rsid wsp:val=&quot;00307386&quot;/&gt;&lt;wsp:rsid wsp:val=&quot;00307750&quot;/&gt;&lt;wsp:rsid wsp:val=&quot;003112BE&quot;/&gt;&lt;wsp:rsid wsp:val=&quot;0031168C&quot;/&gt;&lt;wsp:rsid wsp:val=&quot;00311719&quot;/&gt;&lt;wsp:rsid wsp:val=&quot;003117B9&quot;/&gt;&lt;wsp:rsid wsp:val=&quot;003119F0&quot;/&gt;&lt;wsp:rsid wsp:val=&quot;0031290A&quot;/&gt;&lt;wsp:rsid wsp:val=&quot;00312D6E&quot;/&gt;&lt;wsp:rsid wsp:val=&quot;00313253&quot;/&gt;&lt;wsp:rsid wsp:val=&quot;00313BED&quot;/&gt;&lt;wsp:rsid wsp:val=&quot;0031415F&quot;/&gt;&lt;wsp:rsid wsp:val=&quot;003157C4&quot;/&gt;&lt;wsp:rsid wsp:val=&quot;00316465&quot;/&gt;&lt;wsp:rsid wsp:val=&quot;00316676&quot;/&gt;&lt;wsp:rsid wsp:val=&quot;00316786&quot;/&gt;&lt;wsp:rsid wsp:val=&quot;00316C4E&quot;/&gt;&lt;wsp:rsid wsp:val=&quot;0031731C&quot;/&gt;&lt;wsp:rsid wsp:val=&quot;00317320&quot;/&gt;&lt;wsp:rsid wsp:val=&quot;00317FBC&quot;/&gt;&lt;wsp:rsid wsp:val=&quot;00320197&quot;/&gt;&lt;wsp:rsid wsp:val=&quot;00320907&quot;/&gt;&lt;wsp:rsid wsp:val=&quot;00320E63&quot;/&gt;&lt;wsp:rsid wsp:val=&quot;00321F3C&quot;/&gt;&lt;wsp:rsid wsp:val=&quot;0032226D&quot;/&gt;&lt;wsp:rsid wsp:val=&quot;00322F69&quot;/&gt;&lt;wsp:rsid wsp:val=&quot;003232AD&quot;/&gt;&lt;wsp:rsid wsp:val=&quot;003243D2&quot;/&gt;&lt;wsp:rsid wsp:val=&quot;00324C9E&quot;/&gt;&lt;wsp:rsid wsp:val=&quot;00324EE1&quot;/&gt;&lt;wsp:rsid wsp:val=&quot;00325297&quot;/&gt;&lt;wsp:rsid wsp:val=&quot;00325931&quot;/&gt;&lt;wsp:rsid wsp:val=&quot;0032769B&quot;/&gt;&lt;wsp:rsid wsp:val=&quot;00327B0E&quot;/&gt;&lt;wsp:rsid wsp:val=&quot;0033005E&quot;/&gt;&lt;wsp:rsid wsp:val=&quot;00330DE8&quot;/&gt;&lt;wsp:rsid wsp:val=&quot;00330FD6&quot;/&gt;&lt;wsp:rsid wsp:val=&quot;003311B2&quot;/&gt;&lt;wsp:rsid wsp:val=&quot;00331B43&quot;/&gt;&lt;wsp:rsid wsp:val=&quot;0033347C&quot;/&gt;&lt;wsp:rsid wsp:val=&quot;003334F0&quot;/&gt;&lt;wsp:rsid wsp:val=&quot;00333812&quot;/&gt;&lt;wsp:rsid wsp:val=&quot;003338ED&quot;/&gt;&lt;wsp:rsid wsp:val=&quot;00334124&quot;/&gt;&lt;wsp:rsid wsp:val=&quot;00334E1B&quot;/&gt;&lt;wsp:rsid wsp:val=&quot;00335B7C&quot;/&gt;&lt;wsp:rsid wsp:val=&quot;00336D5F&quot;/&gt;&lt;wsp:rsid wsp:val=&quot;00336EC7&quot;/&gt;&lt;wsp:rsid wsp:val=&quot;00337F97&quot;/&gt;&lt;wsp:rsid wsp:val=&quot;00340EE5&quot;/&gt;&lt;wsp:rsid wsp:val=&quot;003418B2&quot;/&gt;&lt;wsp:rsid wsp:val=&quot;00341CC0&quot;/&gt;&lt;wsp:rsid wsp:val=&quot;00343116&quot;/&gt;&lt;wsp:rsid wsp:val=&quot;00344D0D&quot;/&gt;&lt;wsp:rsid wsp:val=&quot;00345B93&quot;/&gt;&lt;wsp:rsid wsp:val=&quot;003465A3&quot;/&gt;&lt;wsp:rsid wsp:val=&quot;00346E7C&quot;/&gt;&lt;wsp:rsid wsp:val=&quot;00346E91&quot;/&gt;&lt;wsp:rsid wsp:val=&quot;00347279&quot;/&gt;&lt;wsp:rsid wsp:val=&quot;0034794B&quot;/&gt;&lt;wsp:rsid wsp:val=&quot;00347FA4&quot;/&gt;&lt;wsp:rsid wsp:val=&quot;00347FCC&quot;/&gt;&lt;wsp:rsid wsp:val=&quot;00350AA2&quot;/&gt;&lt;wsp:rsid wsp:val=&quot;0035117D&quot;/&gt;&lt;wsp:rsid wsp:val=&quot;00351185&quot;/&gt;&lt;wsp:rsid wsp:val=&quot;003511EA&quot;/&gt;&lt;wsp:rsid wsp:val=&quot;00351364&quot;/&gt;&lt;wsp:rsid wsp:val=&quot;00352392&quot;/&gt;&lt;wsp:rsid wsp:val=&quot;0035255A&quot;/&gt;&lt;wsp:rsid wsp:val=&quot;00352A03&quot;/&gt;&lt;wsp:rsid wsp:val=&quot;00352B62&quot;/&gt;&lt;wsp:rsid wsp:val=&quot;003536E2&quot;/&gt;&lt;wsp:rsid wsp:val=&quot;003538E5&quot;/&gt;&lt;wsp:rsid wsp:val=&quot;00353C92&quot;/&gt;&lt;wsp:rsid wsp:val=&quot;00354216&quot;/&gt;&lt;wsp:rsid wsp:val=&quot;00354E3E&quot;/&gt;&lt;wsp:rsid wsp:val=&quot;00354E71&quot;/&gt;&lt;wsp:rsid wsp:val=&quot;0035523B&quot;/&gt;&lt;wsp:rsid wsp:val=&quot;00355D68&quot;/&gt;&lt;wsp:rsid wsp:val=&quot;003568CB&quot;/&gt;&lt;wsp:rsid wsp:val=&quot;00356BE5&quot;/&gt;&lt;wsp:rsid wsp:val=&quot;003572CA&quot;/&gt;&lt;wsp:rsid wsp:val=&quot;00360895&quot;/&gt;&lt;wsp:rsid wsp:val=&quot;00361134&quot;/&gt;&lt;wsp:rsid wsp:val=&quot;0036184B&quot;/&gt;&lt;wsp:rsid wsp:val=&quot;003620E5&quot;/&gt;&lt;wsp:rsid wsp:val=&quot;003622B9&quot;/&gt;&lt;wsp:rsid wsp:val=&quot;00362676&quot;/&gt;&lt;wsp:rsid wsp:val=&quot;00362B58&quot;/&gt;&lt;wsp:rsid wsp:val=&quot;0036367E&quot;/&gt;&lt;wsp:rsid wsp:val=&quot;00364747&quot;/&gt;&lt;wsp:rsid wsp:val=&quot;003649ED&quot;/&gt;&lt;wsp:rsid wsp:val=&quot;00364A33&quot;/&gt;&lt;wsp:rsid wsp:val=&quot;003659F9&quot;/&gt;&lt;wsp:rsid wsp:val=&quot;00365E38&quot;/&gt;&lt;wsp:rsid wsp:val=&quot;00366294&quot;/&gt;&lt;wsp:rsid wsp:val=&quot;003667DE&quot;/&gt;&lt;wsp:rsid wsp:val=&quot;003676AE&quot;/&gt;&lt;wsp:rsid wsp:val=&quot;00367E31&quot;/&gt;&lt;wsp:rsid wsp:val=&quot;003704CF&quot;/&gt;&lt;wsp:rsid wsp:val=&quot;00371216&quot;/&gt;&lt;wsp:rsid wsp:val=&quot;00371DB5&quot;/&gt;&lt;wsp:rsid wsp:val=&quot;00372FD7&quot;/&gt;&lt;wsp:rsid wsp:val=&quot;00373371&quot;/&gt;&lt;wsp:rsid wsp:val=&quot;003744E3&quot;/&gt;&lt;wsp:rsid wsp:val=&quot;00375692&quot;/&gt;&lt;wsp:rsid wsp:val=&quot;00375CC7&quot;/&gt;&lt;wsp:rsid wsp:val=&quot;00376039&quot;/&gt;&lt;wsp:rsid wsp:val=&quot;00376C0D&quot;/&gt;&lt;wsp:rsid wsp:val=&quot;00376C34&quot;/&gt;&lt;wsp:rsid wsp:val=&quot;003777C3&quot;/&gt;&lt;wsp:rsid wsp:val=&quot;00377A58&quot;/&gt;&lt;wsp:rsid wsp:val=&quot;00377BF7&quot;/&gt;&lt;wsp:rsid wsp:val=&quot;003801D4&quot;/&gt;&lt;wsp:rsid wsp:val=&quot;0038057B&quot;/&gt;&lt;wsp:rsid wsp:val=&quot;00380BAA&quot;/&gt;&lt;wsp:rsid wsp:val=&quot;00380EAB&quot;/&gt;&lt;wsp:rsid wsp:val=&quot;00381B3C&quot;/&gt;&lt;wsp:rsid wsp:val=&quot;00381B5C&quot;/&gt;&lt;wsp:rsid wsp:val=&quot;0038202B&quot;/&gt;&lt;wsp:rsid wsp:val=&quot;00382761&quot;/&gt;&lt;wsp:rsid wsp:val=&quot;00382BDF&quot;/&gt;&lt;wsp:rsid wsp:val=&quot;00383892&quot;/&gt;&lt;wsp:rsid wsp:val=&quot;00383E68&quot;/&gt;&lt;wsp:rsid wsp:val=&quot;00383EE3&quot;/&gt;&lt;wsp:rsid wsp:val=&quot;003847F3&quot;/&gt;&lt;wsp:rsid wsp:val=&quot;00384833&quot;/&gt;&lt;wsp:rsid wsp:val=&quot;00384924&quot;/&gt;&lt;wsp:rsid wsp:val=&quot;00385C47&quot;/&gt;&lt;wsp:rsid wsp:val=&quot;00385D52&quot;/&gt;&lt;wsp:rsid wsp:val=&quot;00385E03&quot;/&gt;&lt;wsp:rsid wsp:val=&quot;003861A2&quot;/&gt;&lt;wsp:rsid wsp:val=&quot;00386752&quot;/&gt;&lt;wsp:rsid wsp:val=&quot;00386EBD&quot;/&gt;&lt;wsp:rsid wsp:val=&quot;00391B91&quot;/&gt;&lt;wsp:rsid wsp:val=&quot;00391D40&quot;/&gt;&lt;wsp:rsid wsp:val=&quot;003920B6&quot;/&gt;&lt;wsp:rsid wsp:val=&quot;003921A5&quot;/&gt;&lt;wsp:rsid wsp:val=&quot;003926BC&quot;/&gt;&lt;wsp:rsid wsp:val=&quot;00392976&quot;/&gt;&lt;wsp:rsid wsp:val=&quot;00392B62&quot;/&gt;&lt;wsp:rsid wsp:val=&quot;00393335&quot;/&gt;&lt;wsp:rsid wsp:val=&quot;003934FC&quot;/&gt;&lt;wsp:rsid wsp:val=&quot;00393971&quot;/&gt;&lt;wsp:rsid wsp:val=&quot;003939E2&quot;/&gt;&lt;wsp:rsid wsp:val=&quot;00393DE0&quot;/&gt;&lt;wsp:rsid wsp:val=&quot;00393EF0&quot;/&gt;&lt;wsp:rsid wsp:val=&quot;0039468E&quot;/&gt;&lt;wsp:rsid wsp:val=&quot;00394C64&quot;/&gt;&lt;wsp:rsid wsp:val=&quot;00394D0F&quot;/&gt;&lt;wsp:rsid wsp:val=&quot;003950C8&quot;/&gt;&lt;wsp:rsid wsp:val=&quot;003967CF&quot;/&gt;&lt;wsp:rsid wsp:val=&quot;0039767E&quot;/&gt;&lt;wsp:rsid wsp:val=&quot;00397AB1&quot;/&gt;&lt;wsp:rsid wsp:val=&quot;003A0554&quot;/&gt;&lt;wsp:rsid wsp:val=&quot;003A0B69&quot;/&gt;&lt;wsp:rsid wsp:val=&quot;003A0C70&quot;/&gt;&lt;wsp:rsid wsp:val=&quot;003A2002&quot;/&gt;&lt;wsp:rsid wsp:val=&quot;003A205A&quot;/&gt;&lt;wsp:rsid wsp:val=&quot;003A26CF&quot;/&gt;&lt;wsp:rsid wsp:val=&quot;003A27CB&quot;/&gt;&lt;wsp:rsid wsp:val=&quot;003A3A83&quot;/&gt;&lt;wsp:rsid wsp:val=&quot;003A3B56&quot;/&gt;&lt;wsp:rsid wsp:val=&quot;003A3F37&quot;/&gt;&lt;wsp:rsid wsp:val=&quot;003A476D&quot;/&gt;&lt;wsp:rsid wsp:val=&quot;003A4FC5&quot;/&gt;&lt;wsp:rsid wsp:val=&quot;003A500C&quot;/&gt;&lt;wsp:rsid wsp:val=&quot;003A5F48&quot;/&gt;&lt;wsp:rsid wsp:val=&quot;003A5FBA&quot;/&gt;&lt;wsp:rsid wsp:val=&quot;003A79D0&quot;/&gt;&lt;wsp:rsid wsp:val=&quot;003B0854&quot;/&gt;&lt;wsp:rsid wsp:val=&quot;003B0BF8&quot;/&gt;&lt;wsp:rsid wsp:val=&quot;003B0F46&quot;/&gt;&lt;wsp:rsid wsp:val=&quot;003B2E90&quot;/&gt;&lt;wsp:rsid wsp:val=&quot;003B3BF6&quot;/&gt;&lt;wsp:rsid wsp:val=&quot;003B3E27&quot;/&gt;&lt;wsp:rsid wsp:val=&quot;003B51C1&quot;/&gt;&lt;wsp:rsid wsp:val=&quot;003B5E95&quot;/&gt;&lt;wsp:rsid wsp:val=&quot;003B6066&quot;/&gt;&lt;wsp:rsid wsp:val=&quot;003B667E&quot;/&gt;&lt;wsp:rsid wsp:val=&quot;003B7692&quot;/&gt;&lt;wsp:rsid wsp:val=&quot;003C063B&quot;/&gt;&lt;wsp:rsid wsp:val=&quot;003C07AE&quot;/&gt;&lt;wsp:rsid wsp:val=&quot;003C18B6&quot;/&gt;&lt;wsp:rsid wsp:val=&quot;003C1971&quot;/&gt;&lt;wsp:rsid wsp:val=&quot;003C26D4&quot;/&gt;&lt;wsp:rsid wsp:val=&quot;003C3168&quot;/&gt;&lt;wsp:rsid wsp:val=&quot;003C3A42&quot;/&gt;&lt;wsp:rsid wsp:val=&quot;003C42D6&quot;/&gt;&lt;wsp:rsid wsp:val=&quot;003C532F&quot;/&gt;&lt;wsp:rsid wsp:val=&quot;003C7462&quot;/&gt;&lt;wsp:rsid wsp:val=&quot;003C7BE6&quot;/&gt;&lt;wsp:rsid wsp:val=&quot;003D0DD7&quot;/&gt;&lt;wsp:rsid wsp:val=&quot;003D14E9&quot;/&gt;&lt;wsp:rsid wsp:val=&quot;003D19CE&quot;/&gt;&lt;wsp:rsid wsp:val=&quot;003D1BAD&quot;/&gt;&lt;wsp:rsid wsp:val=&quot;003D1BD8&quot;/&gt;&lt;wsp:rsid wsp:val=&quot;003D1C29&quot;/&gt;&lt;wsp:rsid wsp:val=&quot;003D26DB&quot;/&gt;&lt;wsp:rsid wsp:val=&quot;003D305E&quot;/&gt;&lt;wsp:rsid wsp:val=&quot;003D3197&quot;/&gt;&lt;wsp:rsid wsp:val=&quot;003D36CA&quot;/&gt;&lt;wsp:rsid wsp:val=&quot;003D39F2&quot;/&gt;&lt;wsp:rsid wsp:val=&quot;003D3CD0&quot;/&gt;&lt;wsp:rsid wsp:val=&quot;003D3EAA&quot;/&gt;&lt;wsp:rsid wsp:val=&quot;003D519F&quot;/&gt;&lt;wsp:rsid wsp:val=&quot;003D526F&quot;/&gt;&lt;wsp:rsid wsp:val=&quot;003D5CB0&quot;/&gt;&lt;wsp:rsid wsp:val=&quot;003D6C14&quot;/&gt;&lt;wsp:rsid wsp:val=&quot;003D72B1&quot;/&gt;&lt;wsp:rsid wsp:val=&quot;003E021E&quot;/&gt;&lt;wsp:rsid wsp:val=&quot;003E0B41&quot;/&gt;&lt;wsp:rsid wsp:val=&quot;003E0E5D&quot;/&gt;&lt;wsp:rsid wsp:val=&quot;003E0E8F&quot;/&gt;&lt;wsp:rsid wsp:val=&quot;003E1AB4&quot;/&gt;&lt;wsp:rsid wsp:val=&quot;003E2948&quot;/&gt;&lt;wsp:rsid wsp:val=&quot;003E2D21&quot;/&gt;&lt;wsp:rsid wsp:val=&quot;003E3056&quot;/&gt;&lt;wsp:rsid wsp:val=&quot;003E3552&quot;/&gt;&lt;wsp:rsid wsp:val=&quot;003E3B68&quot;/&gt;&lt;wsp:rsid wsp:val=&quot;003E48D1&quot;/&gt;&lt;wsp:rsid wsp:val=&quot;003E4DC0&quot;/&gt;&lt;wsp:rsid wsp:val=&quot;003E5008&quot;/&gt;&lt;wsp:rsid wsp:val=&quot;003E55D0&quot;/&gt;&lt;wsp:rsid wsp:val=&quot;003E671A&quot;/&gt;&lt;wsp:rsid wsp:val=&quot;003E7043&quot;/&gt;&lt;wsp:rsid wsp:val=&quot;003E7B7F&quot;/&gt;&lt;wsp:rsid wsp:val=&quot;003F0204&quot;/&gt;&lt;wsp:rsid wsp:val=&quot;003F0309&quot;/&gt;&lt;wsp:rsid wsp:val=&quot;003F13F0&quot;/&gt;&lt;wsp:rsid wsp:val=&quot;003F1D21&quot;/&gt;&lt;wsp:rsid wsp:val=&quot;003F1D63&quot;/&gt;&lt;wsp:rsid wsp:val=&quot;003F388E&quot;/&gt;&lt;wsp:rsid wsp:val=&quot;003F3AF2&quot;/&gt;&lt;wsp:rsid wsp:val=&quot;003F4662&quot;/&gt;&lt;wsp:rsid wsp:val=&quot;003F4D28&quot;/&gt;&lt;wsp:rsid wsp:val=&quot;003F4E20&quot;/&gt;&lt;wsp:rsid wsp:val=&quot;003F5D37&quot;/&gt;&lt;wsp:rsid wsp:val=&quot;003F64DA&quot;/&gt;&lt;wsp:rsid wsp:val=&quot;003F7AA2&quot;/&gt;&lt;wsp:rsid wsp:val=&quot;003F7D2C&quot;/&gt;&lt;wsp:rsid wsp:val=&quot;00400404&quot;/&gt;&lt;wsp:rsid wsp:val=&quot;004012FF&quot;/&gt;&lt;wsp:rsid wsp:val=&quot;00401481&quot;/&gt;&lt;wsp:rsid wsp:val=&quot;004027FA&quot;/&gt;&lt;wsp:rsid wsp:val=&quot;00402C66&quot;/&gt;&lt;wsp:rsid wsp:val=&quot;00403686&quot;/&gt;&lt;wsp:rsid wsp:val=&quot;00403CAA&quot;/&gt;&lt;wsp:rsid wsp:val=&quot;00404B7E&quot;/&gt;&lt;wsp:rsid wsp:val=&quot;00405233&quot;/&gt;&lt;wsp:rsid wsp:val=&quot;00405A03&quot;/&gt;&lt;wsp:rsid wsp:val=&quot;00405CB8&quot;/&gt;&lt;wsp:rsid wsp:val=&quot;0040641A&quot;/&gt;&lt;wsp:rsid wsp:val=&quot;004072CB&quot;/&gt;&lt;wsp:rsid wsp:val=&quot;0040745E&quot;/&gt;&lt;wsp:rsid wsp:val=&quot;00407C06&quot;/&gt;&lt;wsp:rsid wsp:val=&quot;0041007A&quot;/&gt;&lt;wsp:rsid wsp:val=&quot;00410B0A&quot;/&gt;&lt;wsp:rsid wsp:val=&quot;00410D07&quot;/&gt;&lt;wsp:rsid wsp:val=&quot;004111D7&quot;/&gt;&lt;wsp:rsid wsp:val=&quot;00411421&quot;/&gt;&lt;wsp:rsid wsp:val=&quot;0041143B&quot;/&gt;&lt;wsp:rsid wsp:val=&quot;00411A8A&quot;/&gt;&lt;wsp:rsid wsp:val=&quot;00411F22&quot;/&gt;&lt;wsp:rsid wsp:val=&quot;004124BF&quot;/&gt;&lt;wsp:rsid wsp:val=&quot;00412611&quot;/&gt;&lt;wsp:rsid wsp:val=&quot;00412FF9&quot;/&gt;&lt;wsp:rsid wsp:val=&quot;004133EE&quot;/&gt;&lt;wsp:rsid wsp:val=&quot;00413A21&quot;/&gt;&lt;wsp:rsid wsp:val=&quot;00414937&quot;/&gt;&lt;wsp:rsid wsp:val=&quot;00414E87&quot;/&gt;&lt;wsp:rsid wsp:val=&quot;0041502A&quot;/&gt;&lt;wsp:rsid wsp:val=&quot;00415610&quot;/&gt;&lt;wsp:rsid wsp:val=&quot;004160BB&quot;/&gt;&lt;wsp:rsid wsp:val=&quot;004167E0&quot;/&gt;&lt;wsp:rsid wsp:val=&quot;00417120&quot;/&gt;&lt;wsp:rsid wsp:val=&quot;00420686&quot;/&gt;&lt;wsp:rsid wsp:val=&quot;00420C9B&quot;/&gt;&lt;wsp:rsid wsp:val=&quot;00420EFE&quot;/&gt;&lt;wsp:rsid wsp:val=&quot;00421B27&quot;/&gt;&lt;wsp:rsid wsp:val=&quot;0042347B&quot;/&gt;&lt;wsp:rsid wsp:val=&quot;004243C3&quot;/&gt;&lt;wsp:rsid wsp:val=&quot;00424608&quot;/&gt;&lt;wsp:rsid wsp:val=&quot;00425007&quot;/&gt;&lt;wsp:rsid wsp:val=&quot;004256BE&quot;/&gt;&lt;wsp:rsid wsp:val=&quot;004257F3&quot;/&gt;&lt;wsp:rsid wsp:val=&quot;00426B8A&quot;/&gt;&lt;wsp:rsid wsp:val=&quot;00426D0B&quot;/&gt;&lt;wsp:rsid wsp:val=&quot;0042751C&quot;/&gt;&lt;wsp:rsid wsp:val=&quot;00427AC4&quot;/&gt;&lt;wsp:rsid wsp:val=&quot;004305CB&quot;/&gt;&lt;wsp:rsid wsp:val=&quot;004313CA&quot;/&gt;&lt;wsp:rsid wsp:val=&quot;00432386&quot;/&gt;&lt;wsp:rsid wsp:val=&quot;00432D72&quot;/&gt;&lt;wsp:rsid wsp:val=&quot;004331B6&quot;/&gt;&lt;wsp:rsid wsp:val=&quot;004346BD&quot;/&gt;&lt;wsp:rsid wsp:val=&quot;00435001&quot;/&gt;&lt;wsp:rsid wsp:val=&quot;0043611E&quot;/&gt;&lt;wsp:rsid wsp:val=&quot;0043619A&quot;/&gt;&lt;wsp:rsid wsp:val=&quot;004364D5&quot;/&gt;&lt;wsp:rsid wsp:val=&quot;00437354&quot;/&gt;&lt;wsp:rsid wsp:val=&quot;004379D5&quot;/&gt;&lt;wsp:rsid wsp:val=&quot;00440009&quot;/&gt;&lt;wsp:rsid wsp:val=&quot;00441B30&quot;/&gt;&lt;wsp:rsid wsp:val=&quot;00441FED&quot;/&gt;&lt;wsp:rsid wsp:val=&quot;00442034&quot;/&gt;&lt;wsp:rsid wsp:val=&quot;00442460&quot;/&gt;&lt;wsp:rsid wsp:val=&quot;00442542&quot;/&gt;&lt;wsp:rsid wsp:val=&quot;00443F2C&quot;/&gt;&lt;wsp:rsid wsp:val=&quot;00444B56&quot;/&gt;&lt;wsp:rsid wsp:val=&quot;00445007&quot;/&gt;&lt;wsp:rsid wsp:val=&quot;004463EA&quot;/&gt;&lt;wsp:rsid wsp:val=&quot;00446EFB&quot;/&gt;&lt;wsp:rsid wsp:val=&quot;00447E0D&quot;/&gt;&lt;wsp:rsid wsp:val=&quot;004504CD&quot;/&gt;&lt;wsp:rsid wsp:val=&quot;00450801&quot;/&gt;&lt;wsp:rsid wsp:val=&quot;00451316&quot;/&gt;&lt;wsp:rsid wsp:val=&quot;00451711&quot;/&gt;&lt;wsp:rsid wsp:val=&quot;00451BBC&quot;/&gt;&lt;wsp:rsid wsp:val=&quot;00452D88&quot;/&gt;&lt;wsp:rsid wsp:val=&quot;004536B6&quot;/&gt;&lt;wsp:rsid wsp:val=&quot;00453899&quot;/&gt;&lt;wsp:rsid wsp:val=&quot;00453E9C&quot;/&gt;&lt;wsp:rsid wsp:val=&quot;0045437D&quot;/&gt;&lt;wsp:rsid wsp:val=&quot;0045450D&quot;/&gt;&lt;wsp:rsid wsp:val=&quot;0045507E&quot;/&gt;&lt;wsp:rsid wsp:val=&quot;00455233&quot;/&gt;&lt;wsp:rsid wsp:val=&quot;004556CC&quot;/&gt;&lt;wsp:rsid wsp:val=&quot;00456EE3&quot;/&gt;&lt;wsp:rsid wsp:val=&quot;0045701C&quot;/&gt;&lt;wsp:rsid wsp:val=&quot;00460C00&quot;/&gt;&lt;wsp:rsid wsp:val=&quot;00460CF7&quot;/&gt;&lt;wsp:rsid wsp:val=&quot;00460D59&quot;/&gt;&lt;wsp:rsid wsp:val=&quot;004613FC&quot;/&gt;&lt;wsp:rsid wsp:val=&quot;00461A2B&quot;/&gt;&lt;wsp:rsid wsp:val=&quot;00461A44&quot;/&gt;&lt;wsp:rsid wsp:val=&quot;004621AC&quot;/&gt;&lt;wsp:rsid wsp:val=&quot;00462666&quot;/&gt;&lt;wsp:rsid wsp:val=&quot;00462B7F&quot;/&gt;&lt;wsp:rsid wsp:val=&quot;004631B0&quot;/&gt;&lt;wsp:rsid wsp:val=&quot;00466A46&quot;/&gt;&lt;wsp:rsid wsp:val=&quot;00466B2D&quot;/&gt;&lt;wsp:rsid wsp:val=&quot;00466F17&quot;/&gt;&lt;wsp:rsid wsp:val=&quot;004673D1&quot;/&gt;&lt;wsp:rsid wsp:val=&quot;00467973&quot;/&gt;&lt;wsp:rsid wsp:val=&quot;004703F3&quot;/&gt;&lt;wsp:rsid wsp:val=&quot;004727D9&quot;/&gt;&lt;wsp:rsid wsp:val=&quot;00473816&quot;/&gt;&lt;wsp:rsid wsp:val=&quot;00474A34&quot;/&gt;&lt;wsp:rsid wsp:val=&quot;00474BDD&quot;/&gt;&lt;wsp:rsid wsp:val=&quot;00474E48&quot;/&gt;&lt;wsp:rsid wsp:val=&quot;00475D30&quot;/&gt;&lt;wsp:rsid wsp:val=&quot;004770CF&quot;/&gt;&lt;wsp:rsid wsp:val=&quot;00480156&quot;/&gt;&lt;wsp:rsid wsp:val=&quot;00481396&quot;/&gt;&lt;wsp:rsid wsp:val=&quot;0048140F&quot;/&gt;&lt;wsp:rsid wsp:val=&quot;004816A5&quot;/&gt;&lt;wsp:rsid wsp:val=&quot;00481A91&quot;/&gt;&lt;wsp:rsid wsp:val=&quot;004822EF&quot;/&gt;&lt;wsp:rsid wsp:val=&quot;00482D5D&quot;/&gt;&lt;wsp:rsid wsp:val=&quot;004837E6&quot;/&gt;&lt;wsp:rsid wsp:val=&quot;00484094&quot;/&gt;&lt;wsp:rsid wsp:val=&quot;0048443B&quot;/&gt;&lt;wsp:rsid wsp:val=&quot;004855FE&quot;/&gt;&lt;wsp:rsid wsp:val=&quot;00487D2D&quot;/&gt;&lt;wsp:rsid wsp:val=&quot;00490766&quot;/&gt;&lt;wsp:rsid wsp:val=&quot;00490EB4&quot;/&gt;&lt;wsp:rsid wsp:val=&quot;00491714&quot;/&gt;&lt;wsp:rsid wsp:val=&quot;00491DF7&quot;/&gt;&lt;wsp:rsid wsp:val=&quot;00492838&quot;/&gt;&lt;wsp:rsid wsp:val=&quot;004938C1&quot;/&gt;&lt;wsp:rsid wsp:val=&quot;004940B3&quot;/&gt;&lt;wsp:rsid wsp:val=&quot;00494E00&quot;/&gt;&lt;wsp:rsid wsp:val=&quot;00494FD1&quot;/&gt;&lt;wsp:rsid wsp:val=&quot;00495BF7&quot;/&gt;&lt;wsp:rsid wsp:val=&quot;00495E77&quot;/&gt;&lt;wsp:rsid wsp:val=&quot;00496D64&quot;/&gt;&lt;wsp:rsid wsp:val=&quot;00497358&quot;/&gt;&lt;wsp:rsid wsp:val=&quot;00497E3B&quot;/&gt;&lt;wsp:rsid wsp:val=&quot;004A0358&quot;/&gt;&lt;wsp:rsid wsp:val=&quot;004A043F&quot;/&gt;&lt;wsp:rsid wsp:val=&quot;004A0742&quot;/&gt;&lt;wsp:rsid wsp:val=&quot;004A1EFE&quot;/&gt;&lt;wsp:rsid wsp:val=&quot;004A3550&quot;/&gt;&lt;wsp:rsid wsp:val=&quot;004A3D64&quot;/&gt;&lt;wsp:rsid wsp:val=&quot;004A4479&quot;/&gt;&lt;wsp:rsid wsp:val=&quot;004A45C2&quot;/&gt;&lt;wsp:rsid wsp:val=&quot;004A49E8&quot;/&gt;&lt;wsp:rsid wsp:val=&quot;004A4BB4&quot;/&gt;&lt;wsp:rsid wsp:val=&quot;004A4DB0&quot;/&gt;&lt;wsp:rsid wsp:val=&quot;004A4E31&quot;/&gt;&lt;wsp:rsid wsp:val=&quot;004A5E9B&quot;/&gt;&lt;wsp:rsid wsp:val=&quot;004A6958&quot;/&gt;&lt;wsp:rsid wsp:val=&quot;004A7536&quot;/&gt;&lt;wsp:rsid wsp:val=&quot;004A7B02&quot;/&gt;&lt;wsp:rsid wsp:val=&quot;004A7F70&quot;/&gt;&lt;wsp:rsid wsp:val=&quot;004B00D5&quot;/&gt;&lt;wsp:rsid wsp:val=&quot;004B01D4&quot;/&gt;&lt;wsp:rsid wsp:val=&quot;004B0575&quot;/&gt;&lt;wsp:rsid wsp:val=&quot;004B0638&quot;/&gt;&lt;wsp:rsid wsp:val=&quot;004B0A9F&quot;/&gt;&lt;wsp:rsid wsp:val=&quot;004B145E&quot;/&gt;&lt;wsp:rsid wsp:val=&quot;004B1E5F&quot;/&gt;&lt;wsp:rsid wsp:val=&quot;004B246B&quot;/&gt;&lt;wsp:rsid wsp:val=&quot;004B2580&quot;/&gt;&lt;wsp:rsid wsp:val=&quot;004B2798&quot;/&gt;&lt;wsp:rsid wsp:val=&quot;004B2AE3&quot;/&gt;&lt;wsp:rsid wsp:val=&quot;004B2BD7&quot;/&gt;&lt;wsp:rsid wsp:val=&quot;004B2D2A&quot;/&gt;&lt;wsp:rsid wsp:val=&quot;004B37F0&quot;/&gt;&lt;wsp:rsid wsp:val=&quot;004B3C05&quot;/&gt;&lt;wsp:rsid wsp:val=&quot;004B41AE&quot;/&gt;&lt;wsp:rsid wsp:val=&quot;004B4DA5&quot;/&gt;&lt;wsp:rsid wsp:val=&quot;004B50DA&quot;/&gt;&lt;wsp:rsid wsp:val=&quot;004B5E2D&quot;/&gt;&lt;wsp:rsid wsp:val=&quot;004B7141&quot;/&gt;&lt;wsp:rsid wsp:val=&quot;004B71E5&quot;/&gt;&lt;wsp:rsid wsp:val=&quot;004B75A7&quot;/&gt;&lt;wsp:rsid wsp:val=&quot;004B7A6D&quot;/&gt;&lt;wsp:rsid wsp:val=&quot;004B7DC9&quot;/&gt;&lt;wsp:rsid wsp:val=&quot;004B7FBC&quot;/&gt;&lt;wsp:rsid wsp:val=&quot;004C0B30&quot;/&gt;&lt;wsp:rsid wsp:val=&quot;004C16A6&quot;/&gt;&lt;wsp:rsid wsp:val=&quot;004C2853&quot;/&gt;&lt;wsp:rsid wsp:val=&quot;004C2AC8&quot;/&gt;&lt;wsp:rsid wsp:val=&quot;004C2ECC&quot;/&gt;&lt;wsp:rsid wsp:val=&quot;004C30A8&quot;/&gt;&lt;wsp:rsid wsp:val=&quot;004C40CA&quot;/&gt;&lt;wsp:rsid wsp:val=&quot;004C41E3&quot;/&gt;&lt;wsp:rsid wsp:val=&quot;004C47C1&quot;/&gt;&lt;wsp:rsid wsp:val=&quot;004C61B1&quot;/&gt;&lt;wsp:rsid wsp:val=&quot;004C6856&quot;/&gt;&lt;wsp:rsid wsp:val=&quot;004C6D76&quot;/&gt;&lt;wsp:rsid wsp:val=&quot;004C70E0&quot;/&gt;&lt;wsp:rsid wsp:val=&quot;004C797A&quot;/&gt;&lt;wsp:rsid wsp:val=&quot;004D1202&quot;/&gt;&lt;wsp:rsid wsp:val=&quot;004D198A&quot;/&gt;&lt;wsp:rsid wsp:val=&quot;004D22F4&quot;/&gt;&lt;wsp:rsid wsp:val=&quot;004D4466&quot;/&gt;&lt;wsp:rsid wsp:val=&quot;004D5765&quot;/&gt;&lt;wsp:rsid wsp:val=&quot;004D588F&quot;/&gt;&lt;wsp:rsid wsp:val=&quot;004D6D21&quot;/&gt;&lt;wsp:rsid wsp:val=&quot;004D7C72&quot;/&gt;&lt;wsp:rsid wsp:val=&quot;004E016C&quot;/&gt;&lt;wsp:rsid wsp:val=&quot;004E0815&quot;/&gt;&lt;wsp:rsid wsp:val=&quot;004E180C&quot;/&gt;&lt;wsp:rsid wsp:val=&quot;004E318D&quot;/&gt;&lt;wsp:rsid wsp:val=&quot;004E3E7D&quot;/&gt;&lt;wsp:rsid wsp:val=&quot;004E517F&quot;/&gt;&lt;wsp:rsid wsp:val=&quot;004E5239&quot;/&gt;&lt;wsp:rsid wsp:val=&quot;004E5776&quot;/&gt;&lt;wsp:rsid wsp:val=&quot;004E5B2B&quot;/&gt;&lt;wsp:rsid wsp:val=&quot;004E5CDD&quot;/&gt;&lt;wsp:rsid wsp:val=&quot;004E5DC4&quot;/&gt;&lt;wsp:rsid wsp:val=&quot;004E5ED8&quot;/&gt;&lt;wsp:rsid wsp:val=&quot;004E5F51&quot;/&gt;&lt;wsp:rsid wsp:val=&quot;004E656B&quot;/&gt;&lt;wsp:rsid wsp:val=&quot;004E71EA&quot;/&gt;&lt;wsp:rsid wsp:val=&quot;004E76AD&quot;/&gt;&lt;wsp:rsid wsp:val=&quot;004E7D96&quot;/&gt;&lt;wsp:rsid wsp:val=&quot;004F17D2&quot;/&gt;&lt;wsp:rsid wsp:val=&quot;004F347D&quot;/&gt;&lt;wsp:rsid wsp:val=&quot;004F3A3F&quot;/&gt;&lt;wsp:rsid wsp:val=&quot;004F3C7A&quot;/&gt;&lt;wsp:rsid wsp:val=&quot;004F3F61&quot;/&gt;&lt;wsp:rsid wsp:val=&quot;004F4A00&quot;/&gt;&lt;wsp:rsid wsp:val=&quot;004F5097&quot;/&gt;&lt;wsp:rsid wsp:val=&quot;004F5596&quot;/&gt;&lt;wsp:rsid wsp:val=&quot;004F5B4C&quot;/&gt;&lt;wsp:rsid wsp:val=&quot;004F5D90&quot;/&gt;&lt;wsp:rsid wsp:val=&quot;004F61CB&quot;/&gt;&lt;wsp:rsid wsp:val=&quot;004F6684&quot;/&gt;&lt;wsp:rsid wsp:val=&quot;004F6C66&quot;/&gt;&lt;wsp:rsid wsp:val=&quot;004F7851&quot;/&gt;&lt;wsp:rsid wsp:val=&quot;004F7EC3&quot;/&gt;&lt;wsp:rsid wsp:val=&quot;005011DA&quot;/&gt;&lt;wsp:rsid wsp:val=&quot;00501275&quot;/&gt;&lt;wsp:rsid wsp:val=&quot;00501297&quot;/&gt;&lt;wsp:rsid wsp:val=&quot;005015A7&quot;/&gt;&lt;wsp:rsid wsp:val=&quot;005019AE&quot;/&gt;&lt;wsp:rsid wsp:val=&quot;0050246A&quot;/&gt;&lt;wsp:rsid wsp:val=&quot;00502BBE&quot;/&gt;&lt;wsp:rsid wsp:val=&quot;00503121&quot;/&gt;&lt;wsp:rsid wsp:val=&quot;005031C0&quot;/&gt;&lt;wsp:rsid wsp:val=&quot;005035FD&quot;/&gt;&lt;wsp:rsid wsp:val=&quot;00503760&quot;/&gt;&lt;wsp:rsid wsp:val=&quot;005048A8&quot;/&gt;&lt;wsp:rsid wsp:val=&quot;00505573&quot;/&gt;&lt;wsp:rsid wsp:val=&quot;005055D0&quot;/&gt;&lt;wsp:rsid wsp:val=&quot;00505C7A&quot;/&gt;&lt;wsp:rsid wsp:val=&quot;00510E62&quot;/&gt;&lt;wsp:rsid wsp:val=&quot;00511C7E&quot;/&gt;&lt;wsp:rsid wsp:val=&quot;005133A8&quot;/&gt;&lt;wsp:rsid wsp:val=&quot;00513932&quot;/&gt;&lt;wsp:rsid wsp:val=&quot;0051413A&quot;/&gt;&lt;wsp:rsid wsp:val=&quot;0051488A&quot;/&gt;&lt;wsp:rsid wsp:val=&quot;0051499A&quot;/&gt;&lt;wsp:rsid wsp:val=&quot;00514BD0&quot;/&gt;&lt;wsp:rsid wsp:val=&quot;00514EE4&quot;/&gt;&lt;wsp:rsid wsp:val=&quot;0051514F&quot;/&gt;&lt;wsp:rsid wsp:val=&quot;00515BE4&quot;/&gt;&lt;wsp:rsid wsp:val=&quot;0051636E&quot;/&gt;&lt;wsp:rsid wsp:val=&quot;00517581&quot;/&gt;&lt;wsp:rsid wsp:val=&quot;005178C7&quot;/&gt;&lt;wsp:rsid wsp:val=&quot;00517D74&quot;/&gt;&lt;wsp:rsid wsp:val=&quot;005209C6&quot;/&gt;&lt;wsp:rsid wsp:val=&quot;00520B3A&quot;/&gt;&lt;wsp:rsid wsp:val=&quot;005233B9&quot;/&gt;&lt;wsp:rsid wsp:val=&quot;0052361A&quot;/&gt;&lt;wsp:rsid wsp:val=&quot;00523824&quot;/&gt;&lt;wsp:rsid wsp:val=&quot;00523F16&quot;/&gt;&lt;wsp:rsid wsp:val=&quot;00524CD6&quot;/&gt;&lt;wsp:rsid wsp:val=&quot;00525930&quot;/&gt;&lt;wsp:rsid wsp:val=&quot;00525C2B&quot;/&gt;&lt;wsp:rsid wsp:val=&quot;00525CE5&quot;/&gt;&lt;wsp:rsid wsp:val=&quot;00525F91&quot;/&gt;&lt;wsp:rsid wsp:val=&quot;00527A9A&quot;/&gt;&lt;wsp:rsid wsp:val=&quot;0053143E&quot;/&gt;&lt;wsp:rsid wsp:val=&quot;00531DBA&quot;/&gt;&lt;wsp:rsid wsp:val=&quot;00532687&quot;/&gt;&lt;wsp:rsid wsp:val=&quot;005339C7&quot;/&gt;&lt;wsp:rsid wsp:val=&quot;005351DA&quot;/&gt;&lt;wsp:rsid wsp:val=&quot;00535DB3&quot;/&gt;&lt;wsp:rsid wsp:val=&quot;00537599&quot;/&gt;&lt;wsp:rsid wsp:val=&quot;0053793B&quot;/&gt;&lt;wsp:rsid wsp:val=&quot;00537988&quot;/&gt;&lt;wsp:rsid wsp:val=&quot;005408AF&quot;/&gt;&lt;wsp:rsid wsp:val=&quot;00540EBC&quot;/&gt;&lt;wsp:rsid wsp:val=&quot;00540F47&quot;/&gt;&lt;wsp:rsid wsp:val=&quot;005413FD&quot;/&gt;&lt;wsp:rsid wsp:val=&quot;00541408&quot;/&gt;&lt;wsp:rsid wsp:val=&quot;00542104&quot;/&gt;&lt;wsp:rsid wsp:val=&quot;005436CB&quot;/&gt;&lt;wsp:rsid wsp:val=&quot;00546EDC&quot;/&gt;&lt;wsp:rsid wsp:val=&quot;00547224&quot;/&gt;&lt;wsp:rsid wsp:val=&quot;005510C1&quot;/&gt;&lt;wsp:rsid wsp:val=&quot;00551849&quot;/&gt;&lt;wsp:rsid wsp:val=&quot;005523A7&quot;/&gt;&lt;wsp:rsid wsp:val=&quot;0055252D&quot;/&gt;&lt;wsp:rsid wsp:val=&quot;00552EF9&quot;/&gt;&lt;wsp:rsid wsp:val=&quot;005537D4&quot;/&gt;&lt;wsp:rsid wsp:val=&quot;005537ED&quot;/&gt;&lt;wsp:rsid wsp:val=&quot;00554F01&quot;/&gt;&lt;wsp:rsid wsp:val=&quot;00555A9A&quot;/&gt;&lt;wsp:rsid wsp:val=&quot;00555AD9&quot;/&gt;&lt;wsp:rsid wsp:val=&quot;00555E61&quot;/&gt;&lt;wsp:rsid wsp:val=&quot;0055631D&quot;/&gt;&lt;wsp:rsid wsp:val=&quot;00556F37&quot;/&gt;&lt;wsp:rsid wsp:val=&quot;00561665&quot;/&gt;&lt;wsp:rsid wsp:val=&quot;005634A5&quot;/&gt;&lt;wsp:rsid wsp:val=&quot;005635C1&quot;/&gt;&lt;wsp:rsid wsp:val=&quot;005646FF&quot;/&gt;&lt;wsp:rsid wsp:val=&quot;00565858&quot;/&gt;&lt;wsp:rsid wsp:val=&quot;00565C7E&quot;/&gt;&lt;wsp:rsid wsp:val=&quot;00565F1B&quot;/&gt;&lt;wsp:rsid wsp:val=&quot;00566B46&quot;/&gt;&lt;wsp:rsid wsp:val=&quot;0056787D&quot;/&gt;&lt;wsp:rsid wsp:val=&quot;00567E09&quot;/&gt;&lt;wsp:rsid wsp:val=&quot;00567F9E&quot;/&gt;&lt;wsp:rsid wsp:val=&quot;00570635&quot;/&gt;&lt;wsp:rsid wsp:val=&quot;005713C6&quot;/&gt;&lt;wsp:rsid wsp:val=&quot;005719B1&quot;/&gt;&lt;wsp:rsid wsp:val=&quot;005720F8&quot;/&gt;&lt;wsp:rsid wsp:val=&quot;00572422&quot;/&gt;&lt;wsp:rsid wsp:val=&quot;00573363&quot;/&gt;&lt;wsp:rsid wsp:val=&quot;005736CE&quot;/&gt;&lt;wsp:rsid wsp:val=&quot;005745B0&quot;/&gt;&lt;wsp:rsid wsp:val=&quot;00574C4E&quot;/&gt;&lt;wsp:rsid wsp:val=&quot;005752DB&quot;/&gt;&lt;wsp:rsid wsp:val=&quot;00577402&quot;/&gt;&lt;wsp:rsid wsp:val=&quot;00577DB9&quot;/&gt;&lt;wsp:rsid wsp:val=&quot;00581DE0&quot;/&gt;&lt;wsp:rsid wsp:val=&quot;00582626&quot;/&gt;&lt;wsp:rsid wsp:val=&quot;00582E5C&quot;/&gt;&lt;wsp:rsid wsp:val=&quot;0058305D&quot;/&gt;&lt;wsp:rsid wsp:val=&quot;005836E7&quot;/&gt;&lt;wsp:rsid wsp:val=&quot;0058436F&quot;/&gt;&lt;wsp:rsid wsp:val=&quot;00584A9B&quot;/&gt;&lt;wsp:rsid wsp:val=&quot;0058576F&quot;/&gt;&lt;wsp:rsid wsp:val=&quot;00585C24&quot;/&gt;&lt;wsp:rsid wsp:val=&quot;005861E2&quot;/&gt;&lt;wsp:rsid wsp:val=&quot;00586981&quot;/&gt;&lt;wsp:rsid wsp:val=&quot;00586A5A&quot;/&gt;&lt;wsp:rsid wsp:val=&quot;00586CC8&quot;/&gt;&lt;wsp:rsid wsp:val=&quot;00586E03&quot;/&gt;&lt;wsp:rsid wsp:val=&quot;00587653&quot;/&gt;&lt;wsp:rsid wsp:val=&quot;00587938&quot;/&gt;&lt;wsp:rsid wsp:val=&quot;00590532&quot;/&gt;&lt;wsp:rsid wsp:val=&quot;005908C7&quot;/&gt;&lt;wsp:rsid wsp:val=&quot;005909FC&quot;/&gt;&lt;wsp:rsid wsp:val=&quot;00590F9C&quot;/&gt;&lt;wsp:rsid wsp:val=&quot;00591C1F&quot;/&gt;&lt;wsp:rsid wsp:val=&quot;005924B8&quot;/&gt;&lt;wsp:rsid wsp:val=&quot;00592DB0&quot;/&gt;&lt;wsp:rsid wsp:val=&quot;005933DC&quot;/&gt;&lt;wsp:rsid wsp:val=&quot;00593633&quot;/&gt;&lt;wsp:rsid wsp:val=&quot;005940E2&quot;/&gt;&lt;wsp:rsid wsp:val=&quot;00594C1E&quot;/&gt;&lt;wsp:rsid wsp:val=&quot;00594D8A&quot;/&gt;&lt;wsp:rsid wsp:val=&quot;00594EAA&quot;/&gt;&lt;wsp:rsid wsp:val=&quot;0059714E&quot;/&gt;&lt;wsp:rsid wsp:val=&quot;00597773&quot;/&gt;&lt;wsp:rsid wsp:val=&quot;005A0CAB&quot;/&gt;&lt;wsp:rsid wsp:val=&quot;005A26AC&quot;/&gt;&lt;wsp:rsid wsp:val=&quot;005A274E&quot;/&gt;&lt;wsp:rsid wsp:val=&quot;005A2D8A&quot;/&gt;&lt;wsp:rsid wsp:val=&quot;005A31A4&quot;/&gt;&lt;wsp:rsid wsp:val=&quot;005A3788&quot;/&gt;&lt;wsp:rsid wsp:val=&quot;005A391A&quot;/&gt;&lt;wsp:rsid wsp:val=&quot;005A433F&quot;/&gt;&lt;wsp:rsid wsp:val=&quot;005A46E3&quot;/&gt;&lt;wsp:rsid wsp:val=&quot;005A4B2E&quot;/&gt;&lt;wsp:rsid wsp:val=&quot;005A4CA1&quot;/&gt;&lt;wsp:rsid wsp:val=&quot;005A5B91&quot;/&gt;&lt;wsp:rsid wsp:val=&quot;005A5BD9&quot;/&gt;&lt;wsp:rsid wsp:val=&quot;005A5BE1&quot;/&gt;&lt;wsp:rsid wsp:val=&quot;005A632B&quot;/&gt;&lt;wsp:rsid wsp:val=&quot;005A6856&quot;/&gt;&lt;wsp:rsid wsp:val=&quot;005A6E08&quot;/&gt;&lt;wsp:rsid wsp:val=&quot;005A72FD&quot;/&gt;&lt;wsp:rsid wsp:val=&quot;005A7339&quot;/&gt;&lt;wsp:rsid wsp:val=&quot;005A7C2F&quot;/&gt;&lt;wsp:rsid wsp:val=&quot;005B064B&quot;/&gt;&lt;wsp:rsid wsp:val=&quot;005B0CC7&quot;/&gt;&lt;wsp:rsid wsp:val=&quot;005B1EC5&quot;/&gt;&lt;wsp:rsid wsp:val=&quot;005B2344&quot;/&gt;&lt;wsp:rsid wsp:val=&quot;005B2B41&quot;/&gt;&lt;wsp:rsid wsp:val=&quot;005B2B85&quot;/&gt;&lt;wsp:rsid wsp:val=&quot;005B2BA3&quot;/&gt;&lt;wsp:rsid wsp:val=&quot;005B3999&quot;/&gt;&lt;wsp:rsid wsp:val=&quot;005B3E10&quot;/&gt;&lt;wsp:rsid wsp:val=&quot;005B4D2B&quot;/&gt;&lt;wsp:rsid wsp:val=&quot;005B5645&quot;/&gt;&lt;wsp:rsid wsp:val=&quot;005B5680&quot;/&gt;&lt;wsp:rsid wsp:val=&quot;005B5B0E&quot;/&gt;&lt;wsp:rsid wsp:val=&quot;005B5F9A&quot;/&gt;&lt;wsp:rsid wsp:val=&quot;005B6289&quot;/&gt;&lt;wsp:rsid wsp:val=&quot;005B62F9&quot;/&gt;&lt;wsp:rsid wsp:val=&quot;005B7E99&quot;/&gt;&lt;wsp:rsid wsp:val=&quot;005C0392&quot;/&gt;&lt;wsp:rsid wsp:val=&quot;005C0A59&quot;/&gt;&lt;wsp:rsid wsp:val=&quot;005C0D2A&quot;/&gt;&lt;wsp:rsid wsp:val=&quot;005C101D&quot;/&gt;&lt;wsp:rsid wsp:val=&quot;005C1836&quot;/&gt;&lt;wsp:rsid wsp:val=&quot;005C1C0F&quot;/&gt;&lt;wsp:rsid wsp:val=&quot;005C1EAC&quot;/&gt;&lt;wsp:rsid wsp:val=&quot;005C22DB&quot;/&gt;&lt;wsp:rsid wsp:val=&quot;005C230D&quot;/&gt;&lt;wsp:rsid wsp:val=&quot;005C2987&quot;/&gt;&lt;wsp:rsid wsp:val=&quot;005C3F19&quot;/&gt;&lt;wsp:rsid wsp:val=&quot;005C6530&quot;/&gt;&lt;wsp:rsid wsp:val=&quot;005C65CB&quot;/&gt;&lt;wsp:rsid wsp:val=&quot;005C6B63&quot;/&gt;&lt;wsp:rsid wsp:val=&quot;005C706C&quot;/&gt;&lt;wsp:rsid wsp:val=&quot;005C7183&quot;/&gt;&lt;wsp:rsid wsp:val=&quot;005C731B&quot;/&gt;&lt;wsp:rsid wsp:val=&quot;005C7603&quot;/&gt;&lt;wsp:rsid wsp:val=&quot;005C7C07&quot;/&gt;&lt;wsp:rsid wsp:val=&quot;005C7F12&quot;/&gt;&lt;wsp:rsid wsp:val=&quot;005D089B&quot;/&gt;&lt;wsp:rsid wsp:val=&quot;005D0C8D&quot;/&gt;&lt;wsp:rsid wsp:val=&quot;005D2496&quot;/&gt;&lt;wsp:rsid wsp:val=&quot;005D3693&quot;/&gt;&lt;wsp:rsid wsp:val=&quot;005D37AB&quot;/&gt;&lt;wsp:rsid wsp:val=&quot;005D3F40&quot;/&gt;&lt;wsp:rsid wsp:val=&quot;005D4009&quot;/&gt;&lt;wsp:rsid wsp:val=&quot;005D4388&quot;/&gt;&lt;wsp:rsid wsp:val=&quot;005D4E76&quot;/&gt;&lt;wsp:rsid wsp:val=&quot;005D58A9&quot;/&gt;&lt;wsp:rsid wsp:val=&quot;005D5ECF&quot;/&gt;&lt;wsp:rsid wsp:val=&quot;005D6A52&quot;/&gt;&lt;wsp:rsid wsp:val=&quot;005D7CFE&quot;/&gt;&lt;wsp:rsid wsp:val=&quot;005E02EA&quot;/&gt;&lt;wsp:rsid wsp:val=&quot;005E093D&quot;/&gt;&lt;wsp:rsid wsp:val=&quot;005E0CD4&quot;/&gt;&lt;wsp:rsid wsp:val=&quot;005E1291&quot;/&gt;&lt;wsp:rsid wsp:val=&quot;005E1BFE&quot;/&gt;&lt;wsp:rsid wsp:val=&quot;005E1CB1&quot;/&gt;&lt;wsp:rsid wsp:val=&quot;005E228E&quot;/&gt;&lt;wsp:rsid wsp:val=&quot;005E28DB&quot;/&gt;&lt;wsp:rsid wsp:val=&quot;005E365F&quot;/&gt;&lt;wsp:rsid wsp:val=&quot;005E3C31&quot;/&gt;&lt;wsp:rsid wsp:val=&quot;005E425C&quot;/&gt;&lt;wsp:rsid wsp:val=&quot;005E4DD2&quot;/&gt;&lt;wsp:rsid wsp:val=&quot;005E5961&quot;/&gt;&lt;wsp:rsid wsp:val=&quot;005E5C2C&quot;/&gt;&lt;wsp:rsid wsp:val=&quot;005E6F51&quot;/&gt;&lt;wsp:rsid wsp:val=&quot;005E7AD0&quot;/&gt;&lt;wsp:rsid wsp:val=&quot;005E7F24&quot;/&gt;&lt;wsp:rsid wsp:val=&quot;005F10B4&quot;/&gt;&lt;wsp:rsid wsp:val=&quot;005F1D75&quot;/&gt;&lt;wsp:rsid wsp:val=&quot;005F30B5&quot;/&gt;&lt;wsp:rsid wsp:val=&quot;005F4AD7&quot;/&gt;&lt;wsp:rsid wsp:val=&quot;005F6027&quot;/&gt;&lt;wsp:rsid wsp:val=&quot;005F7040&quot;/&gt;&lt;wsp:rsid wsp:val=&quot;0060042D&quot;/&gt;&lt;wsp:rsid wsp:val=&quot;0060104D&quot;/&gt;&lt;wsp:rsid wsp:val=&quot;006017D9&quot;/&gt;&lt;wsp:rsid wsp:val=&quot;00603630&quot;/&gt;&lt;wsp:rsid wsp:val=&quot;00603710&quot;/&gt;&lt;wsp:rsid wsp:val=&quot;00603D80&quot;/&gt;&lt;wsp:rsid wsp:val=&quot;00604990&quot;/&gt;&lt;wsp:rsid wsp:val=&quot;00604F21&quot;/&gt;&lt;wsp:rsid wsp:val=&quot;00605799&quot;/&gt;&lt;wsp:rsid wsp:val=&quot;00605FDC&quot;/&gt;&lt;wsp:rsid wsp:val=&quot;00606DFB&quot;/&gt;&lt;wsp:rsid wsp:val=&quot;00606F17&quot;/&gt;&lt;wsp:rsid wsp:val=&quot;00607806&quot;/&gt;&lt;wsp:rsid wsp:val=&quot;00607FC3&quot;/&gt;&lt;wsp:rsid wsp:val=&quot;00610A68&quot;/&gt;&lt;wsp:rsid wsp:val=&quot;00611957&quot;/&gt;&lt;wsp:rsid wsp:val=&quot;00611A07&quot;/&gt;&lt;wsp:rsid wsp:val=&quot;0061210C&quot;/&gt;&lt;wsp:rsid wsp:val=&quot;006124D5&quot;/&gt;&lt;wsp:rsid wsp:val=&quot;0061269D&quot;/&gt;&lt;wsp:rsid wsp:val=&quot;00612BE0&quot;/&gt;&lt;wsp:rsid wsp:val=&quot;0061384F&quot;/&gt;&lt;wsp:rsid wsp:val=&quot;006139B9&quot;/&gt;&lt;wsp:rsid wsp:val=&quot;00614D29&quot;/&gt;&lt;wsp:rsid wsp:val=&quot;00615F29&quot;/&gt;&lt;wsp:rsid wsp:val=&quot;00616045&quot;/&gt;&lt;wsp:rsid wsp:val=&quot;006161D0&quot;/&gt;&lt;wsp:rsid wsp:val=&quot;00616BDD&quot;/&gt;&lt;wsp:rsid wsp:val=&quot;006219FE&quot;/&gt;&lt;wsp:rsid wsp:val=&quot;00621A91&quot;/&gt;&lt;wsp:rsid wsp:val=&quot;00622B06&quot;/&gt;&lt;wsp:rsid wsp:val=&quot;00622FCC&quot;/&gt;&lt;wsp:rsid wsp:val=&quot;00623F0C&quot;/&gt;&lt;wsp:rsid wsp:val=&quot;0062448B&quot;/&gt;&lt;wsp:rsid wsp:val=&quot;006244EA&quot;/&gt;&lt;wsp:rsid wsp:val=&quot;0062462A&quot;/&gt;&lt;wsp:rsid wsp:val=&quot;00624ABD&quot;/&gt;&lt;wsp:rsid wsp:val=&quot;00624EA6&quot;/&gt;&lt;wsp:rsid wsp:val=&quot;006257DA&quot;/&gt;&lt;wsp:rsid wsp:val=&quot;00625984&quot;/&gt;&lt;wsp:rsid wsp:val=&quot;00627914&quot;/&gt;&lt;wsp:rsid wsp:val=&quot;006301D1&quot;/&gt;&lt;wsp:rsid wsp:val=&quot;00630B5A&quot;/&gt;&lt;wsp:rsid wsp:val=&quot;006311E5&quot;/&gt;&lt;wsp:rsid wsp:val=&quot;006316BB&quot;/&gt;&lt;wsp:rsid wsp:val=&quot;006324B4&quot;/&gt;&lt;wsp:rsid wsp:val=&quot;00632F32&quot;/&gt;&lt;wsp:rsid wsp:val=&quot;00633255&quot;/&gt;&lt;wsp:rsid wsp:val=&quot;00633402&quot;/&gt;&lt;wsp:rsid wsp:val=&quot;00633FAF&quot;/&gt;&lt;wsp:rsid wsp:val=&quot;0063469C&quot;/&gt;&lt;wsp:rsid wsp:val=&quot;00634F49&quot;/&gt;&lt;wsp:rsid wsp:val=&quot;00635A33&quot;/&gt;&lt;wsp:rsid wsp:val=&quot;00635FB5&quot;/&gt;&lt;wsp:rsid wsp:val=&quot;00636A02&quot;/&gt;&lt;wsp:rsid wsp:val=&quot;00636A17&quot;/&gt;&lt;wsp:rsid wsp:val=&quot;00636B6E&quot;/&gt;&lt;wsp:rsid wsp:val=&quot;0063739C&quot;/&gt;&lt;wsp:rsid wsp:val=&quot;00640AF7&quot;/&gt;&lt;wsp:rsid wsp:val=&quot;00640B7F&quot;/&gt;&lt;wsp:rsid wsp:val=&quot;00640C6A&quot;/&gt;&lt;wsp:rsid wsp:val=&quot;00641BBA&quot;/&gt;&lt;wsp:rsid wsp:val=&quot;00642346&quot;/&gt;&lt;wsp:rsid wsp:val=&quot;0064235C&quot;/&gt;&lt;wsp:rsid wsp:val=&quot;0064353A&quot;/&gt;&lt;wsp:rsid wsp:val=&quot;006438ED&quot;/&gt;&lt;wsp:rsid wsp:val=&quot;00643C32&quot;/&gt;&lt;wsp:rsid wsp:val=&quot;00644674&quot;/&gt;&lt;wsp:rsid wsp:val=&quot;006450B9&quot;/&gt;&lt;wsp:rsid wsp:val=&quot;00645F4F&quot;/&gt;&lt;wsp:rsid wsp:val=&quot;00647496&quot;/&gt;&lt;wsp:rsid wsp:val=&quot;00647CE8&quot;/&gt;&lt;wsp:rsid wsp:val=&quot;00650160&quot;/&gt;&lt;wsp:rsid wsp:val=&quot;006526B0&quot;/&gt;&lt;wsp:rsid wsp:val=&quot;006527BD&quot;/&gt;&lt;wsp:rsid wsp:val=&quot;0065289A&quot;/&gt;&lt;wsp:rsid wsp:val=&quot;006528CC&quot;/&gt;&lt;wsp:rsid wsp:val=&quot;00652C05&quot;/&gt;&lt;wsp:rsid wsp:val=&quot;0065300E&quot;/&gt;&lt;wsp:rsid wsp:val=&quot;006533F5&quot;/&gt;&lt;wsp:rsid wsp:val=&quot;006534C4&quot;/&gt;&lt;wsp:rsid wsp:val=&quot;00653A74&quot;/&gt;&lt;wsp:rsid wsp:val=&quot;00654511&quot;/&gt;&lt;wsp:rsid wsp:val=&quot;0065554C&quot;/&gt;&lt;wsp:rsid wsp:val=&quot;0065661D&quot;/&gt;&lt;wsp:rsid wsp:val=&quot;00656F4D&quot;/&gt;&lt;wsp:rsid wsp:val=&quot;00660110&quot;/&gt;&lt;wsp:rsid wsp:val=&quot;00660615&quot;/&gt;&lt;wsp:rsid wsp:val=&quot;00660623&quot;/&gt;&lt;wsp:rsid wsp:val=&quot;00660D59&quot;/&gt;&lt;wsp:rsid wsp:val=&quot;0066185F&quot;/&gt;&lt;wsp:rsid wsp:val=&quot;00662466&quot;/&gt;&lt;wsp:rsid wsp:val=&quot;00663BD1&quot;/&gt;&lt;wsp:rsid wsp:val=&quot;00664336&quot;/&gt;&lt;wsp:rsid wsp:val=&quot;006657C2&quot;/&gt;&lt;wsp:rsid wsp:val=&quot;00670E0C&quot;/&gt;&lt;wsp:rsid wsp:val=&quot;00671224&quot;/&gt;&lt;wsp:rsid wsp:val=&quot;0067125B&quot;/&gt;&lt;wsp:rsid wsp:val=&quot;006712B8&quot;/&gt;&lt;wsp:rsid wsp:val=&quot;00671B0D&quot;/&gt;&lt;wsp:rsid wsp:val=&quot;00671B8B&quot;/&gt;&lt;wsp:rsid wsp:val=&quot;00671D49&quot;/&gt;&lt;wsp:rsid wsp:val=&quot;00672120&quot;/&gt;&lt;wsp:rsid wsp:val=&quot;00672654&quot;/&gt;&lt;wsp:rsid wsp:val=&quot;00672C98&quot;/&gt;&lt;wsp:rsid wsp:val=&quot;0067335A&quot;/&gt;&lt;wsp:rsid wsp:val=&quot;00673447&quot;/&gt;&lt;wsp:rsid wsp:val=&quot;00673976&quot;/&gt;&lt;wsp:rsid wsp:val=&quot;00673EEB&quot;/&gt;&lt;wsp:rsid wsp:val=&quot;0067402E&quot;/&gt;&lt;wsp:rsid wsp:val=&quot;00675270&quot;/&gt;&lt;wsp:rsid wsp:val=&quot;006759FB&quot;/&gt;&lt;wsp:rsid wsp:val=&quot;00675C2F&quot;/&gt;&lt;wsp:rsid wsp:val=&quot;00675FA6&quot;/&gt;&lt;wsp:rsid wsp:val=&quot;00677BE0&quot;/&gt;&lt;wsp:rsid wsp:val=&quot;00677E60&quot;/&gt;&lt;wsp:rsid wsp:val=&quot;00681641&quot;/&gt;&lt;wsp:rsid wsp:val=&quot;00682AC1&quot;/&gt;&lt;wsp:rsid wsp:val=&quot;00682FD3&quot;/&gt;&lt;wsp:rsid wsp:val=&quot;00683F1E&quot;/&gt;&lt;wsp:rsid wsp:val=&quot;006852BD&quot;/&gt;&lt;wsp:rsid wsp:val=&quot;006855E4&quot;/&gt;&lt;wsp:rsid wsp:val=&quot;00685D3E&quot;/&gt;&lt;wsp:rsid wsp:val=&quot;00686435&quot;/&gt;&lt;wsp:rsid wsp:val=&quot;00686C5C&quot;/&gt;&lt;wsp:rsid wsp:val=&quot;00686D0C&quot;/&gt;&lt;wsp:rsid wsp:val=&quot;00686F47&quot;/&gt;&lt;wsp:rsid wsp:val=&quot;0068741F&quot;/&gt;&lt;wsp:rsid wsp:val=&quot;00687752&quot;/&gt;&lt;wsp:rsid wsp:val=&quot;00687947&quot;/&gt;&lt;wsp:rsid wsp:val=&quot;00687AD0&quot;/&gt;&lt;wsp:rsid wsp:val=&quot;00687C67&quot;/&gt;&lt;wsp:rsid wsp:val=&quot;00687F91&quot;/&gt;&lt;wsp:rsid wsp:val=&quot;006900DD&quot;/&gt;&lt;wsp:rsid wsp:val=&quot;006907D1&quot;/&gt;&lt;wsp:rsid wsp:val=&quot;00690D05&quot;/&gt;&lt;wsp:rsid wsp:val=&quot;00692A80&quot;/&gt;&lt;wsp:rsid wsp:val=&quot;00692DBF&quot;/&gt;&lt;wsp:rsid wsp:val=&quot;00693388&quot;/&gt;&lt;wsp:rsid wsp:val=&quot;006933BC&quot;/&gt;&lt;wsp:rsid wsp:val=&quot;006943BE&quot;/&gt;&lt;wsp:rsid wsp:val=&quot;006952BE&quot;/&gt;&lt;wsp:rsid wsp:val=&quot;00695B88&quot;/&gt;&lt;wsp:rsid wsp:val=&quot;00695CDB&quot;/&gt;&lt;wsp:rsid wsp:val=&quot;00696577&quot;/&gt;&lt;wsp:rsid wsp:val=&quot;0069692D&quot;/&gt;&lt;wsp:rsid wsp:val=&quot;006971B9&quot;/&gt;&lt;wsp:rsid wsp:val=&quot;006976A7&quot;/&gt;&lt;wsp:rsid wsp:val=&quot;00697A43&quot;/&gt;&lt;wsp:rsid wsp:val=&quot;006A03B6&quot;/&gt;&lt;wsp:rsid wsp:val=&quot;006A0948&quot;/&gt;&lt;wsp:rsid wsp:val=&quot;006A09AC&quot;/&gt;&lt;wsp:rsid wsp:val=&quot;006A15E1&quot;/&gt;&lt;wsp:rsid wsp:val=&quot;006A1C7F&quot;/&gt;&lt;wsp:rsid wsp:val=&quot;006A2FB8&quot;/&gt;&lt;wsp:rsid wsp:val=&quot;006A3EE4&quot;/&gt;&lt;wsp:rsid wsp:val=&quot;006A417B&quot;/&gt;&lt;wsp:rsid wsp:val=&quot;006A6044&quot;/&gt;&lt;wsp:rsid wsp:val=&quot;006A6B36&quot;/&gt;&lt;wsp:rsid wsp:val=&quot;006A76F8&quot;/&gt;&lt;wsp:rsid wsp:val=&quot;006A781D&quot;/&gt;&lt;wsp:rsid wsp:val=&quot;006B03B5&quot;/&gt;&lt;wsp:rsid wsp:val=&quot;006B0BF6&quot;/&gt;&lt;wsp:rsid wsp:val=&quot;006B11EB&quot;/&gt;&lt;wsp:rsid wsp:val=&quot;006B1489&quot;/&gt;&lt;wsp:rsid wsp:val=&quot;006B155F&quot;/&gt;&lt;wsp:rsid wsp:val=&quot;006B1D9D&quot;/&gt;&lt;wsp:rsid wsp:val=&quot;006B1F26&quot;/&gt;&lt;wsp:rsid wsp:val=&quot;006B221E&quot;/&gt;&lt;wsp:rsid wsp:val=&quot;006B24D6&quot;/&gt;&lt;wsp:rsid wsp:val=&quot;006B27F5&quot;/&gt;&lt;wsp:rsid wsp:val=&quot;006B2EF2&quot;/&gt;&lt;wsp:rsid wsp:val=&quot;006B39A6&quot;/&gt;&lt;wsp:rsid wsp:val=&quot;006B3C58&quot;/&gt;&lt;wsp:rsid wsp:val=&quot;006B4B50&quot;/&gt;&lt;wsp:rsid wsp:val=&quot;006B4C92&quot;/&gt;&lt;wsp:rsid wsp:val=&quot;006B4EEA&quot;/&gt;&lt;wsp:rsid wsp:val=&quot;006B538F&quot;/&gt;&lt;wsp:rsid wsp:val=&quot;006B5A5A&quot;/&gt;&lt;wsp:rsid wsp:val=&quot;006B5E82&quot;/&gt;&lt;wsp:rsid wsp:val=&quot;006B6481&quot;/&gt;&lt;wsp:rsid wsp:val=&quot;006B6D1B&quot;/&gt;&lt;wsp:rsid wsp:val=&quot;006B7AFC&quot;/&gt;&lt;wsp:rsid wsp:val=&quot;006B7FE3&quot;/&gt;&lt;wsp:rsid wsp:val=&quot;006C02FF&quot;/&gt;&lt;wsp:rsid wsp:val=&quot;006C1491&quot;/&gt;&lt;wsp:rsid wsp:val=&quot;006C1CF4&quot;/&gt;&lt;wsp:rsid wsp:val=&quot;006C22CF&quot;/&gt;&lt;wsp:rsid wsp:val=&quot;006C283D&quot;/&gt;&lt;wsp:rsid wsp:val=&quot;006C284A&quot;/&gt;&lt;wsp:rsid wsp:val=&quot;006C31AD&quot;/&gt;&lt;wsp:rsid wsp:val=&quot;006C5233&quot;/&gt;&lt;wsp:rsid wsp:val=&quot;006C53E8&quot;/&gt;&lt;wsp:rsid wsp:val=&quot;006C55E6&quot;/&gt;&lt;wsp:rsid wsp:val=&quot;006C5E29&quot;/&gt;&lt;wsp:rsid wsp:val=&quot;006C682C&quot;/&gt;&lt;wsp:rsid wsp:val=&quot;006C75C0&quot;/&gt;&lt;wsp:rsid wsp:val=&quot;006D0213&quot;/&gt;&lt;wsp:rsid wsp:val=&quot;006D1F57&quot;/&gt;&lt;wsp:rsid wsp:val=&quot;006D2786&quot;/&gt;&lt;wsp:rsid wsp:val=&quot;006D2B47&quot;/&gt;&lt;wsp:rsid wsp:val=&quot;006D2F05&quot;/&gt;&lt;wsp:rsid wsp:val=&quot;006D3B3A&quot;/&gt;&lt;wsp:rsid wsp:val=&quot;006D3BED&quot;/&gt;&lt;wsp:rsid wsp:val=&quot;006D40F7&quot;/&gt;&lt;wsp:rsid wsp:val=&quot;006D4C4F&quot;/&gt;&lt;wsp:rsid wsp:val=&quot;006D7767&quot;/&gt;&lt;wsp:rsid wsp:val=&quot;006E0330&quot;/&gt;&lt;wsp:rsid wsp:val=&quot;006E0C6D&quot;/&gt;&lt;wsp:rsid wsp:val=&quot;006E101E&quot;/&gt;&lt;wsp:rsid wsp:val=&quot;006E1DD5&quot;/&gt;&lt;wsp:rsid wsp:val=&quot;006E30FF&quot;/&gt;&lt;wsp:rsid wsp:val=&quot;006E38C3&quot;/&gt;&lt;wsp:rsid wsp:val=&quot;006E3A0C&quot;/&gt;&lt;wsp:rsid wsp:val=&quot;006E6B4D&quot;/&gt;&lt;wsp:rsid wsp:val=&quot;006E6CA3&quot;/&gt;&lt;wsp:rsid wsp:val=&quot;006E7961&quot;/&gt;&lt;wsp:rsid wsp:val=&quot;006F0B2E&quot;/&gt;&lt;wsp:rsid wsp:val=&quot;006F0CBE&quot;/&gt;&lt;wsp:rsid wsp:val=&quot;006F21CD&quot;/&gt;&lt;wsp:rsid wsp:val=&quot;006F3104&quot;/&gt;&lt;wsp:rsid wsp:val=&quot;006F397C&quot;/&gt;&lt;wsp:rsid wsp:val=&quot;006F479B&quot;/&gt;&lt;wsp:rsid wsp:val=&quot;006F50B4&quot;/&gt;&lt;wsp:rsid wsp:val=&quot;006F56AA&quot;/&gt;&lt;wsp:rsid wsp:val=&quot;006F58CC&quot;/&gt;&lt;wsp:rsid wsp:val=&quot;006F58D2&quot;/&gt;&lt;wsp:rsid wsp:val=&quot;006F6346&quot;/&gt;&lt;wsp:rsid wsp:val=&quot;006F726D&quot;/&gt;&lt;wsp:rsid wsp:val=&quot;006F73D8&quot;/&gt;&lt;wsp:rsid wsp:val=&quot;007006A9&quot;/&gt;&lt;wsp:rsid wsp:val=&quot;00700861&quot;/&gt;&lt;wsp:rsid wsp:val=&quot;00700D70&quot;/&gt;&lt;wsp:rsid wsp:val=&quot;00701553&quot;/&gt;&lt;wsp:rsid wsp:val=&quot;00701A03&quot;/&gt;&lt;wsp:rsid wsp:val=&quot;00701A52&quot;/&gt;&lt;wsp:rsid wsp:val=&quot;00702AB7&quot;/&gt;&lt;wsp:rsid wsp:val=&quot;00703047&quot;/&gt;&lt;wsp:rsid wsp:val=&quot;00703290&quot;/&gt;&lt;wsp:rsid wsp:val=&quot;007041A4&quot;/&gt;&lt;wsp:rsid wsp:val=&quot;00704B3E&quot;/&gt;&lt;wsp:rsid wsp:val=&quot;00704C3F&quot;/&gt;&lt;wsp:rsid wsp:val=&quot;00704D08&quot;/&gt;&lt;wsp:rsid wsp:val=&quot;0070502E&quot;/&gt;&lt;wsp:rsid wsp:val=&quot;00706355&quot;/&gt;&lt;wsp:rsid wsp:val=&quot;007109D2&quot;/&gt;&lt;wsp:rsid wsp:val=&quot;00711C50&quot;/&gt;&lt;wsp:rsid wsp:val=&quot;00711F4F&quot;/&gt;&lt;wsp:rsid wsp:val=&quot;007127D7&quot;/&gt;&lt;wsp:rsid wsp:val=&quot;00712E2D&quot;/&gt;&lt;wsp:rsid wsp:val=&quot;00712FF8&quot;/&gt;&lt;wsp:rsid wsp:val=&quot;00713731&quot;/&gt;&lt;wsp:rsid wsp:val=&quot;00713A56&quot;/&gt;&lt;wsp:rsid wsp:val=&quot;00715276&quot;/&gt;&lt;wsp:rsid wsp:val=&quot;007156FC&quot;/&gt;&lt;wsp:rsid wsp:val=&quot;00715D49&quot;/&gt;&lt;wsp:rsid wsp:val=&quot;007166AA&quot;/&gt;&lt;wsp:rsid wsp:val=&quot;007172CC&quot;/&gt;&lt;wsp:rsid wsp:val=&quot;0072039F&quot;/&gt;&lt;wsp:rsid wsp:val=&quot;007209D0&quot;/&gt;&lt;wsp:rsid wsp:val=&quot;00720AFC&quot;/&gt;&lt;wsp:rsid wsp:val=&quot;00721332&quot;/&gt;&lt;wsp:rsid wsp:val=&quot;00722100&quot;/&gt;&lt;wsp:rsid wsp:val=&quot;007225E8&quot;/&gt;&lt;wsp:rsid wsp:val=&quot;00722E2C&quot;/&gt;&lt;wsp:rsid wsp:val=&quot;00722E61&quot;/&gt;&lt;wsp:rsid wsp:val=&quot;00723C8C&quot;/&gt;&lt;wsp:rsid wsp:val=&quot;00723E43&quot;/&gt;&lt;wsp:rsid wsp:val=&quot;00724654&quot;/&gt;&lt;wsp:rsid wsp:val=&quot;00725770&quot;/&gt;&lt;wsp:rsid wsp:val=&quot;007260AF&quot;/&gt;&lt;wsp:rsid wsp:val=&quot;007273F4&quot;/&gt;&lt;wsp:rsid wsp:val=&quot;007275D4&quot;/&gt;&lt;wsp:rsid wsp:val=&quot;00730168&quot;/&gt;&lt;wsp:rsid wsp:val=&quot;00730A31&quot;/&gt;&lt;wsp:rsid wsp:val=&quot;00731999&quot;/&gt;&lt;wsp:rsid wsp:val=&quot;00731E4F&quot;/&gt;&lt;wsp:rsid wsp:val=&quot;00733A08&quot;/&gt;&lt;wsp:rsid wsp:val=&quot;00733C89&quot;/&gt;&lt;wsp:rsid wsp:val=&quot;007367A6&quot;/&gt;&lt;wsp:rsid wsp:val=&quot;00736D4A&quot;/&gt;&lt;wsp:rsid wsp:val=&quot;0073771B&quot;/&gt;&lt;wsp:rsid wsp:val=&quot;00737FF3&quot;/&gt;&lt;wsp:rsid wsp:val=&quot;00740091&quot;/&gt;&lt;wsp:rsid wsp:val=&quot;0074065A&quot;/&gt;&lt;wsp:rsid wsp:val=&quot;0074082B&quot;/&gt;&lt;wsp:rsid wsp:val=&quot;0074091A&quot;/&gt;&lt;wsp:rsid wsp:val=&quot;00740DFC&quot;/&gt;&lt;wsp:rsid wsp:val=&quot;00741621&quot;/&gt;&lt;wsp:rsid wsp:val=&quot;0074167C&quot;/&gt;&lt;wsp:rsid wsp:val=&quot;00741BC6&quot;/&gt;&lt;wsp:rsid wsp:val=&quot;00742D3A&quot;/&gt;&lt;wsp:rsid wsp:val=&quot;007435A2&quot;/&gt;&lt;wsp:rsid wsp:val=&quot;007439AD&quot;/&gt;&lt;wsp:rsid wsp:val=&quot;0074590C&quot;/&gt;&lt;wsp:rsid wsp:val=&quot;00745BD2&quot;/&gt;&lt;wsp:rsid wsp:val=&quot;0074670C&quot;/&gt;&lt;wsp:rsid wsp:val=&quot;00746EA6&quot;/&gt;&lt;wsp:rsid wsp:val=&quot;00747622&quot;/&gt;&lt;wsp:rsid wsp:val=&quot;007501A3&quot;/&gt;&lt;wsp:rsid wsp:val=&quot;00750899&quot;/&gt;&lt;wsp:rsid wsp:val=&quot;00751D56&quot;/&gt;&lt;wsp:rsid wsp:val=&quot;00752330&quot;/&gt;&lt;wsp:rsid wsp:val=&quot;007527D9&quot;/&gt;&lt;wsp:rsid wsp:val=&quot;007534CE&quot;/&gt;&lt;wsp:rsid wsp:val=&quot;007534F1&quot;/&gt;&lt;wsp:rsid wsp:val=&quot;00753618&quot;/&gt;&lt;wsp:rsid wsp:val=&quot;00754126&quot;/&gt;&lt;wsp:rsid wsp:val=&quot;00754B37&quot;/&gt;&lt;wsp:rsid wsp:val=&quot;007550C3&quot;/&gt;&lt;wsp:rsid wsp:val=&quot;0075520F&quot;/&gt;&lt;wsp:rsid wsp:val=&quot;00755647&quot;/&gt;&lt;wsp:rsid wsp:val=&quot;00755679&quot;/&gt;&lt;wsp:rsid wsp:val=&quot;00756284&quot;/&gt;&lt;wsp:rsid wsp:val=&quot;007563E9&quot;/&gt;&lt;wsp:rsid wsp:val=&quot;007567DA&quot;/&gt;&lt;wsp:rsid wsp:val=&quot;00756C30&quot;/&gt;&lt;wsp:rsid wsp:val=&quot;00757FBC&quot;/&gt;&lt;wsp:rsid wsp:val=&quot;00760894&quot;/&gt;&lt;wsp:rsid wsp:val=&quot;00760AC6&quot;/&gt;&lt;wsp:rsid wsp:val=&quot;007610A5&quot;/&gt;&lt;wsp:rsid wsp:val=&quot;00761309&quot;/&gt;&lt;wsp:rsid wsp:val=&quot;00761662&quot;/&gt;&lt;wsp:rsid wsp:val=&quot;00761811&quot;/&gt;&lt;wsp:rsid wsp:val=&quot;00761BC5&quot;/&gt;&lt;wsp:rsid wsp:val=&quot;00761F74&quot;/&gt;&lt;wsp:rsid wsp:val=&quot;00761F9C&quot;/&gt;&lt;wsp:rsid wsp:val=&quot;007623A4&quot;/&gt;&lt;wsp:rsid wsp:val=&quot;00762825&quot;/&gt;&lt;wsp:rsid wsp:val=&quot;00762D77&quot;/&gt;&lt;wsp:rsid wsp:val=&quot;00762F67&quot;/&gt;&lt;wsp:rsid wsp:val=&quot;00763177&quot;/&gt;&lt;wsp:rsid wsp:val=&quot;00763E5D&quot;/&gt;&lt;wsp:rsid wsp:val=&quot;0076431B&quot;/&gt;&lt;wsp:rsid wsp:val=&quot;007651B6&quot;/&gt;&lt;wsp:rsid wsp:val=&quot;007654E1&quot;/&gt;&lt;wsp:rsid wsp:val=&quot;00766455&quot;/&gt;&lt;wsp:rsid wsp:val=&quot;00767940&quot;/&gt;&lt;wsp:rsid wsp:val=&quot;00767E91&quot;/&gt;&lt;wsp:rsid wsp:val=&quot;00767EC5&quot;/&gt;&lt;wsp:rsid wsp:val=&quot;00770B8D&quot;/&gt;&lt;wsp:rsid wsp:val=&quot;00771152&quot;/&gt;&lt;wsp:rsid wsp:val=&quot;00771DB3&quot;/&gt;&lt;wsp:rsid wsp:val=&quot;007726C6&quot;/&gt;&lt;wsp:rsid wsp:val=&quot;00772975&quot;/&gt;&lt;wsp:rsid wsp:val=&quot;0077299A&quot;/&gt;&lt;wsp:rsid wsp:val=&quot;00772B6E&quot;/&gt;&lt;wsp:rsid wsp:val=&quot;00773000&quot;/&gt;&lt;wsp:rsid wsp:val=&quot;00774D5C&quot;/&gt;&lt;wsp:rsid wsp:val=&quot;00776066&quot;/&gt;&lt;wsp:rsid wsp:val=&quot;00776366&quot;/&gt;&lt;wsp:rsid wsp:val=&quot;007768E4&quot;/&gt;&lt;wsp:rsid wsp:val=&quot;00776B89&quot;/&gt;&lt;wsp:rsid wsp:val=&quot;0077716A&quot;/&gt;&lt;wsp:rsid wsp:val=&quot;007777E4&quot;/&gt;&lt;wsp:rsid wsp:val=&quot;007805B8&quot;/&gt;&lt;wsp:rsid wsp:val=&quot;00782080&quot;/&gt;&lt;wsp:rsid wsp:val=&quot;00782341&quot;/&gt;&lt;wsp:rsid wsp:val=&quot;00782948&quot;/&gt;&lt;wsp:rsid wsp:val=&quot;007833E3&quot;/&gt;&lt;wsp:rsid wsp:val=&quot;007834D0&quot;/&gt;&lt;wsp:rsid wsp:val=&quot;00783E81&quot;/&gt;&lt;wsp:rsid wsp:val=&quot;0078436D&quot;/&gt;&lt;wsp:rsid wsp:val=&quot;00784A89&quot;/&gt;&lt;wsp:rsid wsp:val=&quot;00784B16&quot;/&gt;&lt;wsp:rsid wsp:val=&quot;00786762&quot;/&gt;&lt;wsp:rsid wsp:val=&quot;00787558&quot;/&gt;&lt;wsp:rsid wsp:val=&quot;007907F0&quot;/&gt;&lt;wsp:rsid wsp:val=&quot;00791616&quot;/&gt;&lt;wsp:rsid wsp:val=&quot;00792636&quot;/&gt;&lt;wsp:rsid wsp:val=&quot;007928FF&quot;/&gt;&lt;wsp:rsid wsp:val=&quot;00792A32&quot;/&gt;&lt;wsp:rsid wsp:val=&quot;00793D20&quot;/&gt;&lt;wsp:rsid wsp:val=&quot;00794C56&quot;/&gt;&lt;wsp:rsid wsp:val=&quot;00795A01&quot;/&gt;&lt;wsp:rsid wsp:val=&quot;00795A88&quot;/&gt;&lt;wsp:rsid wsp:val=&quot;007960FD&quot;/&gt;&lt;wsp:rsid wsp:val=&quot;00796A1B&quot;/&gt;&lt;wsp:rsid wsp:val=&quot;00797271&quot;/&gt;&lt;wsp:rsid wsp:val=&quot;00797DF7&quot;/&gt;&lt;wsp:rsid wsp:val=&quot;007A0720&quot;/&gt;&lt;wsp:rsid wsp:val=&quot;007A19F1&quot;/&gt;&lt;wsp:rsid wsp:val=&quot;007A1D17&quot;/&gt;&lt;wsp:rsid wsp:val=&quot;007A30AB&quot;/&gt;&lt;wsp:rsid wsp:val=&quot;007A33C6&quot;/&gt;&lt;wsp:rsid wsp:val=&quot;007A3697&quot;/&gt;&lt;wsp:rsid wsp:val=&quot;007A445D&quot;/&gt;&lt;wsp:rsid wsp:val=&quot;007A5694&quot;/&gt;&lt;wsp:rsid wsp:val=&quot;007A67F7&quot;/&gt;&lt;wsp:rsid wsp:val=&quot;007A6D0F&quot;/&gt;&lt;wsp:rsid wsp:val=&quot;007A7B6E&quot;/&gt;&lt;wsp:rsid wsp:val=&quot;007A7FA6&quot;/&gt;&lt;wsp:rsid wsp:val=&quot;007B00BA&quot;/&gt;&lt;wsp:rsid wsp:val=&quot;007B05DD&quot;/&gt;&lt;wsp:rsid wsp:val=&quot;007B0B73&quot;/&gt;&lt;wsp:rsid wsp:val=&quot;007B19BA&quot;/&gt;&lt;wsp:rsid wsp:val=&quot;007B1F6A&quot;/&gt;&lt;wsp:rsid wsp:val=&quot;007B2097&quot;/&gt;&lt;wsp:rsid wsp:val=&quot;007B299B&quot;/&gt;&lt;wsp:rsid wsp:val=&quot;007B3F88&quot;/&gt;&lt;wsp:rsid wsp:val=&quot;007B3FD9&quot;/&gt;&lt;wsp:rsid wsp:val=&quot;007B609A&quot;/&gt;&lt;wsp:rsid wsp:val=&quot;007B6AD4&quot;/&gt;&lt;wsp:rsid wsp:val=&quot;007B6B1A&quot;/&gt;&lt;wsp:rsid wsp:val=&quot;007B7944&quot;/&gt;&lt;wsp:rsid wsp:val=&quot;007C1724&quot;/&gt;&lt;wsp:rsid wsp:val=&quot;007C1DA9&quot;/&gt;&lt;wsp:rsid wsp:val=&quot;007C2867&quot;/&gt;&lt;wsp:rsid wsp:val=&quot;007C3E1B&quot;/&gt;&lt;wsp:rsid wsp:val=&quot;007C41AC&quot;/&gt;&lt;wsp:rsid wsp:val=&quot;007C5DBF&quot;/&gt;&lt;wsp:rsid wsp:val=&quot;007C5DFF&quot;/&gt;&lt;wsp:rsid wsp:val=&quot;007C5EC2&quot;/&gt;&lt;wsp:rsid wsp:val=&quot;007C649B&quot;/&gt;&lt;wsp:rsid wsp:val=&quot;007C712D&quot;/&gt;&lt;wsp:rsid wsp:val=&quot;007C71FA&quot;/&gt;&lt;wsp:rsid wsp:val=&quot;007C78A2&quot;/&gt;&lt;wsp:rsid wsp:val=&quot;007D014B&quot;/&gt;&lt;wsp:rsid wsp:val=&quot;007D1233&quot;/&gt;&lt;wsp:rsid wsp:val=&quot;007D21D3&quot;/&gt;&lt;wsp:rsid wsp:val=&quot;007D24C4&quot;/&gt;&lt;wsp:rsid wsp:val=&quot;007D25E5&quot;/&gt;&lt;wsp:rsid wsp:val=&quot;007D58F0&quot;/&gt;&lt;wsp:rsid wsp:val=&quot;007D65FD&quot;/&gt;&lt;wsp:rsid wsp:val=&quot;007D6F52&quot;/&gt;&lt;wsp:rsid wsp:val=&quot;007D7841&quot;/&gt;&lt;wsp:rsid wsp:val=&quot;007E00A4&quot;/&gt;&lt;wsp:rsid wsp:val=&quot;007E0578&quot;/&gt;&lt;wsp:rsid wsp:val=&quot;007E0A0D&quot;/&gt;&lt;wsp:rsid wsp:val=&quot;007E0DB4&quot;/&gt;&lt;wsp:rsid wsp:val=&quot;007E132B&quot;/&gt;&lt;wsp:rsid wsp:val=&quot;007E289D&quot;/&gt;&lt;wsp:rsid wsp:val=&quot;007E29B8&quot;/&gt;&lt;wsp:rsid wsp:val=&quot;007E325F&quot;/&gt;&lt;wsp:rsid wsp:val=&quot;007E3965&quot;/&gt;&lt;wsp:rsid wsp:val=&quot;007E76E4&quot;/&gt;&lt;wsp:rsid wsp:val=&quot;007E7928&quot;/&gt;&lt;wsp:rsid wsp:val=&quot;007E7B60&quot;/&gt;&lt;wsp:rsid wsp:val=&quot;007F08CD&quot;/&gt;&lt;wsp:rsid wsp:val=&quot;007F0BD0&quot;/&gt;&lt;wsp:rsid wsp:val=&quot;007F148A&quot;/&gt;&lt;wsp:rsid wsp:val=&quot;007F16E4&quot;/&gt;&lt;wsp:rsid wsp:val=&quot;007F1EF5&quot;/&gt;&lt;wsp:rsid wsp:val=&quot;007F2164&quot;/&gt;&lt;wsp:rsid wsp:val=&quot;007F2663&quot;/&gt;&lt;wsp:rsid wsp:val=&quot;007F28FE&quot;/&gt;&lt;wsp:rsid wsp:val=&quot;007F32E1&quot;/&gt;&lt;wsp:rsid wsp:val=&quot;007F3AF2&quot;/&gt;&lt;wsp:rsid wsp:val=&quot;007F4751&quot;/&gt;&lt;wsp:rsid wsp:val=&quot;007F4DEB&quot;/&gt;&lt;wsp:rsid wsp:val=&quot;007F5273&quot;/&gt;&lt;wsp:rsid wsp:val=&quot;007F5861&quot;/&gt;&lt;wsp:rsid wsp:val=&quot;007F5A6C&quot;/&gt;&lt;wsp:rsid wsp:val=&quot;007F5F9A&quot;/&gt;&lt;wsp:rsid wsp:val=&quot;007F6085&quot;/&gt;&lt;wsp:rsid wsp:val=&quot;007F6A11&quot;/&gt;&lt;wsp:rsid wsp:val=&quot;007F6BF9&quot;/&gt;&lt;wsp:rsid wsp:val=&quot;007F6DA9&quot;/&gt;&lt;wsp:rsid wsp:val=&quot;007F7723&quot;/&gt;&lt;wsp:rsid wsp:val=&quot;007F7AC6&quot;/&gt;&lt;wsp:rsid wsp:val=&quot;008008F4&quot;/&gt;&lt;wsp:rsid wsp:val=&quot;008012A1&quot;/&gt;&lt;wsp:rsid wsp:val=&quot;008015E7&quot;/&gt;&lt;wsp:rsid wsp:val=&quot;008016E8&quot;/&gt;&lt;wsp:rsid wsp:val=&quot;00801FCE&quot;/&gt;&lt;wsp:rsid wsp:val=&quot;00802A27&quot;/&gt;&lt;wsp:rsid wsp:val=&quot;0080314F&quot;/&gt;&lt;wsp:rsid wsp:val=&quot;00803A8E&quot;/&gt;&lt;wsp:rsid wsp:val=&quot;00804F50&quot;/&gt;&lt;wsp:rsid wsp:val=&quot;0080530D&quot;/&gt;&lt;wsp:rsid wsp:val=&quot;008069FC&quot;/&gt;&lt;wsp:rsid wsp:val=&quot;00806FDE&quot;/&gt;&lt;wsp:rsid wsp:val=&quot;00807355&quot;/&gt;&lt;wsp:rsid wsp:val=&quot;00807A07&quot;/&gt;&lt;wsp:rsid wsp:val=&quot;00807A49&quot;/&gt;&lt;wsp:rsid wsp:val=&quot;00807CDB&quot;/&gt;&lt;wsp:rsid wsp:val=&quot;00807FD6&quot;/&gt;&lt;wsp:rsid wsp:val=&quot;00807FFD&quot;/&gt;&lt;wsp:rsid wsp:val=&quot;00811268&quot;/&gt;&lt;wsp:rsid wsp:val=&quot;00811480&quot;/&gt;&lt;wsp:rsid wsp:val=&quot;00812AF5&quot;/&gt;&lt;wsp:rsid wsp:val=&quot;00813964&quot;/&gt;&lt;wsp:rsid wsp:val=&quot;00813F7D&quot;/&gt;&lt;wsp:rsid wsp:val=&quot;00815302&quot;/&gt;&lt;wsp:rsid wsp:val=&quot;00815488&quot;/&gt;&lt;wsp:rsid wsp:val=&quot;00816D31&quot;/&gt;&lt;wsp:rsid wsp:val=&quot;00817A8B&quot;/&gt;&lt;wsp:rsid wsp:val=&quot;00817AA7&quot;/&gt;&lt;wsp:rsid wsp:val=&quot;00817C86&quot;/&gt;&lt;wsp:rsid wsp:val=&quot;00817ED0&quot;/&gt;&lt;wsp:rsid wsp:val=&quot;0082129B&quot;/&gt;&lt;wsp:rsid wsp:val=&quot;008212BD&quot;/&gt;&lt;wsp:rsid wsp:val=&quot;008217E2&quot;/&gt;&lt;wsp:rsid wsp:val=&quot;00821854&quot;/&gt;&lt;wsp:rsid wsp:val=&quot;0082189C&quot;/&gt;&lt;wsp:rsid wsp:val=&quot;00821DC8&quot;/&gt;&lt;wsp:rsid wsp:val=&quot;008220FE&quot;/&gt;&lt;wsp:rsid wsp:val=&quot;00822608&quot;/&gt;&lt;wsp:rsid wsp:val=&quot;00822FF9&quot;/&gt;&lt;wsp:rsid wsp:val=&quot;00824106&quot;/&gt;&lt;wsp:rsid wsp:val=&quot;0082484F&quot;/&gt;&lt;wsp:rsid wsp:val=&quot;00824D26&quot;/&gt;&lt;wsp:rsid wsp:val=&quot;00824D91&quot;/&gt;&lt;wsp:rsid wsp:val=&quot;00826B7C&quot;/&gt;&lt;wsp:rsid wsp:val=&quot;00826C90&quot;/&gt;&lt;wsp:rsid wsp:val=&quot;00827213&quot;/&gt;&lt;wsp:rsid wsp:val=&quot;008274C0&quot;/&gt;&lt;wsp:rsid wsp:val=&quot;008276E3&quot;/&gt;&lt;wsp:rsid wsp:val=&quot;008311B7&quot;/&gt;&lt;wsp:rsid wsp:val=&quot;00831AD3&quot;/&gt;&lt;wsp:rsid wsp:val=&quot;00831D8D&quot;/&gt;&lt;wsp:rsid wsp:val=&quot;008324BA&quot;/&gt;&lt;wsp:rsid wsp:val=&quot;0083253B&quot;/&gt;&lt;wsp:rsid wsp:val=&quot;008325BB&quot;/&gt;&lt;wsp:rsid wsp:val=&quot;008327A0&quot;/&gt;&lt;wsp:rsid wsp:val=&quot;008327E5&quot;/&gt;&lt;wsp:rsid wsp:val=&quot;00832884&quot;/&gt;&lt;wsp:rsid wsp:val=&quot;00833523&quot;/&gt;&lt;wsp:rsid wsp:val=&quot;00833A18&quot;/&gt;&lt;wsp:rsid wsp:val=&quot;00833E04&quot;/&gt;&lt;wsp:rsid wsp:val=&quot;00834273&quot;/&gt;&lt;wsp:rsid wsp:val=&quot;00834D02&quot;/&gt;&lt;wsp:rsid wsp:val=&quot;00834FA6&quot;/&gt;&lt;wsp:rsid wsp:val=&quot;00835118&quot;/&gt;&lt;wsp:rsid wsp:val=&quot;008359BD&quot;/&gt;&lt;wsp:rsid wsp:val=&quot;00836A33&quot;/&gt;&lt;wsp:rsid wsp:val=&quot;008371B9&quot;/&gt;&lt;wsp:rsid wsp:val=&quot;00840BC0&quot;/&gt;&lt;wsp:rsid wsp:val=&quot;00840F67&quot;/&gt;&lt;wsp:rsid wsp:val=&quot;00841D97&quot;/&gt;&lt;wsp:rsid wsp:val=&quot;008421C9&quot;/&gt;&lt;wsp:rsid wsp:val=&quot;00842B89&quot;/&gt;&lt;wsp:rsid wsp:val=&quot;008433AD&quot;/&gt;&lt;wsp:rsid wsp:val=&quot;00843B94&quot;/&gt;&lt;wsp:rsid wsp:val=&quot;00844099&quot;/&gt;&lt;wsp:rsid wsp:val=&quot;00844A62&quot;/&gt;&lt;wsp:rsid wsp:val=&quot;00844CC3&quot;/&gt;&lt;wsp:rsid wsp:val=&quot;00845A0C&quot;/&gt;&lt;wsp:rsid wsp:val=&quot;00845AFF&quot;/&gt;&lt;wsp:rsid wsp:val=&quot;00846130&quot;/&gt;&lt;wsp:rsid wsp:val=&quot;008473D9&quot;/&gt;&lt;wsp:rsid wsp:val=&quot;00847809&quot;/&gt;&lt;wsp:rsid wsp:val=&quot;00850103&quot;/&gt;&lt;wsp:rsid wsp:val=&quot;008509E9&quot;/&gt;&lt;wsp:rsid wsp:val=&quot;00850B35&quot;/&gt;&lt;wsp:rsid wsp:val=&quot;008513F0&quot;/&gt;&lt;wsp:rsid wsp:val=&quot;00853990&quot;/&gt;&lt;wsp:rsid wsp:val=&quot;008548B6&quot;/&gt;&lt;wsp:rsid wsp:val=&quot;00854920&quot;/&gt;&lt;wsp:rsid wsp:val=&quot;00854C50&quot;/&gt;&lt;wsp:rsid wsp:val=&quot;00855279&quot;/&gt;&lt;wsp:rsid wsp:val=&quot;00855670&quot;/&gt;&lt;wsp:rsid wsp:val=&quot;008559BD&quot;/&gt;&lt;wsp:rsid wsp:val=&quot;00855E91&quot;/&gt;&lt;wsp:rsid wsp:val=&quot;008561FC&quot;/&gt;&lt;wsp:rsid wsp:val=&quot;00856401&quot;/&gt;&lt;wsp:rsid wsp:val=&quot;00856583&quot;/&gt;&lt;wsp:rsid wsp:val=&quot;008577F6&quot;/&gt;&lt;wsp:rsid wsp:val=&quot;00857DB7&quot;/&gt;&lt;wsp:rsid wsp:val=&quot;00857FD3&quot;/&gt;&lt;wsp:rsid wsp:val=&quot;0086020F&quot;/&gt;&lt;wsp:rsid wsp:val=&quot;0086069A&quot;/&gt;&lt;wsp:rsid wsp:val=&quot;00860A8A&quot;/&gt;&lt;wsp:rsid wsp:val=&quot;00861A12&quot;/&gt;&lt;wsp:rsid wsp:val=&quot;00862BFB&quot;/&gt;&lt;wsp:rsid wsp:val=&quot;00862EAB&quot;/&gt;&lt;wsp:rsid wsp:val=&quot;008634BF&quot;/&gt;&lt;wsp:rsid wsp:val=&quot;0086364F&quot;/&gt;&lt;wsp:rsid wsp:val=&quot;00864111&quot;/&gt;&lt;wsp:rsid wsp:val=&quot;008647B0&quot;/&gt;&lt;wsp:rsid wsp:val=&quot;008650FB&quot;/&gt;&lt;wsp:rsid wsp:val=&quot;00865CFA&quot;/&gt;&lt;wsp:rsid wsp:val=&quot;0086623E&quot;/&gt;&lt;wsp:rsid wsp:val=&quot;00866360&quot;/&gt;&lt;wsp:rsid wsp:val=&quot;00866B20&quot;/&gt;&lt;wsp:rsid wsp:val=&quot;008678B5&quot;/&gt;&lt;wsp:rsid wsp:val=&quot;008701A3&quot;/&gt;&lt;wsp:rsid wsp:val=&quot;00871BB9&quot;/&gt;&lt;wsp:rsid wsp:val=&quot;00872B62&quot;/&gt;&lt;wsp:rsid wsp:val=&quot;00872C89&quot;/&gt;&lt;wsp:rsid wsp:val=&quot;00873750&quot;/&gt;&lt;wsp:rsid wsp:val=&quot;00873794&quot;/&gt;&lt;wsp:rsid wsp:val=&quot;00874024&quot;/&gt;&lt;wsp:rsid wsp:val=&quot;00874F26&quot;/&gt;&lt;wsp:rsid wsp:val=&quot;00875457&quot;/&gt;&lt;wsp:rsid wsp:val=&quot;008759B2&quot;/&gt;&lt;wsp:rsid wsp:val=&quot;00875C35&quot;/&gt;&lt;wsp:rsid wsp:val=&quot;00875D71&quot;/&gt;&lt;wsp:rsid wsp:val=&quot;00876904&quot;/&gt;&lt;wsp:rsid wsp:val=&quot;00876C9B&quot;/&gt;&lt;wsp:rsid wsp:val=&quot;00876D13&quot;/&gt;&lt;wsp:rsid wsp:val=&quot;0087739D&quot;/&gt;&lt;wsp:rsid wsp:val=&quot;00880235&quot;/&gt;&lt;wsp:rsid wsp:val=&quot;008807DB&quot;/&gt;&lt;wsp:rsid wsp:val=&quot;00880CB0&quot;/&gt;&lt;wsp:rsid wsp:val=&quot;0088237B&quot;/&gt;&lt;wsp:rsid wsp:val=&quot;00883DD6&quot;/&gt;&lt;wsp:rsid wsp:val=&quot;0088445F&quot;/&gt;&lt;wsp:rsid wsp:val=&quot;00884A28&quot;/&gt;&lt;wsp:rsid wsp:val=&quot;0088505A&quot;/&gt;&lt;wsp:rsid wsp:val=&quot;00887C1E&quot;/&gt;&lt;wsp:rsid wsp:val=&quot;00887D39&quot;/&gt;&lt;wsp:rsid wsp:val=&quot;00890508&quot;/&gt;&lt;wsp:rsid wsp:val=&quot;0089088A&quot;/&gt;&lt;wsp:rsid wsp:val=&quot;00890A83&quot;/&gt;&lt;wsp:rsid wsp:val=&quot;00890FC9&quot;/&gt;&lt;wsp:rsid wsp:val=&quot;00891DC5&quot;/&gt;&lt;wsp:rsid wsp:val=&quot;0089203F&quot;/&gt;&lt;wsp:rsid wsp:val=&quot;00892871&quot;/&gt;&lt;wsp:rsid wsp:val=&quot;0089301A&quot;/&gt;&lt;wsp:rsid wsp:val=&quot;008931E6&quot;/&gt;&lt;wsp:rsid wsp:val=&quot;008941E1&quot;/&gt;&lt;wsp:rsid wsp:val=&quot;008944C7&quot;/&gt;&lt;wsp:rsid wsp:val=&quot;008947B0&quot;/&gt;&lt;wsp:rsid wsp:val=&quot;0089593B&quot;/&gt;&lt;wsp:rsid wsp:val=&quot;00895B75&quot;/&gt;&lt;wsp:rsid wsp:val=&quot;00896BA2&quot;/&gt;&lt;wsp:rsid wsp:val=&quot;00897A0C&quot;/&gt;&lt;wsp:rsid wsp:val=&quot;008A0C09&quot;/&gt;&lt;wsp:rsid wsp:val=&quot;008A1026&quot;/&gt;&lt;wsp:rsid wsp:val=&quot;008A107E&quot;/&gt;&lt;wsp:rsid wsp:val=&quot;008A1543&quot;/&gt;&lt;wsp:rsid wsp:val=&quot;008A2C61&quot;/&gt;&lt;wsp:rsid wsp:val=&quot;008A3A2B&quot;/&gt;&lt;wsp:rsid wsp:val=&quot;008A47D5&quot;/&gt;&lt;wsp:rsid wsp:val=&quot;008A4AE4&quot;/&gt;&lt;wsp:rsid wsp:val=&quot;008A54C5&quot;/&gt;&lt;wsp:rsid wsp:val=&quot;008A5552&quot;/&gt;&lt;wsp:rsid wsp:val=&quot;008A6044&quot;/&gt;&lt;wsp:rsid wsp:val=&quot;008A60EB&quot;/&gt;&lt;wsp:rsid wsp:val=&quot;008A62C9&quot;/&gt;&lt;wsp:rsid wsp:val=&quot;008A63B3&quot;/&gt;&lt;wsp:rsid wsp:val=&quot;008A64FE&quot;/&gt;&lt;wsp:rsid wsp:val=&quot;008A6D4D&quot;/&gt;&lt;wsp:rsid wsp:val=&quot;008A6DFD&quot;/&gt;&lt;wsp:rsid wsp:val=&quot;008A7B1F&quot;/&gt;&lt;wsp:rsid wsp:val=&quot;008B05EF&quot;/&gt;&lt;wsp:rsid wsp:val=&quot;008B1006&quot;/&gt;&lt;wsp:rsid wsp:val=&quot;008B1C7B&quot;/&gt;&lt;wsp:rsid wsp:val=&quot;008B22AB&quot;/&gt;&lt;wsp:rsid wsp:val=&quot;008B2C3F&quot;/&gt;&lt;wsp:rsid wsp:val=&quot;008B2FCF&quot;/&gt;&lt;wsp:rsid wsp:val=&quot;008B32B7&quot;/&gt;&lt;wsp:rsid wsp:val=&quot;008B35FF&quot;/&gt;&lt;wsp:rsid wsp:val=&quot;008B36B3&quot;/&gt;&lt;wsp:rsid wsp:val=&quot;008B383A&quot;/&gt;&lt;wsp:rsid wsp:val=&quot;008B3CA4&quot;/&gt;&lt;wsp:rsid wsp:val=&quot;008B3F4C&quot;/&gt;&lt;wsp:rsid wsp:val=&quot;008B4EAC&quot;/&gt;&lt;wsp:rsid wsp:val=&quot;008B54A9&quot;/&gt;&lt;wsp:rsid wsp:val=&quot;008B5D1D&quot;/&gt;&lt;wsp:rsid wsp:val=&quot;008B62A0&quot;/&gt;&lt;wsp:rsid wsp:val=&quot;008B64BC&quot;/&gt;&lt;wsp:rsid wsp:val=&quot;008C0319&quot;/&gt;&lt;wsp:rsid wsp:val=&quot;008C0F03&quot;/&gt;&lt;wsp:rsid wsp:val=&quot;008C13C0&quot;/&gt;&lt;wsp:rsid wsp:val=&quot;008C142E&quot;/&gt;&lt;wsp:rsid wsp:val=&quot;008C1ED9&quot;/&gt;&lt;wsp:rsid wsp:val=&quot;008C2254&quot;/&gt;&lt;wsp:rsid wsp:val=&quot;008C335B&quot;/&gt;&lt;wsp:rsid wsp:val=&quot;008C339D&quot;/&gt;&lt;wsp:rsid wsp:val=&quot;008C372E&quot;/&gt;&lt;wsp:rsid wsp:val=&quot;008C3773&quot;/&gt;&lt;wsp:rsid wsp:val=&quot;008C3B19&quot;/&gt;&lt;wsp:rsid wsp:val=&quot;008C3E4F&quot;/&gt;&lt;wsp:rsid wsp:val=&quot;008C48EC&quot;/&gt;&lt;wsp:rsid wsp:val=&quot;008C4E60&quot;/&gt;&lt;wsp:rsid wsp:val=&quot;008C4F51&quot;/&gt;&lt;wsp:rsid wsp:val=&quot;008C501C&quot;/&gt;&lt;wsp:rsid wsp:val=&quot;008C5CA9&quot;/&gt;&lt;wsp:rsid wsp:val=&quot;008C6040&quot;/&gt;&lt;wsp:rsid wsp:val=&quot;008C61B3&quot;/&gt;&lt;wsp:rsid wsp:val=&quot;008C6324&quot;/&gt;&lt;wsp:rsid wsp:val=&quot;008C6C23&quot;/&gt;&lt;wsp:rsid wsp:val=&quot;008C78AB&quot;/&gt;&lt;wsp:rsid wsp:val=&quot;008C7AC0&quot;/&gt;&lt;wsp:rsid wsp:val=&quot;008C7DB3&quot;/&gt;&lt;wsp:rsid wsp:val=&quot;008D02B5&quot;/&gt;&lt;wsp:rsid wsp:val=&quot;008D0633&quot;/&gt;&lt;wsp:rsid wsp:val=&quot;008D1068&quot;/&gt;&lt;wsp:rsid wsp:val=&quot;008D1313&quot;/&gt;&lt;wsp:rsid wsp:val=&quot;008D1A8D&quot;/&gt;&lt;wsp:rsid wsp:val=&quot;008D1DEB&quot;/&gt;&lt;wsp:rsid wsp:val=&quot;008D20C8&quot;/&gt;&lt;wsp:rsid wsp:val=&quot;008D2A69&quot;/&gt;&lt;wsp:rsid wsp:val=&quot;008D38AF&quot;/&gt;&lt;wsp:rsid wsp:val=&quot;008D4449&quot;/&gt;&lt;wsp:rsid wsp:val=&quot;008D479E&quot;/&gt;&lt;wsp:rsid wsp:val=&quot;008D5E5E&quot;/&gt;&lt;wsp:rsid wsp:val=&quot;008D60F3&quot;/&gt;&lt;wsp:rsid wsp:val=&quot;008D7540&quot;/&gt;&lt;wsp:rsid wsp:val=&quot;008D7EE9&quot;/&gt;&lt;wsp:rsid wsp:val=&quot;008E13C7&quot;/&gt;&lt;wsp:rsid wsp:val=&quot;008E178F&quot;/&gt;&lt;wsp:rsid wsp:val=&quot;008E1928&quot;/&gt;&lt;wsp:rsid wsp:val=&quot;008E1A87&quot;/&gt;&lt;wsp:rsid wsp:val=&quot;008E1D0E&quot;/&gt;&lt;wsp:rsid wsp:val=&quot;008E224C&quot;/&gt;&lt;wsp:rsid wsp:val=&quot;008E2ADD&quot;/&gt;&lt;wsp:rsid wsp:val=&quot;008E2E8D&quot;/&gt;&lt;wsp:rsid wsp:val=&quot;008E3345&quot;/&gt;&lt;wsp:rsid wsp:val=&quot;008E411E&quot;/&gt;&lt;wsp:rsid wsp:val=&quot;008E48E4&quot;/&gt;&lt;wsp:rsid wsp:val=&quot;008E4A2B&quot;/&gt;&lt;wsp:rsid wsp:val=&quot;008E4DFB&quot;/&gt;&lt;wsp:rsid wsp:val=&quot;008E5CD1&quot;/&gt;&lt;wsp:rsid wsp:val=&quot;008E5D9D&quot;/&gt;&lt;wsp:rsid wsp:val=&quot;008E6005&quot;/&gt;&lt;wsp:rsid wsp:val=&quot;008E66A4&quot;/&gt;&lt;wsp:rsid wsp:val=&quot;008E6AFD&quot;/&gt;&lt;wsp:rsid wsp:val=&quot;008E6C6C&quot;/&gt;&lt;wsp:rsid wsp:val=&quot;008E75A7&quot;/&gt;&lt;wsp:rsid wsp:val=&quot;008E7B82&quot;/&gt;&lt;wsp:rsid wsp:val=&quot;008E7CF5&quot;/&gt;&lt;wsp:rsid wsp:val=&quot;008F03BB&quot;/&gt;&lt;wsp:rsid wsp:val=&quot;008F1220&quot;/&gt;&lt;wsp:rsid wsp:val=&quot;008F2009&quot;/&gt;&lt;wsp:rsid wsp:val=&quot;008F3B06&quot;/&gt;&lt;wsp:rsid wsp:val=&quot;008F4BFF&quot;/&gt;&lt;wsp:rsid wsp:val=&quot;008F5451&quot;/&gt;&lt;wsp:rsid wsp:val=&quot;008F55B7&quot;/&gt;&lt;wsp:rsid wsp:val=&quot;008F60BE&quot;/&gt;&lt;wsp:rsid wsp:val=&quot;008F610A&quot;/&gt;&lt;wsp:rsid wsp:val=&quot;008F635C&quot;/&gt;&lt;wsp:rsid wsp:val=&quot;008F657D&quot;/&gt;&lt;wsp:rsid wsp:val=&quot;008F663C&quot;/&gt;&lt;wsp:rsid wsp:val=&quot;008F706C&quot;/&gt;&lt;wsp:rsid wsp:val=&quot;008F7481&quot;/&gt;&lt;wsp:rsid wsp:val=&quot;008F769A&quot;/&gt;&lt;wsp:rsid wsp:val=&quot;008F7B3E&quot;/&gt;&lt;wsp:rsid wsp:val=&quot;008F7CF7&quot;/&gt;&lt;wsp:rsid wsp:val=&quot;00900D8C&quot;/&gt;&lt;wsp:rsid wsp:val=&quot;00900FD2&quot;/&gt;&lt;wsp:rsid wsp:val=&quot;0090190F&quot;/&gt;&lt;wsp:rsid wsp:val=&quot;00901B5F&quot;/&gt;&lt;wsp:rsid wsp:val=&quot;00902877&quot;/&gt;&lt;wsp:rsid wsp:val=&quot;00902B2F&quot;/&gt;&lt;wsp:rsid wsp:val=&quot;00903086&quot;/&gt;&lt;wsp:rsid wsp:val=&quot;00903189&quot;/&gt;&lt;wsp:rsid wsp:val=&quot;009046D1&quot;/&gt;&lt;wsp:rsid wsp:val=&quot;00905355&quot;/&gt;&lt;wsp:rsid wsp:val=&quot;00905E24&quot;/&gt;&lt;wsp:rsid wsp:val=&quot;00906815&quot;/&gt;&lt;wsp:rsid wsp:val=&quot;00906A91&quot;/&gt;&lt;wsp:rsid wsp:val=&quot;00910253&quot;/&gt;&lt;wsp:rsid wsp:val=&quot;00910791&quot;/&gt;&lt;wsp:rsid wsp:val=&quot;00911458&quot;/&gt;&lt;wsp:rsid wsp:val=&quot;00911B2F&quot;/&gt;&lt;wsp:rsid wsp:val=&quot;009126AC&quot;/&gt;&lt;wsp:rsid wsp:val=&quot;0091297B&quot;/&gt;&lt;wsp:rsid wsp:val=&quot;00912B8A&quot;/&gt;&lt;wsp:rsid wsp:val=&quot;00913725&quot;/&gt;&lt;wsp:rsid wsp:val=&quot;00913CD8&quot;/&gt;&lt;wsp:rsid wsp:val=&quot;009141AD&quot;/&gt;&lt;wsp:rsid wsp:val=&quot;00914231&quot;/&gt;&lt;wsp:rsid wsp:val=&quot;009143E5&quot;/&gt;&lt;wsp:rsid wsp:val=&quot;009146D6&quot;/&gt;&lt;wsp:rsid wsp:val=&quot;00915644&quot;/&gt;&lt;wsp:rsid wsp:val=&quot;00917BFC&quot;/&gt;&lt;wsp:rsid wsp:val=&quot;009212B4&quot;/&gt;&lt;wsp:rsid wsp:val=&quot;00921615&quot;/&gt;&lt;wsp:rsid wsp:val=&quot;00921C93&quot;/&gt;&lt;wsp:rsid wsp:val=&quot;00921D4C&quot;/&gt;&lt;wsp:rsid wsp:val=&quot;00922431&quot;/&gt;&lt;wsp:rsid wsp:val=&quot;00924F3A&quot;/&gt;&lt;wsp:rsid wsp:val=&quot;00925303&quot;/&gt;&lt;wsp:rsid wsp:val=&quot;00927615&quot;/&gt;&lt;wsp:rsid wsp:val=&quot;00927815&quot;/&gt;&lt;wsp:rsid wsp:val=&quot;00930127&quot;/&gt;&lt;wsp:rsid wsp:val=&quot;00930550&quot;/&gt;&lt;wsp:rsid wsp:val=&quot;00930D17&quot;/&gt;&lt;wsp:rsid wsp:val=&quot;009315A4&quot;/&gt;&lt;wsp:rsid wsp:val=&quot;00931771&quot;/&gt;&lt;wsp:rsid wsp:val=&quot;0093190F&quot;/&gt;&lt;wsp:rsid wsp:val=&quot;00931DD5&quot;/&gt;&lt;wsp:rsid wsp:val=&quot;00931E82&quot;/&gt;&lt;wsp:rsid wsp:val=&quot;009321E4&quot;/&gt;&lt;wsp:rsid wsp:val=&quot;009330E3&quot;/&gt;&lt;wsp:rsid wsp:val=&quot;009332D9&quot;/&gt;&lt;wsp:rsid wsp:val=&quot;0093392F&quot;/&gt;&lt;wsp:rsid wsp:val=&quot;00934385&quot;/&gt;&lt;wsp:rsid wsp:val=&quot;009343E1&quot;/&gt;&lt;wsp:rsid wsp:val=&quot;00934CBA&quot;/&gt;&lt;wsp:rsid wsp:val=&quot;0093545B&quot;/&gt;&lt;wsp:rsid wsp:val=&quot;00935AA4&quot;/&gt;&lt;wsp:rsid wsp:val=&quot;00936551&quot;/&gt;&lt;wsp:rsid wsp:val=&quot;00936C68&quot;/&gt;&lt;wsp:rsid wsp:val=&quot;00937DCC&quot;/&gt;&lt;wsp:rsid wsp:val=&quot;00940F7D&quot;/&gt;&lt;wsp:rsid wsp:val=&quot;0094181E&quot;/&gt;&lt;wsp:rsid wsp:val=&quot;00942074&quot;/&gt;&lt;wsp:rsid wsp:val=&quot;00942304&quot;/&gt;&lt;wsp:rsid wsp:val=&quot;00942D02&quot;/&gt;&lt;wsp:rsid wsp:val=&quot;009435CB&quot;/&gt;&lt;wsp:rsid wsp:val=&quot;00943908&quot;/&gt;&lt;wsp:rsid wsp:val=&quot;00944BC8&quot;/&gt;&lt;wsp:rsid wsp:val=&quot;009457DA&quot;/&gt;&lt;wsp:rsid wsp:val=&quot;00945BE9&quot;/&gt;&lt;wsp:rsid wsp:val=&quot;0094796C&quot;/&gt;&lt;wsp:rsid wsp:val=&quot;00947A5F&quot;/&gt;&lt;wsp:rsid wsp:val=&quot;00947FB4&quot;/&gt;&lt;wsp:rsid wsp:val=&quot;00950DF7&quot;/&gt;&lt;wsp:rsid wsp:val=&quot;0095133C&quot;/&gt;&lt;wsp:rsid wsp:val=&quot;0095151A&quot;/&gt;&lt;wsp:rsid wsp:val=&quot;0095154C&quot;/&gt;&lt;wsp:rsid wsp:val=&quot;009520B3&quot;/&gt;&lt;wsp:rsid wsp:val=&quot;009548B4&quot;/&gt;&lt;wsp:rsid wsp:val=&quot;00955744&quot;/&gt;&lt;wsp:rsid wsp:val=&quot;00955752&quot;/&gt;&lt;wsp:rsid wsp:val=&quot;009573CB&quot;/&gt;&lt;wsp:rsid wsp:val=&quot;00957741&quot;/&gt;&lt;wsp:rsid wsp:val=&quot;0096082E&quot;/&gt;&lt;wsp:rsid wsp:val=&quot;00960B5E&quot;/&gt;&lt;wsp:rsid wsp:val=&quot;00960EBA&quot;/&gt;&lt;wsp:rsid wsp:val=&quot;009612E5&quot;/&gt;&lt;wsp:rsid wsp:val=&quot;009622FB&quot;/&gt;&lt;wsp:rsid wsp:val=&quot;00962341&quot;/&gt;&lt;wsp:rsid wsp:val=&quot;00962536&quot;/&gt;&lt;wsp:rsid wsp:val=&quot;0096403B&quot;/&gt;&lt;wsp:rsid wsp:val=&quot;009645E4&quot;/&gt;&lt;wsp:rsid wsp:val=&quot;00964634&quot;/&gt;&lt;wsp:rsid wsp:val=&quot;00964F2A&quot;/&gt;&lt;wsp:rsid wsp:val=&quot;009652A7&quot;/&gt;&lt;wsp:rsid wsp:val=&quot;00965695&quot;/&gt;&lt;wsp:rsid wsp:val=&quot;009657CB&quot;/&gt;&lt;wsp:rsid wsp:val=&quot;0096657B&quot;/&gt;&lt;wsp:rsid wsp:val=&quot;00967157&quot;/&gt;&lt;wsp:rsid wsp:val=&quot;00967924&quot;/&gt;&lt;wsp:rsid wsp:val=&quot;009708FB&quot;/&gt;&lt;wsp:rsid wsp:val=&quot;00970DDD&quot;/&gt;&lt;wsp:rsid wsp:val=&quot;009713FC&quot;/&gt;&lt;wsp:rsid wsp:val=&quot;009714D8&quot;/&gt;&lt;wsp:rsid wsp:val=&quot;009742A9&quot;/&gt;&lt;wsp:rsid wsp:val=&quot;0097490A&quot;/&gt;&lt;wsp:rsid wsp:val=&quot;009754B0&quot;/&gt;&lt;wsp:rsid wsp:val=&quot;0097609B&quot;/&gt;&lt;wsp:rsid wsp:val=&quot;009763DB&quot;/&gt;&lt;wsp:rsid wsp:val=&quot;00976A47&quot;/&gt;&lt;wsp:rsid wsp:val=&quot;00980BFE&quot;/&gt;&lt;wsp:rsid wsp:val=&quot;00980CD5&quot;/&gt;&lt;wsp:rsid wsp:val=&quot;00981AED&quot;/&gt;&lt;wsp:rsid wsp:val=&quot;00981FDE&quot;/&gt;&lt;wsp:rsid wsp:val=&quot;00982D6F&quot;/&gt;&lt;wsp:rsid wsp:val=&quot;00983C09&quot;/&gt;&lt;wsp:rsid wsp:val=&quot;00983F55&quot;/&gt;&lt;wsp:rsid wsp:val=&quot;009848DE&quot;/&gt;&lt;wsp:rsid wsp:val=&quot;009854DA&quot;/&gt;&lt;wsp:rsid wsp:val=&quot;00986356&quot;/&gt;&lt;wsp:rsid wsp:val=&quot;00987295&quot;/&gt;&lt;wsp:rsid wsp:val=&quot;00987B16&quot;/&gt;&lt;wsp:rsid wsp:val=&quot;00990FAB&quot;/&gt;&lt;wsp:rsid wsp:val=&quot;009913C0&quot;/&gt;&lt;wsp:rsid wsp:val=&quot;0099186D&quot;/&gt;&lt;wsp:rsid wsp:val=&quot;00991C06&quot;/&gt;&lt;wsp:rsid wsp:val=&quot;00991C82&quot;/&gt;&lt;wsp:rsid wsp:val=&quot;00992522&quot;/&gt;&lt;wsp:rsid wsp:val=&quot;00992727&quot;/&gt;&lt;wsp:rsid wsp:val=&quot;009928CF&quot;/&gt;&lt;wsp:rsid wsp:val=&quot;00992AEC&quot;/&gt;&lt;wsp:rsid wsp:val=&quot;00993765&quot;/&gt;&lt;wsp:rsid wsp:val=&quot;009939F9&quot;/&gt;&lt;wsp:rsid wsp:val=&quot;00993BE7&quot;/&gt;&lt;wsp:rsid wsp:val=&quot;00995134&quot;/&gt;&lt;wsp:rsid wsp:val=&quot;009954BC&quot;/&gt;&lt;wsp:rsid wsp:val=&quot;00995F15&quot;/&gt;&lt;wsp:rsid wsp:val=&quot;00995F6C&quot;/&gt;&lt;wsp:rsid wsp:val=&quot;009978F6&quot;/&gt;&lt;wsp:rsid wsp:val=&quot;009A02C2&quot;/&gt;&lt;wsp:rsid wsp:val=&quot;009A12BE&quot;/&gt;&lt;wsp:rsid wsp:val=&quot;009A1408&quot;/&gt;&lt;wsp:rsid wsp:val=&quot;009A17B0&quot;/&gt;&lt;wsp:rsid wsp:val=&quot;009A18AE&quot;/&gt;&lt;wsp:rsid wsp:val=&quot;009A1D85&quot;/&gt;&lt;wsp:rsid wsp:val=&quot;009A1F56&quot;/&gt;&lt;wsp:rsid wsp:val=&quot;009A24CC&quot;/&gt;&lt;wsp:rsid wsp:val=&quot;009A3048&quot;/&gt;&lt;wsp:rsid wsp:val=&quot;009A3585&quot;/&gt;&lt;wsp:rsid wsp:val=&quot;009A3C11&quot;/&gt;&lt;wsp:rsid wsp:val=&quot;009A3D0C&quot;/&gt;&lt;wsp:rsid wsp:val=&quot;009A3D7A&quot;/&gt;&lt;wsp:rsid wsp:val=&quot;009A49C4&quot;/&gt;&lt;wsp:rsid wsp:val=&quot;009A5659&quot;/&gt;&lt;wsp:rsid wsp:val=&quot;009A6C89&quot;/&gt;&lt;wsp:rsid wsp:val=&quot;009B006F&quot;/&gt;&lt;wsp:rsid wsp:val=&quot;009B10FA&quot;/&gt;&lt;wsp:rsid wsp:val=&quot;009B112E&quot;/&gt;&lt;wsp:rsid wsp:val=&quot;009B13A0&quot;/&gt;&lt;wsp:rsid wsp:val=&quot;009B1A22&quot;/&gt;&lt;wsp:rsid wsp:val=&quot;009B1A7F&quot;/&gt;&lt;wsp:rsid wsp:val=&quot;009B1B89&quot;/&gt;&lt;wsp:rsid wsp:val=&quot;009B207A&quot;/&gt;&lt;wsp:rsid wsp:val=&quot;009B2F2D&quot;/&gt;&lt;wsp:rsid wsp:val=&quot;009B371C&quot;/&gt;&lt;wsp:rsid wsp:val=&quot;009B546E&quot;/&gt;&lt;wsp:rsid wsp:val=&quot;009B60B2&quot;/&gt;&lt;wsp:rsid wsp:val=&quot;009B62BE&quot;/&gt;&lt;wsp:rsid wsp:val=&quot;009B772D&quot;/&gt;&lt;wsp:rsid wsp:val=&quot;009C0E5F&quot;/&gt;&lt;wsp:rsid wsp:val=&quot;009C11BA&quot;/&gt;&lt;wsp:rsid wsp:val=&quot;009C2B2D&quot;/&gt;&lt;wsp:rsid wsp:val=&quot;009C43B6&quot;/&gt;&lt;wsp:rsid wsp:val=&quot;009C5103&quot;/&gt;&lt;wsp:rsid wsp:val=&quot;009C51C1&quot;/&gt;&lt;wsp:rsid wsp:val=&quot;009C56BD&quot;/&gt;&lt;wsp:rsid wsp:val=&quot;009C5BEA&quot;/&gt;&lt;wsp:rsid wsp:val=&quot;009C644E&quot;/&gt;&lt;wsp:rsid wsp:val=&quot;009C66A3&quot;/&gt;&lt;wsp:rsid wsp:val=&quot;009C68B5&quot;/&gt;&lt;wsp:rsid wsp:val=&quot;009C6C72&quot;/&gt;&lt;wsp:rsid wsp:val=&quot;009C7000&quot;/&gt;&lt;wsp:rsid wsp:val=&quot;009D0551&quot;/&gt;&lt;wsp:rsid wsp:val=&quot;009D1516&quot;/&gt;&lt;wsp:rsid wsp:val=&quot;009D1B6F&quot;/&gt;&lt;wsp:rsid wsp:val=&quot;009D2A0B&quot;/&gt;&lt;wsp:rsid wsp:val=&quot;009D2D0B&quot;/&gt;&lt;wsp:rsid wsp:val=&quot;009D3D24&quot;/&gt;&lt;wsp:rsid wsp:val=&quot;009D41AC&quot;/&gt;&lt;wsp:rsid wsp:val=&quot;009D47EA&quot;/&gt;&lt;wsp:rsid wsp:val=&quot;009D5381&quot;/&gt;&lt;wsp:rsid wsp:val=&quot;009D5A56&quot;/&gt;&lt;wsp:rsid wsp:val=&quot;009D6032&quot;/&gt;&lt;wsp:rsid wsp:val=&quot;009D690D&quot;/&gt;&lt;wsp:rsid wsp:val=&quot;009D7C5B&quot;/&gt;&lt;wsp:rsid wsp:val=&quot;009D7F7A&quot;/&gt;&lt;wsp:rsid wsp:val=&quot;009E0321&quot;/&gt;&lt;wsp:rsid wsp:val=&quot;009E1108&quot;/&gt;&lt;wsp:rsid wsp:val=&quot;009E15D7&quot;/&gt;&lt;wsp:rsid wsp:val=&quot;009E2546&quot;/&gt;&lt;wsp:rsid wsp:val=&quot;009E295A&quot;/&gt;&lt;wsp:rsid wsp:val=&quot;009E316B&quot;/&gt;&lt;wsp:rsid wsp:val=&quot;009E49EA&quot;/&gt;&lt;wsp:rsid wsp:val=&quot;009E5B3F&quot;/&gt;&lt;wsp:rsid wsp:val=&quot;009E649A&quot;/&gt;&lt;wsp:rsid wsp:val=&quot;009E6B6B&quot;/&gt;&lt;wsp:rsid wsp:val=&quot;009E73D9&quot;/&gt;&lt;wsp:rsid wsp:val=&quot;009E73E5&quot;/&gt;&lt;wsp:rsid wsp:val=&quot;009F01D8&quot;/&gt;&lt;wsp:rsid wsp:val=&quot;009F03E5&quot;/&gt;&lt;wsp:rsid wsp:val=&quot;009F120B&quot;/&gt;&lt;wsp:rsid wsp:val=&quot;009F1CC1&quot;/&gt;&lt;wsp:rsid wsp:val=&quot;009F374F&quot;/&gt;&lt;wsp:rsid wsp:val=&quot;009F3888&quot;/&gt;&lt;wsp:rsid wsp:val=&quot;009F3BFF&quot;/&gt;&lt;wsp:rsid wsp:val=&quot;009F45CD&quot;/&gt;&lt;wsp:rsid wsp:val=&quot;009F53BF&quot;/&gt;&lt;wsp:rsid wsp:val=&quot;009F53DA&quot;/&gt;&lt;wsp:rsid wsp:val=&quot;009F5ABA&quot;/&gt;&lt;wsp:rsid wsp:val=&quot;009F62A2&quot;/&gt;&lt;wsp:rsid wsp:val=&quot;009F69C8&quot;/&gt;&lt;wsp:rsid wsp:val=&quot;009F71C7&quot;/&gt;&lt;wsp:rsid wsp:val=&quot;009F77F2&quot;/&gt;&lt;wsp:rsid wsp:val=&quot;009F7E75&quot;/&gt;&lt;wsp:rsid wsp:val=&quot;00A01530&quot;/&gt;&lt;wsp:rsid wsp:val=&quot;00A0246D&quot;/&gt;&lt;wsp:rsid wsp:val=&quot;00A0263E&quot;/&gt;&lt;wsp:rsid wsp:val=&quot;00A02F9C&quot;/&gt;&lt;wsp:rsid wsp:val=&quot;00A0491C&quot;/&gt;&lt;wsp:rsid wsp:val=&quot;00A04E10&quot;/&gt;&lt;wsp:rsid wsp:val=&quot;00A0526B&quot;/&gt;&lt;wsp:rsid wsp:val=&quot;00A05DD5&quot;/&gt;&lt;wsp:rsid wsp:val=&quot;00A06A10&quot;/&gt;&lt;wsp:rsid wsp:val=&quot;00A07126&quot;/&gt;&lt;wsp:rsid wsp:val=&quot;00A0755C&quot;/&gt;&lt;wsp:rsid wsp:val=&quot;00A0792E&quot;/&gt;&lt;wsp:rsid wsp:val=&quot;00A07BBE&quot;/&gt;&lt;wsp:rsid wsp:val=&quot;00A104D4&quot;/&gt;&lt;wsp:rsid wsp:val=&quot;00A1065B&quot;/&gt;&lt;wsp:rsid wsp:val=&quot;00A11563&quot;/&gt;&lt;wsp:rsid wsp:val=&quot;00A1157B&quot;/&gt;&lt;wsp:rsid wsp:val=&quot;00A12FB2&quot;/&gt;&lt;wsp:rsid wsp:val=&quot;00A1368B&quot;/&gt;&lt;wsp:rsid wsp:val=&quot;00A14C3A&quot;/&gt;&lt;wsp:rsid wsp:val=&quot;00A14F45&quot;/&gt;&lt;wsp:rsid wsp:val=&quot;00A14F91&quot;/&gt;&lt;wsp:rsid wsp:val=&quot;00A160EC&quot;/&gt;&lt;wsp:rsid wsp:val=&quot;00A17074&quot;/&gt;&lt;wsp:rsid wsp:val=&quot;00A20823&quot;/&gt;&lt;wsp:rsid wsp:val=&quot;00A20DD8&quot;/&gt;&lt;wsp:rsid wsp:val=&quot;00A21130&quot;/&gt;&lt;wsp:rsid wsp:val=&quot;00A2150E&quot;/&gt;&lt;wsp:rsid wsp:val=&quot;00A21DD7&quot;/&gt;&lt;wsp:rsid wsp:val=&quot;00A2298E&quot;/&gt;&lt;wsp:rsid wsp:val=&quot;00A22AD7&quot;/&gt;&lt;wsp:rsid wsp:val=&quot;00A23126&quot;/&gt;&lt;wsp:rsid wsp:val=&quot;00A232D2&quot;/&gt;&lt;wsp:rsid wsp:val=&quot;00A23517&quot;/&gt;&lt;wsp:rsid wsp:val=&quot;00A23C19&quot;/&gt;&lt;wsp:rsid wsp:val=&quot;00A2403D&quot;/&gt;&lt;wsp:rsid wsp:val=&quot;00A24C09&quot;/&gt;&lt;wsp:rsid wsp:val=&quot;00A2503D&quot;/&gt;&lt;wsp:rsid wsp:val=&quot;00A2504A&quot;/&gt;&lt;wsp:rsid wsp:val=&quot;00A25199&quot;/&gt;&lt;wsp:rsid wsp:val=&quot;00A2528E&quot;/&gt;&lt;wsp:rsid wsp:val=&quot;00A263BF&quot;/&gt;&lt;wsp:rsid wsp:val=&quot;00A26CB4&quot;/&gt;&lt;wsp:rsid wsp:val=&quot;00A27C95&quot;/&gt;&lt;wsp:rsid wsp:val=&quot;00A30891&quot;/&gt;&lt;wsp:rsid wsp:val=&quot;00A30D37&quot;/&gt;&lt;wsp:rsid wsp:val=&quot;00A30F4B&quot;/&gt;&lt;wsp:rsid wsp:val=&quot;00A31558&quot;/&gt;&lt;wsp:rsid wsp:val=&quot;00A31DC1&quot;/&gt;&lt;wsp:rsid wsp:val=&quot;00A31E0D&quot;/&gt;&lt;wsp:rsid wsp:val=&quot;00A320BC&quot;/&gt;&lt;wsp:rsid wsp:val=&quot;00A323EF&quot;/&gt;&lt;wsp:rsid wsp:val=&quot;00A32DBD&quot;/&gt;&lt;wsp:rsid wsp:val=&quot;00A33387&quot;/&gt;&lt;wsp:rsid wsp:val=&quot;00A3399A&quot;/&gt;&lt;wsp:rsid wsp:val=&quot;00A33D2F&quot;/&gt;&lt;wsp:rsid wsp:val=&quot;00A34B0D&quot;/&gt;&lt;wsp:rsid wsp:val=&quot;00A364B0&quot;/&gt;&lt;wsp:rsid wsp:val=&quot;00A36974&quot;/&gt;&lt;wsp:rsid wsp:val=&quot;00A36CFF&quot;/&gt;&lt;wsp:rsid wsp:val=&quot;00A36E2B&quot;/&gt;&lt;wsp:rsid wsp:val=&quot;00A3722C&quot;/&gt;&lt;wsp:rsid wsp:val=&quot;00A3744C&quot;/&gt;&lt;wsp:rsid wsp:val=&quot;00A37E0D&quot;/&gt;&lt;wsp:rsid wsp:val=&quot;00A402E2&quot;/&gt;&lt;wsp:rsid wsp:val=&quot;00A40AEA&quot;/&gt;&lt;wsp:rsid wsp:val=&quot;00A40D24&quot;/&gt;&lt;wsp:rsid wsp:val=&quot;00A40FB9&quot;/&gt;&lt;wsp:rsid wsp:val=&quot;00A435D7&quot;/&gt;&lt;wsp:rsid wsp:val=&quot;00A43697&quot;/&gt;&lt;wsp:rsid wsp:val=&quot;00A43BAF&quot;/&gt;&lt;wsp:rsid wsp:val=&quot;00A45446&quot;/&gt;&lt;wsp:rsid wsp:val=&quot;00A46BB7&quot;/&gt;&lt;wsp:rsid wsp:val=&quot;00A5031D&quot;/&gt;&lt;wsp:rsid wsp:val=&quot;00A50405&quot;/&gt;&lt;wsp:rsid wsp:val=&quot;00A512E3&quot;/&gt;&lt;wsp:rsid wsp:val=&quot;00A51347&quot;/&gt;&lt;wsp:rsid wsp:val=&quot;00A51F70&quot;/&gt;&lt;wsp:rsid wsp:val=&quot;00A52905&quot;/&gt;&lt;wsp:rsid wsp:val=&quot;00A52E5C&quot;/&gt;&lt;wsp:rsid wsp:val=&quot;00A53B26&quot;/&gt;&lt;wsp:rsid wsp:val=&quot;00A542B6&quot;/&gt;&lt;wsp:rsid wsp:val=&quot;00A54413&quot;/&gt;&lt;wsp:rsid wsp:val=&quot;00A54987&quot;/&gt;&lt;wsp:rsid wsp:val=&quot;00A558DC&quot;/&gt;&lt;wsp:rsid wsp:val=&quot;00A55995&quot;/&gt;&lt;wsp:rsid wsp:val=&quot;00A55E58&quot;/&gt;&lt;wsp:rsid wsp:val=&quot;00A55E89&quot;/&gt;&lt;wsp:rsid wsp:val=&quot;00A608BD&quot;/&gt;&lt;wsp:rsid wsp:val=&quot;00A61E8E&quot;/&gt;&lt;wsp:rsid wsp:val=&quot;00A61F18&quot;/&gt;&lt;wsp:rsid wsp:val=&quot;00A62170&quot;/&gt;&lt;wsp:rsid wsp:val=&quot;00A625DE&quot;/&gt;&lt;wsp:rsid wsp:val=&quot;00A629E9&quot;/&gt;&lt;wsp:rsid wsp:val=&quot;00A62A2D&quot;/&gt;&lt;wsp:rsid wsp:val=&quot;00A63347&quot;/&gt;&lt;wsp:rsid wsp:val=&quot;00A638D1&quot;/&gt;&lt;wsp:rsid wsp:val=&quot;00A63B5C&quot;/&gt;&lt;wsp:rsid wsp:val=&quot;00A63BC4&quot;/&gt;&lt;wsp:rsid wsp:val=&quot;00A64B4A&quot;/&gt;&lt;wsp:rsid wsp:val=&quot;00A65415&quot;/&gt;&lt;wsp:rsid wsp:val=&quot;00A66850&quot;/&gt;&lt;wsp:rsid wsp:val=&quot;00A67363&quot;/&gt;&lt;wsp:rsid wsp:val=&quot;00A6786B&quot;/&gt;&lt;wsp:rsid wsp:val=&quot;00A70036&quot;/&gt;&lt;wsp:rsid wsp:val=&quot;00A70483&quot;/&gt;&lt;wsp:rsid wsp:val=&quot;00A70761&quot;/&gt;&lt;wsp:rsid wsp:val=&quot;00A70866&quot;/&gt;&lt;wsp:rsid wsp:val=&quot;00A70E10&quot;/&gt;&lt;wsp:rsid wsp:val=&quot;00A71262&quot;/&gt;&lt;wsp:rsid wsp:val=&quot;00A71349&quot;/&gt;&lt;wsp:rsid wsp:val=&quot;00A71EFB&quot;/&gt;&lt;wsp:rsid wsp:val=&quot;00A726CA&quot;/&gt;&lt;wsp:rsid wsp:val=&quot;00A727DB&quot;/&gt;&lt;wsp:rsid wsp:val=&quot;00A72802&quot;/&gt;&lt;wsp:rsid wsp:val=&quot;00A7474C&quot;/&gt;&lt;wsp:rsid wsp:val=&quot;00A74AD8&quot;/&gt;&lt;wsp:rsid wsp:val=&quot;00A74E5F&quot;/&gt;&lt;wsp:rsid wsp:val=&quot;00A753C3&quot;/&gt;&lt;wsp:rsid wsp:val=&quot;00A75806&quot;/&gt;&lt;wsp:rsid wsp:val=&quot;00A75DD0&quot;/&gt;&lt;wsp:rsid wsp:val=&quot;00A76E34&quot;/&gt;&lt;wsp:rsid wsp:val=&quot;00A77404&quot;/&gt;&lt;wsp:rsid wsp:val=&quot;00A775B8&quot;/&gt;&lt;wsp:rsid wsp:val=&quot;00A77682&quot;/&gt;&lt;wsp:rsid wsp:val=&quot;00A77BEC&quot;/&gt;&lt;wsp:rsid wsp:val=&quot;00A806E1&quot;/&gt;&lt;wsp:rsid wsp:val=&quot;00A81320&quot;/&gt;&lt;wsp:rsid wsp:val=&quot;00A82BA3&quot;/&gt;&lt;wsp:rsid wsp:val=&quot;00A83E14&quot;/&gt;&lt;wsp:rsid wsp:val=&quot;00A8440C&quot;/&gt;&lt;wsp:rsid wsp:val=&quot;00A85070&quot;/&gt;&lt;wsp:rsid wsp:val=&quot;00A850F3&quot;/&gt;&lt;wsp:rsid wsp:val=&quot;00A85341&quot;/&gt;&lt;wsp:rsid wsp:val=&quot;00A85367&quot;/&gt;&lt;wsp:rsid wsp:val=&quot;00A85A2F&quot;/&gt;&lt;wsp:rsid wsp:val=&quot;00A867C3&quot;/&gt;&lt;wsp:rsid wsp:val=&quot;00A868FD&quot;/&gt;&lt;wsp:rsid wsp:val=&quot;00A869DB&quot;/&gt;&lt;wsp:rsid wsp:val=&quot;00A872EC&quot;/&gt;&lt;wsp:rsid wsp:val=&quot;00A87BEA&quot;/&gt;&lt;wsp:rsid wsp:val=&quot;00A90EC5&quot;/&gt;&lt;wsp:rsid wsp:val=&quot;00A90EF8&quot;/&gt;&lt;wsp:rsid wsp:val=&quot;00A90FD1&quot;/&gt;&lt;wsp:rsid wsp:val=&quot;00A92C50&quot;/&gt;&lt;wsp:rsid wsp:val=&quot;00A93A94&quot;/&gt;&lt;wsp:rsid wsp:val=&quot;00A946B6&quot;/&gt;&lt;wsp:rsid wsp:val=&quot;00A9475C&quot;/&gt;&lt;wsp:rsid wsp:val=&quot;00A94D84&quot;/&gt;&lt;wsp:rsid wsp:val=&quot;00A95B8D&quot;/&gt;&lt;wsp:rsid wsp:val=&quot;00A965CC&quot;/&gt;&lt;wsp:rsid wsp:val=&quot;00A97435&quot;/&gt;&lt;wsp:rsid wsp:val=&quot;00A975B5&quot;/&gt;&lt;wsp:rsid wsp:val=&quot;00A9784F&quot;/&gt;&lt;wsp:rsid wsp:val=&quot;00A97EEF&quot;/&gt;&lt;wsp:rsid wsp:val=&quot;00AA00A0&quot;/&gt;&lt;wsp:rsid wsp:val=&quot;00AA0845&quot;/&gt;&lt;wsp:rsid wsp:val=&quot;00AA1F7C&quot;/&gt;&lt;wsp:rsid wsp:val=&quot;00AA2D68&quot;/&gt;&lt;wsp:rsid wsp:val=&quot;00AA30DB&quot;/&gt;&lt;wsp:rsid wsp:val=&quot;00AA396D&quot;/&gt;&lt;wsp:rsid wsp:val=&quot;00AA3B52&quot;/&gt;&lt;wsp:rsid wsp:val=&quot;00AA3F73&quot;/&gt;&lt;wsp:rsid wsp:val=&quot;00AA434E&quot;/&gt;&lt;wsp:rsid wsp:val=&quot;00AA5E1F&quot;/&gt;&lt;wsp:rsid wsp:val=&quot;00AA64A0&quot;/&gt;&lt;wsp:rsid wsp:val=&quot;00AA668D&quot;/&gt;&lt;wsp:rsid wsp:val=&quot;00AA7127&quot;/&gt;&lt;wsp:rsid wsp:val=&quot;00AA727A&quot;/&gt;&lt;wsp:rsid wsp:val=&quot;00AA73E7&quot;/&gt;&lt;wsp:rsid wsp:val=&quot;00AA76F4&quot;/&gt;&lt;wsp:rsid wsp:val=&quot;00AB0120&quot;/&gt;&lt;wsp:rsid wsp:val=&quot;00AB1275&quot;/&gt;&lt;wsp:rsid wsp:val=&quot;00AB2217&quot;/&gt;&lt;wsp:rsid wsp:val=&quot;00AB2337&quot;/&gt;&lt;wsp:rsid wsp:val=&quot;00AB2B1F&quot;/&gt;&lt;wsp:rsid wsp:val=&quot;00AB3EB9&quot;/&gt;&lt;wsp:rsid wsp:val=&quot;00AB4299&quot;/&gt;&lt;wsp:rsid wsp:val=&quot;00AB43EC&quot;/&gt;&lt;wsp:rsid wsp:val=&quot;00AB49FE&quot;/&gt;&lt;wsp:rsid wsp:val=&quot;00AB4DE4&quot;/&gt;&lt;wsp:rsid wsp:val=&quot;00AB59C9&quot;/&gt;&lt;wsp:rsid wsp:val=&quot;00AB66FE&quot;/&gt;&lt;wsp:rsid wsp:val=&quot;00AB6805&quot;/&gt;&lt;wsp:rsid wsp:val=&quot;00AB6D9B&quot;/&gt;&lt;wsp:rsid wsp:val=&quot;00AB6FA9&quot;/&gt;&lt;wsp:rsid wsp:val=&quot;00AB74C2&quot;/&gt;&lt;wsp:rsid wsp:val=&quot;00AC005D&quot;/&gt;&lt;wsp:rsid wsp:val=&quot;00AC0A9D&quot;/&gt;&lt;wsp:rsid wsp:val=&quot;00AC1571&quot;/&gt;&lt;wsp:rsid wsp:val=&quot;00AC1A26&quot;/&gt;&lt;wsp:rsid wsp:val=&quot;00AC1FD4&quot;/&gt;&lt;wsp:rsid wsp:val=&quot;00AC2175&quot;/&gt;&lt;wsp:rsid wsp:val=&quot;00AC36EB&quot;/&gt;&lt;wsp:rsid wsp:val=&quot;00AC38C2&quot;/&gt;&lt;wsp:rsid wsp:val=&quot;00AC3EC7&quot;/&gt;&lt;wsp:rsid wsp:val=&quot;00AC48A3&quot;/&gt;&lt;wsp:rsid wsp:val=&quot;00AC4B1E&quot;/&gt;&lt;wsp:rsid wsp:val=&quot;00AC5067&quot;/&gt;&lt;wsp:rsid wsp:val=&quot;00AC5331&quot;/&gt;&lt;wsp:rsid wsp:val=&quot;00AC5738&quot;/&gt;&lt;wsp:rsid wsp:val=&quot;00AC6328&quot;/&gt;&lt;wsp:rsid wsp:val=&quot;00AC6879&quot;/&gt;&lt;wsp:rsid wsp:val=&quot;00AC69E1&quot;/&gt;&lt;wsp:rsid wsp:val=&quot;00AC783A&quot;/&gt;&lt;wsp:rsid wsp:val=&quot;00AD17DB&quot;/&gt;&lt;wsp:rsid wsp:val=&quot;00AD3262&quot;/&gt;&lt;wsp:rsid wsp:val=&quot;00AD3439&quot;/&gt;&lt;wsp:rsid wsp:val=&quot;00AD3667&quot;/&gt;&lt;wsp:rsid wsp:val=&quot;00AD46EF&quot;/&gt;&lt;wsp:rsid wsp:val=&quot;00AD4B5C&quot;/&gt;&lt;wsp:rsid wsp:val=&quot;00AD5857&quot;/&gt;&lt;wsp:rsid wsp:val=&quot;00AD5894&quot;/&gt;&lt;wsp:rsid wsp:val=&quot;00AD59F4&quot;/&gt;&lt;wsp:rsid wsp:val=&quot;00AD5CFB&quot;/&gt;&lt;wsp:rsid wsp:val=&quot;00AD616B&quot;/&gt;&lt;wsp:rsid wsp:val=&quot;00AD669D&quot;/&gt;&lt;wsp:rsid wsp:val=&quot;00AD6C41&quot;/&gt;&lt;wsp:rsid wsp:val=&quot;00AD6F91&quot;/&gt;&lt;wsp:rsid wsp:val=&quot;00AD75C7&quot;/&gt;&lt;wsp:rsid wsp:val=&quot;00AD78AF&quot;/&gt;&lt;wsp:rsid wsp:val=&quot;00AE1B84&quot;/&gt;&lt;wsp:rsid wsp:val=&quot;00AE1C74&quot;/&gt;&lt;wsp:rsid wsp:val=&quot;00AE1E1C&quot;/&gt;&lt;wsp:rsid wsp:val=&quot;00AE268F&quot;/&gt;&lt;wsp:rsid wsp:val=&quot;00AE28E1&quot;/&gt;&lt;wsp:rsid wsp:val=&quot;00AE3366&quot;/&gt;&lt;wsp:rsid wsp:val=&quot;00AE5D93&quot;/&gt;&lt;wsp:rsid wsp:val=&quot;00AE64D3&quot;/&gt;&lt;wsp:rsid wsp:val=&quot;00AF297C&quot;/&gt;&lt;wsp:rsid wsp:val=&quot;00AF4213&quot;/&gt;&lt;wsp:rsid wsp:val=&quot;00AF443F&quot;/&gt;&lt;wsp:rsid wsp:val=&quot;00AF4496&quot;/&gt;&lt;wsp:rsid wsp:val=&quot;00AF4C78&quot;/&gt;&lt;wsp:rsid wsp:val=&quot;00AF5058&quot;/&gt;&lt;wsp:rsid wsp:val=&quot;00AF5359&quot;/&gt;&lt;wsp:rsid wsp:val=&quot;00AF5C9E&quot;/&gt;&lt;wsp:rsid wsp:val=&quot;00AF5F37&quot;/&gt;&lt;wsp:rsid wsp:val=&quot;00AF747A&quot;/&gt;&lt;wsp:rsid wsp:val=&quot;00AF7B58&quot;/&gt;&lt;wsp:rsid wsp:val=&quot;00B0085A&quot;/&gt;&lt;wsp:rsid wsp:val=&quot;00B0212E&quot;/&gt;&lt;wsp:rsid wsp:val=&quot;00B02574&quot;/&gt;&lt;wsp:rsid wsp:val=&quot;00B03308&quot;/&gt;&lt;wsp:rsid wsp:val=&quot;00B046CE&quot;/&gt;&lt;wsp:rsid wsp:val=&quot;00B047AC&quot;/&gt;&lt;wsp:rsid wsp:val=&quot;00B05FCB&quot;/&gt;&lt;wsp:rsid wsp:val=&quot;00B06873&quot;/&gt;&lt;wsp:rsid wsp:val=&quot;00B06D10&quot;/&gt;&lt;wsp:rsid wsp:val=&quot;00B07220&quot;/&gt;&lt;wsp:rsid wsp:val=&quot;00B074C6&quot;/&gt;&lt;wsp:rsid wsp:val=&quot;00B07EE7&quot;/&gt;&lt;wsp:rsid wsp:val=&quot;00B108C8&quot;/&gt;&lt;wsp:rsid wsp:val=&quot;00B10B6F&quot;/&gt;&lt;wsp:rsid wsp:val=&quot;00B113A2&quot;/&gt;&lt;wsp:rsid wsp:val=&quot;00B1185B&quot;/&gt;&lt;wsp:rsid wsp:val=&quot;00B11870&quot;/&gt;&lt;wsp:rsid wsp:val=&quot;00B12C58&quot;/&gt;&lt;wsp:rsid wsp:val=&quot;00B131F2&quot;/&gt;&lt;wsp:rsid wsp:val=&quot;00B1384B&quot;/&gt;&lt;wsp:rsid wsp:val=&quot;00B13E73&quot;/&gt;&lt;wsp:rsid wsp:val=&quot;00B141E0&quot;/&gt;&lt;wsp:rsid wsp:val=&quot;00B149D4&quot;/&gt;&lt;wsp:rsid wsp:val=&quot;00B16277&quot;/&gt;&lt;wsp:rsid wsp:val=&quot;00B162AD&quot;/&gt;&lt;wsp:rsid wsp:val=&quot;00B1671D&quot;/&gt;&lt;wsp:rsid wsp:val=&quot;00B16733&quot;/&gt;&lt;wsp:rsid wsp:val=&quot;00B16B08&quot;/&gt;&lt;wsp:rsid wsp:val=&quot;00B16F75&quot;/&gt;&lt;wsp:rsid wsp:val=&quot;00B16FBE&quot;/&gt;&lt;wsp:rsid wsp:val=&quot;00B17ABC&quot;/&gt;&lt;wsp:rsid wsp:val=&quot;00B20020&quot;/&gt;&lt;wsp:rsid wsp:val=&quot;00B2089F&quot;/&gt;&lt;wsp:rsid wsp:val=&quot;00B20974&quot;/&gt;&lt;wsp:rsid wsp:val=&quot;00B20DA2&quot;/&gt;&lt;wsp:rsid wsp:val=&quot;00B21002&quot;/&gt;&lt;wsp:rsid wsp:val=&quot;00B21950&quot;/&gt;&lt;wsp:rsid wsp:val=&quot;00B21973&quot;/&gt;&lt;wsp:rsid wsp:val=&quot;00B2242C&quot;/&gt;&lt;wsp:rsid wsp:val=&quot;00B22909&quot;/&gt;&lt;wsp:rsid wsp:val=&quot;00B22A56&quot;/&gt;&lt;wsp:rsid wsp:val=&quot;00B2324A&quot;/&gt;&lt;wsp:rsid wsp:val=&quot;00B239DC&quot;/&gt;&lt;wsp:rsid wsp:val=&quot;00B24835&quot;/&gt;&lt;wsp:rsid wsp:val=&quot;00B24B1B&quot;/&gt;&lt;wsp:rsid wsp:val=&quot;00B24BB6&quot;/&gt;&lt;wsp:rsid wsp:val=&quot;00B25770&quot;/&gt;&lt;wsp:rsid wsp:val=&quot;00B25F95&quot;/&gt;&lt;wsp:rsid wsp:val=&quot;00B2651B&quot;/&gt;&lt;wsp:rsid wsp:val=&quot;00B27359&quot;/&gt;&lt;wsp:rsid wsp:val=&quot;00B27AFA&quot;/&gt;&lt;wsp:rsid wsp:val=&quot;00B30CBC&quot;/&gt;&lt;wsp:rsid wsp:val=&quot;00B31E96&quot;/&gt;&lt;wsp:rsid wsp:val=&quot;00B324C4&quot;/&gt;&lt;wsp:rsid wsp:val=&quot;00B327B9&quot;/&gt;&lt;wsp:rsid wsp:val=&quot;00B32F28&quot;/&gt;&lt;wsp:rsid wsp:val=&quot;00B3306D&quot;/&gt;&lt;wsp:rsid wsp:val=&quot;00B33566&quot;/&gt;&lt;wsp:rsid wsp:val=&quot;00B341D8&quot;/&gt;&lt;wsp:rsid wsp:val=&quot;00B34417&quot;/&gt;&lt;wsp:rsid wsp:val=&quot;00B345CA&quot;/&gt;&lt;wsp:rsid wsp:val=&quot;00B34638&quot;/&gt;&lt;wsp:rsid wsp:val=&quot;00B346C5&quot;/&gt;&lt;wsp:rsid wsp:val=&quot;00B3470E&quot;/&gt;&lt;wsp:rsid wsp:val=&quot;00B35878&quot;/&gt;&lt;wsp:rsid wsp:val=&quot;00B369F0&quot;/&gt;&lt;wsp:rsid wsp:val=&quot;00B37BB4&quot;/&gt;&lt;wsp:rsid wsp:val=&quot;00B37D54&quot;/&gt;&lt;wsp:rsid wsp:val=&quot;00B40366&quot;/&gt;&lt;wsp:rsid wsp:val=&quot;00B40724&quot;/&gt;&lt;wsp:rsid wsp:val=&quot;00B41E7F&quot;/&gt;&lt;wsp:rsid wsp:val=&quot;00B42216&quot;/&gt;&lt;wsp:rsid wsp:val=&quot;00B43DB6&quot;/&gt;&lt;wsp:rsid wsp:val=&quot;00B4413F&quot;/&gt;&lt;wsp:rsid wsp:val=&quot;00B4415F&quot;/&gt;&lt;wsp:rsid wsp:val=&quot;00B44612&quot;/&gt;&lt;wsp:rsid wsp:val=&quot;00B446D3&quot;/&gt;&lt;wsp:rsid wsp:val=&quot;00B45233&quot;/&gt;&lt;wsp:rsid wsp:val=&quot;00B45F57&quot;/&gt;&lt;wsp:rsid wsp:val=&quot;00B46FB0&quot;/&gt;&lt;wsp:rsid wsp:val=&quot;00B471EA&quot;/&gt;&lt;wsp:rsid wsp:val=&quot;00B477EF&quot;/&gt;&lt;wsp:rsid wsp:val=&quot;00B47E3C&quot;/&gt;&lt;wsp:rsid wsp:val=&quot;00B502C8&quot;/&gt;&lt;wsp:rsid wsp:val=&quot;00B5042B&quot;/&gt;&lt;wsp:rsid wsp:val=&quot;00B50591&quot;/&gt;&lt;wsp:rsid wsp:val=&quot;00B5077D&quot;/&gt;&lt;wsp:rsid wsp:val=&quot;00B51B82&quot;/&gt;&lt;wsp:rsid wsp:val=&quot;00B51B9A&quot;/&gt;&lt;wsp:rsid wsp:val=&quot;00B51D8F&quot;/&gt;&lt;wsp:rsid wsp:val=&quot;00B52643&quot;/&gt;&lt;wsp:rsid wsp:val=&quot;00B537AA&quot;/&gt;&lt;wsp:rsid wsp:val=&quot;00B53BE5&quot;/&gt;&lt;wsp:rsid wsp:val=&quot;00B55535&quot;/&gt;&lt;wsp:rsid wsp:val=&quot;00B55D77&quot;/&gt;&lt;wsp:rsid wsp:val=&quot;00B5612B&quot;/&gt;&lt;wsp:rsid wsp:val=&quot;00B56838&quot;/&gt;&lt;wsp:rsid wsp:val=&quot;00B57463&quot;/&gt;&lt;wsp:rsid wsp:val=&quot;00B574D9&quot;/&gt;&lt;wsp:rsid wsp:val=&quot;00B60872&quot;/&gt;&lt;wsp:rsid wsp:val=&quot;00B60996&quot;/&gt;&lt;wsp:rsid wsp:val=&quot;00B612A1&quot;/&gt;&lt;wsp:rsid wsp:val=&quot;00B62C01&quot;/&gt;&lt;wsp:rsid wsp:val=&quot;00B63609&quot;/&gt;&lt;wsp:rsid wsp:val=&quot;00B642CF&quot;/&gt;&lt;wsp:rsid wsp:val=&quot;00B65844&quot;/&gt;&lt;wsp:rsid wsp:val=&quot;00B65B9C&quot;/&gt;&lt;wsp:rsid wsp:val=&quot;00B6707C&quot;/&gt;&lt;wsp:rsid wsp:val=&quot;00B67791&quot;/&gt;&lt;wsp:rsid wsp:val=&quot;00B67A73&quot;/&gt;&lt;wsp:rsid wsp:val=&quot;00B706FA&quot;/&gt;&lt;wsp:rsid wsp:val=&quot;00B70CD5&quot;/&gt;&lt;wsp:rsid wsp:val=&quot;00B71AEC&quot;/&gt;&lt;wsp:rsid wsp:val=&quot;00B71F71&quot;/&gt;&lt;wsp:rsid wsp:val=&quot;00B721F8&quot;/&gt;&lt;wsp:rsid wsp:val=&quot;00B722FC&quot;/&gt;&lt;wsp:rsid wsp:val=&quot;00B72517&quot;/&gt;&lt;wsp:rsid wsp:val=&quot;00B72591&quot;/&gt;&lt;wsp:rsid wsp:val=&quot;00B72761&quot;/&gt;&lt;wsp:rsid wsp:val=&quot;00B73B05&quot;/&gt;&lt;wsp:rsid wsp:val=&quot;00B74008&quot;/&gt;&lt;wsp:rsid wsp:val=&quot;00B740FA&quot;/&gt;&lt;wsp:rsid wsp:val=&quot;00B74E34&quot;/&gt;&lt;wsp:rsid wsp:val=&quot;00B754E7&quot;/&gt;&lt;wsp:rsid wsp:val=&quot;00B76A4D&quot;/&gt;&lt;wsp:rsid wsp:val=&quot;00B77574&quot;/&gt;&lt;wsp:rsid wsp:val=&quot;00B775F1&quot;/&gt;&lt;wsp:rsid wsp:val=&quot;00B77F9A&quot;/&gt;&lt;wsp:rsid wsp:val=&quot;00B80000&quot;/&gt;&lt;wsp:rsid wsp:val=&quot;00B802CD&quot;/&gt;&lt;wsp:rsid wsp:val=&quot;00B803CA&quot;/&gt;&lt;wsp:rsid wsp:val=&quot;00B814CD&quot;/&gt;&lt;wsp:rsid wsp:val=&quot;00B81E3D&quot;/&gt;&lt;wsp:rsid wsp:val=&quot;00B836C7&quot;/&gt;&lt;wsp:rsid wsp:val=&quot;00B8381B&quot;/&gt;&lt;wsp:rsid wsp:val=&quot;00B83A63&quot;/&gt;&lt;wsp:rsid wsp:val=&quot;00B83D1B&quot;/&gt;&lt;wsp:rsid wsp:val=&quot;00B83F03&quot;/&gt;&lt;wsp:rsid wsp:val=&quot;00B84439&quot;/&gt;&lt;wsp:rsid wsp:val=&quot;00B84E8E&quot;/&gt;&lt;wsp:rsid wsp:val=&quot;00B85E72&quot;/&gt;&lt;wsp:rsid wsp:val=&quot;00B85EC0&quot;/&gt;&lt;wsp:rsid wsp:val=&quot;00B861F5&quot;/&gt;&lt;wsp:rsid wsp:val=&quot;00B8689A&quot;/&gt;&lt;wsp:rsid wsp:val=&quot;00B86E55&quot;/&gt;&lt;wsp:rsid wsp:val=&quot;00B87DF0&quot;/&gt;&lt;wsp:rsid wsp:val=&quot;00B901F8&quot;/&gt;&lt;wsp:rsid wsp:val=&quot;00B92167&quot;/&gt;&lt;wsp:rsid wsp:val=&quot;00B92346&quot;/&gt;&lt;wsp:rsid wsp:val=&quot;00B92687&quot;/&gt;&lt;wsp:rsid wsp:val=&quot;00B92E71&quot;/&gt;&lt;wsp:rsid wsp:val=&quot;00B92F12&quot;/&gt;&lt;wsp:rsid wsp:val=&quot;00B93235&quot;/&gt;&lt;wsp:rsid wsp:val=&quot;00B936E0&quot;/&gt;&lt;wsp:rsid wsp:val=&quot;00B94C7B&quot;/&gt;&lt;wsp:rsid wsp:val=&quot;00B952B1&quot;/&gt;&lt;wsp:rsid wsp:val=&quot;00B95442&quot;/&gt;&lt;wsp:rsid wsp:val=&quot;00B95BA5&quot;/&gt;&lt;wsp:rsid wsp:val=&quot;00B95EB1&quot;/&gt;&lt;wsp:rsid wsp:val=&quot;00B9619A&quot;/&gt;&lt;wsp:rsid wsp:val=&quot;00B968B3&quot;/&gt;&lt;wsp:rsid wsp:val=&quot;00B972C9&quot;/&gt;&lt;wsp:rsid wsp:val=&quot;00B973E1&quot;/&gt;&lt;wsp:rsid wsp:val=&quot;00B97F52&quot;/&gt;&lt;wsp:rsid wsp:val=&quot;00BA0F53&quot;/&gt;&lt;wsp:rsid wsp:val=&quot;00BA14CD&quot;/&gt;&lt;wsp:rsid wsp:val=&quot;00BA212B&quot;/&gt;&lt;wsp:rsid wsp:val=&quot;00BA2638&quot;/&gt;&lt;wsp:rsid wsp:val=&quot;00BA27D5&quot;/&gt;&lt;wsp:rsid wsp:val=&quot;00BA404E&quot;/&gt;&lt;wsp:rsid wsp:val=&quot;00BA42FE&quot;/&gt;&lt;wsp:rsid wsp:val=&quot;00BA4A13&quot;/&gt;&lt;wsp:rsid wsp:val=&quot;00BA4E4B&quot;/&gt;&lt;wsp:rsid wsp:val=&quot;00BA4FFF&quot;/&gt;&lt;wsp:rsid wsp:val=&quot;00BA55DF&quot;/&gt;&lt;wsp:rsid wsp:val=&quot;00BA5AB6&quot;/&gt;&lt;wsp:rsid wsp:val=&quot;00BA5DA8&quot;/&gt;&lt;wsp:rsid wsp:val=&quot;00BA61DE&quot;/&gt;&lt;wsp:rsid wsp:val=&quot;00BA7B69&quot;/&gt;&lt;wsp:rsid wsp:val=&quot;00BB0427&quot;/&gt;&lt;wsp:rsid wsp:val=&quot;00BB0C29&quot;/&gt;&lt;wsp:rsid wsp:val=&quot;00BB20B5&quot;/&gt;&lt;wsp:rsid wsp:val=&quot;00BB2951&quot;/&gt;&lt;wsp:rsid wsp:val=&quot;00BB2DF2&quot;/&gt;&lt;wsp:rsid wsp:val=&quot;00BB33BF&quot;/&gt;&lt;wsp:rsid wsp:val=&quot;00BB3522&quot;/&gt;&lt;wsp:rsid wsp:val=&quot;00BB360C&quot;/&gt;&lt;wsp:rsid wsp:val=&quot;00BB4239&quot;/&gt;&lt;wsp:rsid wsp:val=&quot;00BB429E&quot;/&gt;&lt;wsp:rsid wsp:val=&quot;00BB53D1&quot;/&gt;&lt;wsp:rsid wsp:val=&quot;00BB634A&quot;/&gt;&lt;wsp:rsid wsp:val=&quot;00BB6E5D&quot;/&gt;&lt;wsp:rsid wsp:val=&quot;00BB707A&quot;/&gt;&lt;wsp:rsid wsp:val=&quot;00BB730E&quot;/&gt;&lt;wsp:rsid wsp:val=&quot;00BB7BE5&quot;/&gt;&lt;wsp:rsid wsp:val=&quot;00BC0011&quot;/&gt;&lt;wsp:rsid wsp:val=&quot;00BC0751&quot;/&gt;&lt;wsp:rsid wsp:val=&quot;00BC0F40&quot;/&gt;&lt;wsp:rsid wsp:val=&quot;00BC10FE&quot;/&gt;&lt;wsp:rsid wsp:val=&quot;00BC17EF&quot;/&gt;&lt;wsp:rsid wsp:val=&quot;00BC2912&quot;/&gt;&lt;wsp:rsid wsp:val=&quot;00BC2A75&quot;/&gt;&lt;wsp:rsid wsp:val=&quot;00BC32C2&quot;/&gt;&lt;wsp:rsid wsp:val=&quot;00BC37DB&quot;/&gt;&lt;wsp:rsid wsp:val=&quot;00BC42BF&quot;/&gt;&lt;wsp:rsid wsp:val=&quot;00BC45CA&quot;/&gt;&lt;wsp:rsid wsp:val=&quot;00BC476E&quot;/&gt;&lt;wsp:rsid wsp:val=&quot;00BC493D&quot;/&gt;&lt;wsp:rsid wsp:val=&quot;00BC5506&quot;/&gt;&lt;wsp:rsid wsp:val=&quot;00BC5C18&quot;/&gt;&lt;wsp:rsid wsp:val=&quot;00BC61DB&quot;/&gt;&lt;wsp:rsid wsp:val=&quot;00BC68E6&quot;/&gt;&lt;wsp:rsid wsp:val=&quot;00BC6958&quot;/&gt;&lt;wsp:rsid wsp:val=&quot;00BC6B84&quot;/&gt;&lt;wsp:rsid wsp:val=&quot;00BD0CD1&quot;/&gt;&lt;wsp:rsid wsp:val=&quot;00BD198F&quot;/&gt;&lt;wsp:rsid wsp:val=&quot;00BD2340&quot;/&gt;&lt;wsp:rsid wsp:val=&quot;00BD2872&quot;/&gt;&lt;wsp:rsid wsp:val=&quot;00BD2C58&quot;/&gt;&lt;wsp:rsid wsp:val=&quot;00BD2D77&quot;/&gt;&lt;wsp:rsid wsp:val=&quot;00BD2E1C&quot;/&gt;&lt;wsp:rsid wsp:val=&quot;00BD416E&quot;/&gt;&lt;wsp:rsid wsp:val=&quot;00BD46F7&quot;/&gt;&lt;wsp:rsid wsp:val=&quot;00BD5D2D&quot;/&gt;&lt;wsp:rsid wsp:val=&quot;00BD74D8&quot;/&gt;&lt;wsp:rsid wsp:val=&quot;00BD794D&quot;/&gt;&lt;wsp:rsid wsp:val=&quot;00BD7C04&quot;/&gt;&lt;wsp:rsid wsp:val=&quot;00BE04DE&quot;/&gt;&lt;wsp:rsid wsp:val=&quot;00BE1124&quot;/&gt;&lt;wsp:rsid wsp:val=&quot;00BE12EB&quot;/&gt;&lt;wsp:rsid wsp:val=&quot;00BE2E31&quot;/&gt;&lt;wsp:rsid wsp:val=&quot;00BE2EA7&quot;/&gt;&lt;wsp:rsid wsp:val=&quot;00BE46E8&quot;/&gt;&lt;wsp:rsid wsp:val=&quot;00BE49C3&quot;/&gt;&lt;wsp:rsid wsp:val=&quot;00BE49DD&quot;/&gt;&lt;wsp:rsid wsp:val=&quot;00BE62A1&quot;/&gt;&lt;wsp:rsid wsp:val=&quot;00BE69D4&quot;/&gt;&lt;wsp:rsid wsp:val=&quot;00BE7091&quot;/&gt;&lt;wsp:rsid wsp:val=&quot;00BE715A&quot;/&gt;&lt;wsp:rsid wsp:val=&quot;00BE734D&quot;/&gt;&lt;wsp:rsid wsp:val=&quot;00BE74CD&quot;/&gt;&lt;wsp:rsid wsp:val=&quot;00BE7AC4&quot;/&gt;&lt;wsp:rsid wsp:val=&quot;00BE7F99&quot;/&gt;&lt;wsp:rsid wsp:val=&quot;00BF00B7&quot;/&gt;&lt;wsp:rsid wsp:val=&quot;00BF0552&quot;/&gt;&lt;wsp:rsid wsp:val=&quot;00BF0BB1&quot;/&gt;&lt;wsp:rsid wsp:val=&quot;00BF0D32&quot;/&gt;&lt;wsp:rsid wsp:val=&quot;00BF146D&quot;/&gt;&lt;wsp:rsid wsp:val=&quot;00BF2F7C&quot;/&gt;&lt;wsp:rsid wsp:val=&quot;00BF36E2&quot;/&gt;&lt;wsp:rsid wsp:val=&quot;00BF3ED3&quot;/&gt;&lt;wsp:rsid wsp:val=&quot;00BF48A6&quot;/&gt;&lt;wsp:rsid wsp:val=&quot;00BF48CB&quot;/&gt;&lt;wsp:rsid wsp:val=&quot;00BF4B4C&quot;/&gt;&lt;wsp:rsid wsp:val=&quot;00BF5410&quot;/&gt;&lt;wsp:rsid wsp:val=&quot;00BF5521&quot;/&gt;&lt;wsp:rsid wsp:val=&quot;00BF5A0E&quot;/&gt;&lt;wsp:rsid wsp:val=&quot;00C01152&quot;/&gt;&lt;wsp:rsid wsp:val=&quot;00C02345&quot;/&gt;&lt;wsp:rsid wsp:val=&quot;00C0277C&quot;/&gt;&lt;wsp:rsid wsp:val=&quot;00C03747&quot;/&gt;&lt;wsp:rsid wsp:val=&quot;00C03F96&quot;/&gt;&lt;wsp:rsid wsp:val=&quot;00C0471F&quot;/&gt;&lt;wsp:rsid wsp:val=&quot;00C04D10&quot;/&gt;&lt;wsp:rsid wsp:val=&quot;00C04F48&quot;/&gt;&lt;wsp:rsid wsp:val=&quot;00C06E68&quot;/&gt;&lt;wsp:rsid wsp:val=&quot;00C079BA&quot;/&gt;&lt;wsp:rsid wsp:val=&quot;00C07D0A&quot;/&gt;&lt;wsp:rsid wsp:val=&quot;00C07D3A&quot;/&gt;&lt;wsp:rsid wsp:val=&quot;00C11E51&quot;/&gt;&lt;wsp:rsid wsp:val=&quot;00C12F87&quot;/&gt;&lt;wsp:rsid wsp:val=&quot;00C12FF1&quot;/&gt;&lt;wsp:rsid wsp:val=&quot;00C150FE&quot;/&gt;&lt;wsp:rsid wsp:val=&quot;00C156C0&quot;/&gt;&lt;wsp:rsid wsp:val=&quot;00C15C4E&quot;/&gt;&lt;wsp:rsid wsp:val=&quot;00C17741&quot;/&gt;&lt;wsp:rsid wsp:val=&quot;00C17BA6&quot;/&gt;&lt;wsp:rsid wsp:val=&quot;00C2097D&quot;/&gt;&lt;wsp:rsid wsp:val=&quot;00C21368&quot;/&gt;&lt;wsp:rsid wsp:val=&quot;00C21498&quot;/&gt;&lt;wsp:rsid wsp:val=&quot;00C21EC4&quot;/&gt;&lt;wsp:rsid wsp:val=&quot;00C21EDD&quot;/&gt;&lt;wsp:rsid wsp:val=&quot;00C22317&quot;/&gt;&lt;wsp:rsid wsp:val=&quot;00C22881&quot;/&gt;&lt;wsp:rsid wsp:val=&quot;00C22BB5&quot;/&gt;&lt;wsp:rsid wsp:val=&quot;00C2481F&quot;/&gt;&lt;wsp:rsid wsp:val=&quot;00C25715&quot;/&gt;&lt;wsp:rsid wsp:val=&quot;00C26027&quot;/&gt;&lt;wsp:rsid wsp:val=&quot;00C270ED&quot;/&gt;&lt;wsp:rsid wsp:val=&quot;00C277BA&quot;/&gt;&lt;wsp:rsid wsp:val=&quot;00C30056&quot;/&gt;&lt;wsp:rsid wsp:val=&quot;00C308C0&quot;/&gt;&lt;wsp:rsid wsp:val=&quot;00C30CF4&quot;/&gt;&lt;wsp:rsid wsp:val=&quot;00C31A5A&quot;/&gt;&lt;wsp:rsid wsp:val=&quot;00C31AC0&quot;/&gt;&lt;wsp:rsid wsp:val=&quot;00C32913&quot;/&gt;&lt;wsp:rsid wsp:val=&quot;00C33744&quot;/&gt;&lt;wsp:rsid wsp:val=&quot;00C342C7&quot;/&gt;&lt;wsp:rsid wsp:val=&quot;00C34989&quot;/&gt;&lt;wsp:rsid wsp:val=&quot;00C35362&quot;/&gt;&lt;wsp:rsid wsp:val=&quot;00C35C11&quot;/&gt;&lt;wsp:rsid wsp:val=&quot;00C35D8B&quot;/&gt;&lt;wsp:rsid wsp:val=&quot;00C35DD7&quot;/&gt;&lt;wsp:rsid wsp:val=&quot;00C36028&quot;/&gt;&lt;wsp:rsid wsp:val=&quot;00C36449&quot;/&gt;&lt;wsp:rsid wsp:val=&quot;00C370C5&quot;/&gt;&lt;wsp:rsid wsp:val=&quot;00C379AA&quot;/&gt;&lt;wsp:rsid wsp:val=&quot;00C37DDF&quot;/&gt;&lt;wsp:rsid wsp:val=&quot;00C40ACA&quot;/&gt;&lt;wsp:rsid wsp:val=&quot;00C40D11&quot;/&gt;&lt;wsp:rsid wsp:val=&quot;00C40FC8&quot;/&gt;&lt;wsp:rsid wsp:val=&quot;00C4196D&quot;/&gt;&lt;wsp:rsid wsp:val=&quot;00C41CBC&quot;/&gt;&lt;wsp:rsid wsp:val=&quot;00C43F59&quot;/&gt;&lt;wsp:rsid wsp:val=&quot;00C43FC7&quot;/&gt;&lt;wsp:rsid wsp:val=&quot;00C44362&quot;/&gt;&lt;wsp:rsid wsp:val=&quot;00C45134&quot;/&gt;&lt;wsp:rsid wsp:val=&quot;00C45CBC&quot;/&gt;&lt;wsp:rsid wsp:val=&quot;00C46052&quot;/&gt;&lt;wsp:rsid wsp:val=&quot;00C461E6&quot;/&gt;&lt;wsp:rsid wsp:val=&quot;00C46BCD&quot;/&gt;&lt;wsp:rsid wsp:val=&quot;00C47C4A&quot;/&gt;&lt;wsp:rsid wsp:val=&quot;00C5039E&quot;/&gt;&lt;wsp:rsid wsp:val=&quot;00C52896&quot;/&gt;&lt;wsp:rsid wsp:val=&quot;00C52FEA&quot;/&gt;&lt;wsp:rsid wsp:val=&quot;00C538D5&quot;/&gt;&lt;wsp:rsid wsp:val=&quot;00C53E51&quot;/&gt;&lt;wsp:rsid wsp:val=&quot;00C5404E&quot;/&gt;&lt;wsp:rsid wsp:val=&quot;00C54F13&quot;/&gt;&lt;wsp:rsid wsp:val=&quot;00C54FA4&quot;/&gt;&lt;wsp:rsid wsp:val=&quot;00C55FCE&quot;/&gt;&lt;wsp:rsid wsp:val=&quot;00C5620E&quot;/&gt;&lt;wsp:rsid wsp:val=&quot;00C56245&quot;/&gt;&lt;wsp:rsid wsp:val=&quot;00C5630B&quot;/&gt;&lt;wsp:rsid wsp:val=&quot;00C564B1&quot;/&gt;&lt;wsp:rsid wsp:val=&quot;00C567BB&quot;/&gt;&lt;wsp:rsid wsp:val=&quot;00C57513&quot;/&gt;&lt;wsp:rsid wsp:val=&quot;00C57CA0&quot;/&gt;&lt;wsp:rsid wsp:val=&quot;00C60EE8&quot;/&gt;&lt;wsp:rsid wsp:val=&quot;00C61792&quot;/&gt;&lt;wsp:rsid wsp:val=&quot;00C61DF9&quot;/&gt;&lt;wsp:rsid wsp:val=&quot;00C61FD8&quot;/&gt;&lt;wsp:rsid wsp:val=&quot;00C62A64&quot;/&gt;&lt;wsp:rsid wsp:val=&quot;00C62F70&quot;/&gt;&lt;wsp:rsid wsp:val=&quot;00C6300E&quot;/&gt;&lt;wsp:rsid wsp:val=&quot;00C63633&quot;/&gt;&lt;wsp:rsid wsp:val=&quot;00C63BC5&quot;/&gt;&lt;wsp:rsid wsp:val=&quot;00C63BCA&quot;/&gt;&lt;wsp:rsid wsp:val=&quot;00C64A0D&quot;/&gt;&lt;wsp:rsid wsp:val=&quot;00C65027&quot;/&gt;&lt;wsp:rsid wsp:val=&quot;00C657DF&quot;/&gt;&lt;wsp:rsid wsp:val=&quot;00C65869&quot;/&gt;&lt;wsp:rsid wsp:val=&quot;00C665EE&quot;/&gt;&lt;wsp:rsid wsp:val=&quot;00C6731E&quot;/&gt;&lt;wsp:rsid wsp:val=&quot;00C700AF&quot;/&gt;&lt;wsp:rsid wsp:val=&quot;00C71A0A&quot;/&gt;&lt;wsp:rsid wsp:val=&quot;00C724F8&quot;/&gt;&lt;wsp:rsid wsp:val=&quot;00C7297F&quot;/&gt;&lt;wsp:rsid wsp:val=&quot;00C73000&quot;/&gt;&lt;wsp:rsid wsp:val=&quot;00C74CC5&quot;/&gt;&lt;wsp:rsid wsp:val=&quot;00C74CD8&quot;/&gt;&lt;wsp:rsid wsp:val=&quot;00C7510F&quot;/&gt;&lt;wsp:rsid wsp:val=&quot;00C75689&quot;/&gt;&lt;wsp:rsid wsp:val=&quot;00C77639&quot;/&gt;&lt;wsp:rsid wsp:val=&quot;00C77B1E&quot;/&gt;&lt;wsp:rsid wsp:val=&quot;00C77D27&quot;/&gt;&lt;wsp:rsid wsp:val=&quot;00C8006B&quot;/&gt;&lt;wsp:rsid wsp:val=&quot;00C812C0&quot;/&gt;&lt;wsp:rsid wsp:val=&quot;00C81E94&quot;/&gt;&lt;wsp:rsid wsp:val=&quot;00C81F73&quot;/&gt;&lt;wsp:rsid wsp:val=&quot;00C81FD8&quot;/&gt;&lt;wsp:rsid wsp:val=&quot;00C8214A&quot;/&gt;&lt;wsp:rsid wsp:val=&quot;00C82F7C&quot;/&gt;&lt;wsp:rsid wsp:val=&quot;00C82FB4&quot;/&gt;&lt;wsp:rsid wsp:val=&quot;00C833F3&quot;/&gt;&lt;wsp:rsid wsp:val=&quot;00C837CF&quot;/&gt;&lt;wsp:rsid wsp:val=&quot;00C85412&quot;/&gt;&lt;wsp:rsid wsp:val=&quot;00C857BC&quot;/&gt;&lt;wsp:rsid wsp:val=&quot;00C85AE7&quot;/&gt;&lt;wsp:rsid wsp:val=&quot;00C86CC3&quot;/&gt;&lt;wsp:rsid wsp:val=&quot;00C87A88&quot;/&gt;&lt;wsp:rsid wsp:val=&quot;00C87F7C&quot;/&gt;&lt;wsp:rsid wsp:val=&quot;00C901C6&quot;/&gt;&lt;wsp:rsid wsp:val=&quot;00C9043E&quot;/&gt;&lt;wsp:rsid wsp:val=&quot;00C90738&quot;/&gt;&lt;wsp:rsid wsp:val=&quot;00C90A66&quot;/&gt;&lt;wsp:rsid wsp:val=&quot;00C92314&quot;/&gt;&lt;wsp:rsid wsp:val=&quot;00C92C8D&quot;/&gt;&lt;wsp:rsid wsp:val=&quot;00C92EE5&quot;/&gt;&lt;wsp:rsid wsp:val=&quot;00C93F3C&quot;/&gt;&lt;wsp:rsid wsp:val=&quot;00C94BBF&quot;/&gt;&lt;wsp:rsid wsp:val=&quot;00C9590D&quot;/&gt;&lt;wsp:rsid wsp:val=&quot;00C96622&quot;/&gt;&lt;wsp:rsid wsp:val=&quot;00CA122F&quot;/&gt;&lt;wsp:rsid wsp:val=&quot;00CA1C29&quot;/&gt;&lt;wsp:rsid wsp:val=&quot;00CA1C4D&quot;/&gt;&lt;wsp:rsid wsp:val=&quot;00CA2EEC&quot;/&gt;&lt;wsp:rsid wsp:val=&quot;00CA3A7C&quot;/&gt;&lt;wsp:rsid wsp:val=&quot;00CA3AAC&quot;/&gt;&lt;wsp:rsid wsp:val=&quot;00CA4E47&quot;/&gt;&lt;wsp:rsid wsp:val=&quot;00CA513F&quot;/&gt;&lt;wsp:rsid wsp:val=&quot;00CA5EAA&quot;/&gt;&lt;wsp:rsid wsp:val=&quot;00CA7E54&quot;/&gt;&lt;wsp:rsid wsp:val=&quot;00CB07CA&quot;/&gt;&lt;wsp:rsid wsp:val=&quot;00CB0963&quot;/&gt;&lt;wsp:rsid wsp:val=&quot;00CB13E0&quot;/&gt;&lt;wsp:rsid wsp:val=&quot;00CB2D1F&quot;/&gt;&lt;wsp:rsid wsp:val=&quot;00CB3ED8&quot;/&gt;&lt;wsp:rsid wsp:val=&quot;00CB3F87&quot;/&gt;&lt;wsp:rsid wsp:val=&quot;00CB4539&quot;/&gt;&lt;wsp:rsid wsp:val=&quot;00CB54D8&quot;/&gt;&lt;wsp:rsid wsp:val=&quot;00CB5A33&quot;/&gt;&lt;wsp:rsid wsp:val=&quot;00CB7E85&quot;/&gt;&lt;wsp:rsid wsp:val=&quot;00CC08A2&quot;/&gt;&lt;wsp:rsid wsp:val=&quot;00CC115D&quot;/&gt;&lt;wsp:rsid wsp:val=&quot;00CC30C6&quot;/&gt;&lt;wsp:rsid wsp:val=&quot;00CC468B&quot;/&gt;&lt;wsp:rsid wsp:val=&quot;00CC4ACC&quot;/&gt;&lt;wsp:rsid wsp:val=&quot;00CC4B30&quot;/&gt;&lt;wsp:rsid wsp:val=&quot;00CC6495&quot;/&gt;&lt;wsp:rsid wsp:val=&quot;00CC6DE7&quot;/&gt;&lt;wsp:rsid wsp:val=&quot;00CC766B&quot;/&gt;&lt;wsp:rsid wsp:val=&quot;00CD045C&quot;/&gt;&lt;wsp:rsid wsp:val=&quot;00CD180E&quot;/&gt;&lt;wsp:rsid wsp:val=&quot;00CD277E&quot;/&gt;&lt;wsp:rsid wsp:val=&quot;00CD2E96&quot;/&gt;&lt;wsp:rsid wsp:val=&quot;00CD3167&quot;/&gt;&lt;wsp:rsid wsp:val=&quot;00CD3B28&quot;/&gt;&lt;wsp:rsid wsp:val=&quot;00CD3EC1&quot;/&gt;&lt;wsp:rsid wsp:val=&quot;00CD4527&quot;/&gt;&lt;wsp:rsid wsp:val=&quot;00CD5E6C&quot;/&gt;&lt;wsp:rsid wsp:val=&quot;00CD6092&quot;/&gt;&lt;wsp:rsid wsp:val=&quot;00CD61C3&quot;/&gt;&lt;wsp:rsid wsp:val=&quot;00CD6736&quot;/&gt;&lt;wsp:rsid wsp:val=&quot;00CD68CB&quot;/&gt;&lt;wsp:rsid wsp:val=&quot;00CD6CF4&quot;/&gt;&lt;wsp:rsid wsp:val=&quot;00CD78E2&quot;/&gt;&lt;wsp:rsid wsp:val=&quot;00CE01D4&quot;/&gt;&lt;wsp:rsid wsp:val=&quot;00CE020A&quot;/&gt;&lt;wsp:rsid wsp:val=&quot;00CE15F9&quot;/&gt;&lt;wsp:rsid wsp:val=&quot;00CE17CA&quot;/&gt;&lt;wsp:rsid wsp:val=&quot;00CE1B19&quot;/&gt;&lt;wsp:rsid wsp:val=&quot;00CE2511&quot;/&gt;&lt;wsp:rsid wsp:val=&quot;00CE379C&quot;/&gt;&lt;wsp:rsid wsp:val=&quot;00CE3846&quot;/&gt;&lt;wsp:rsid wsp:val=&quot;00CE476D&quot;/&gt;&lt;wsp:rsid wsp:val=&quot;00CE5B57&quot;/&gt;&lt;wsp:rsid wsp:val=&quot;00CE5EC1&quot;/&gt;&lt;wsp:rsid wsp:val=&quot;00CE5EC7&quot;/&gt;&lt;wsp:rsid wsp:val=&quot;00CE71D0&quot;/&gt;&lt;wsp:rsid wsp:val=&quot;00CE728E&quot;/&gt;&lt;wsp:rsid wsp:val=&quot;00CE77A0&quot;/&gt;&lt;wsp:rsid wsp:val=&quot;00CF0F1B&quot;/&gt;&lt;wsp:rsid wsp:val=&quot;00CF1BA5&quot;/&gt;&lt;wsp:rsid wsp:val=&quot;00CF2CC0&quot;/&gt;&lt;wsp:rsid wsp:val=&quot;00CF2FBB&quot;/&gt;&lt;wsp:rsid wsp:val=&quot;00CF3ADF&quot;/&gt;&lt;wsp:rsid wsp:val=&quot;00CF3B6E&quot;/&gt;&lt;wsp:rsid wsp:val=&quot;00CF3C3D&quot;/&gt;&lt;wsp:rsid wsp:val=&quot;00CF54D2&quot;/&gt;&lt;wsp:rsid wsp:val=&quot;00CF69DE&quot;/&gt;&lt;wsp:rsid wsp:val=&quot;00CF6EEE&quot;/&gt;&lt;wsp:rsid wsp:val=&quot;00CF7DF7&quot;/&gt;&lt;wsp:rsid wsp:val=&quot;00CF7E09&quot;/&gt;&lt;wsp:rsid wsp:val=&quot;00D02180&quot;/&gt;&lt;wsp:rsid wsp:val=&quot;00D02790&quot;/&gt;&lt;wsp:rsid wsp:val=&quot;00D042B3&quot;/&gt;&lt;wsp:rsid wsp:val=&quot;00D051DC&quot;/&gt;&lt;wsp:rsid wsp:val=&quot;00D05220&quot;/&gt;&lt;wsp:rsid wsp:val=&quot;00D06288&quot;/&gt;&lt;wsp:rsid wsp:val=&quot;00D06323&quot;/&gt;&lt;wsp:rsid wsp:val=&quot;00D067EA&quot;/&gt;&lt;wsp:rsid wsp:val=&quot;00D06D96&quot;/&gt;&lt;wsp:rsid wsp:val=&quot;00D07621&quot;/&gt;&lt;wsp:rsid wsp:val=&quot;00D07BF3&quot;/&gt;&lt;wsp:rsid wsp:val=&quot;00D101ED&quot;/&gt;&lt;wsp:rsid wsp:val=&quot;00D104CF&quot;/&gt;&lt;wsp:rsid wsp:val=&quot;00D10EDA&quot;/&gt;&lt;wsp:rsid wsp:val=&quot;00D120C5&quot;/&gt;&lt;wsp:rsid wsp:val=&quot;00D1220A&quot;/&gt;&lt;wsp:rsid wsp:val=&quot;00D126BB&quot;/&gt;&lt;wsp:rsid wsp:val=&quot;00D127B0&quot;/&gt;&lt;wsp:rsid wsp:val=&quot;00D13AED&quot;/&gt;&lt;wsp:rsid wsp:val=&quot;00D13F9F&quot;/&gt;&lt;wsp:rsid wsp:val=&quot;00D140F1&quot;/&gt;&lt;wsp:rsid wsp:val=&quot;00D144A9&quot;/&gt;&lt;wsp:rsid wsp:val=&quot;00D14868&quot;/&gt;&lt;wsp:rsid wsp:val=&quot;00D15F18&quot;/&gt;&lt;wsp:rsid wsp:val=&quot;00D175F4&quot;/&gt;&lt;wsp:rsid wsp:val=&quot;00D17F6C&quot;/&gt;&lt;wsp:rsid wsp:val=&quot;00D20039&quot;/&gt;&lt;wsp:rsid wsp:val=&quot;00D20CA3&quot;/&gt;&lt;wsp:rsid wsp:val=&quot;00D216A7&quot;/&gt;&lt;wsp:rsid wsp:val=&quot;00D21A04&quot;/&gt;&lt;wsp:rsid wsp:val=&quot;00D22310&quot;/&gt;&lt;wsp:rsid wsp:val=&quot;00D22CB1&quot;/&gt;&lt;wsp:rsid wsp:val=&quot;00D235CE&quot;/&gt;&lt;wsp:rsid wsp:val=&quot;00D23EC1&quot;/&gt;&lt;wsp:rsid wsp:val=&quot;00D2459E&quot;/&gt;&lt;wsp:rsid wsp:val=&quot;00D24F87&quot;/&gt;&lt;wsp:rsid wsp:val=&quot;00D25358&quot;/&gt;&lt;wsp:rsid wsp:val=&quot;00D25536&quot;/&gt;&lt;wsp:rsid wsp:val=&quot;00D2631F&quot;/&gt;&lt;wsp:rsid wsp:val=&quot;00D302FE&quot;/&gt;&lt;wsp:rsid wsp:val=&quot;00D30C98&quot;/&gt;&lt;wsp:rsid wsp:val=&quot;00D31257&quot;/&gt;&lt;wsp:rsid wsp:val=&quot;00D31504&quot;/&gt;&lt;wsp:rsid wsp:val=&quot;00D32951&quot;/&gt;&lt;wsp:rsid wsp:val=&quot;00D32F1E&quot;/&gt;&lt;wsp:rsid wsp:val=&quot;00D3311D&quot;/&gt;&lt;wsp:rsid wsp:val=&quot;00D3312B&quot;/&gt;&lt;wsp:rsid wsp:val=&quot;00D342E2&quot;/&gt;&lt;wsp:rsid wsp:val=&quot;00D34538&quot;/&gt;&lt;wsp:rsid wsp:val=&quot;00D34FD1&quot;/&gt;&lt;wsp:rsid wsp:val=&quot;00D36109&quot;/&gt;&lt;wsp:rsid wsp:val=&quot;00D36666&quot;/&gt;&lt;wsp:rsid wsp:val=&quot;00D372D6&quot;/&gt;&lt;wsp:rsid wsp:val=&quot;00D37D72&quot;/&gt;&lt;wsp:rsid wsp:val=&quot;00D40163&quot;/&gt;&lt;wsp:rsid wsp:val=&quot;00D40DAD&quot;/&gt;&lt;wsp:rsid wsp:val=&quot;00D418C6&quot;/&gt;&lt;wsp:rsid wsp:val=&quot;00D41B26&quot;/&gt;&lt;wsp:rsid wsp:val=&quot;00D43010&quot;/&gt;&lt;wsp:rsid wsp:val=&quot;00D43C52&quot;/&gt;&lt;wsp:rsid wsp:val=&quot;00D43F66&quot;/&gt;&lt;wsp:rsid wsp:val=&quot;00D44625&quot;/&gt;&lt;wsp:rsid wsp:val=&quot;00D45BA3&quot;/&gt;&lt;wsp:rsid wsp:val=&quot;00D45D23&quot;/&gt;&lt;wsp:rsid wsp:val=&quot;00D46B54&quot;/&gt;&lt;wsp:rsid wsp:val=&quot;00D46DDA&quot;/&gt;&lt;wsp:rsid wsp:val=&quot;00D50640&quot;/&gt;&lt;wsp:rsid wsp:val=&quot;00D510AD&quot;/&gt;&lt;wsp:rsid wsp:val=&quot;00D5181C&quot;/&gt;&lt;wsp:rsid wsp:val=&quot;00D52915&quot;/&gt;&lt;wsp:rsid wsp:val=&quot;00D53561&quot;/&gt;&lt;wsp:rsid wsp:val=&quot;00D53835&quot;/&gt;&lt;wsp:rsid wsp:val=&quot;00D53AA2&quot;/&gt;&lt;wsp:rsid wsp:val=&quot;00D54263&quot;/&gt;&lt;wsp:rsid wsp:val=&quot;00D547BA&quot;/&gt;&lt;wsp:rsid wsp:val=&quot;00D56448&quot;/&gt;&lt;wsp:rsid wsp:val=&quot;00D56BBD&quot;/&gt;&lt;wsp:rsid wsp:val=&quot;00D56D91&quot;/&gt;&lt;wsp:rsid wsp:val=&quot;00D56DB9&quot;/&gt;&lt;wsp:rsid wsp:val=&quot;00D57824&quot;/&gt;&lt;wsp:rsid wsp:val=&quot;00D57A39&quot;/&gt;&lt;wsp:rsid wsp:val=&quot;00D57F30&quot;/&gt;&lt;wsp:rsid wsp:val=&quot;00D60606&quot;/&gt;&lt;wsp:rsid wsp:val=&quot;00D607FA&quot;/&gt;&lt;wsp:rsid wsp:val=&quot;00D60C99&quot;/&gt;&lt;wsp:rsid wsp:val=&quot;00D610F7&quot;/&gt;&lt;wsp:rsid wsp:val=&quot;00D6159C&quot;/&gt;&lt;wsp:rsid wsp:val=&quot;00D6170A&quot;/&gt;&lt;wsp:rsid wsp:val=&quot;00D61B24&quot;/&gt;&lt;wsp:rsid wsp:val=&quot;00D62204&quot;/&gt;&lt;wsp:rsid wsp:val=&quot;00D6230F&quot;/&gt;&lt;wsp:rsid wsp:val=&quot;00D62852&quot;/&gt;&lt;wsp:rsid wsp:val=&quot;00D63712&quot;/&gt;&lt;wsp:rsid wsp:val=&quot;00D638AE&quot;/&gt;&lt;wsp:rsid wsp:val=&quot;00D63E61&quot;/&gt;&lt;wsp:rsid wsp:val=&quot;00D64017&quot;/&gt;&lt;wsp:rsid wsp:val=&quot;00D6436E&quot;/&gt;&lt;wsp:rsid wsp:val=&quot;00D64A3E&quot;/&gt;&lt;wsp:rsid wsp:val=&quot;00D65BA7&quot;/&gt;&lt;wsp:rsid wsp:val=&quot;00D6667C&quot;/&gt;&lt;wsp:rsid wsp:val=&quot;00D67430&quot;/&gt;&lt;wsp:rsid wsp:val=&quot;00D67BC2&quot;/&gt;&lt;wsp:rsid wsp:val=&quot;00D710F3&quot;/&gt;&lt;wsp:rsid wsp:val=&quot;00D71302&quot;/&gt;&lt;wsp:rsid wsp:val=&quot;00D7135C&quot;/&gt;&lt;wsp:rsid wsp:val=&quot;00D742A8&quot;/&gt;&lt;wsp:rsid wsp:val=&quot;00D74311&quot;/&gt;&lt;wsp:rsid wsp:val=&quot;00D744D0&quot;/&gt;&lt;wsp:rsid wsp:val=&quot;00D746EB&quot;/&gt;&lt;wsp:rsid wsp:val=&quot;00D7689D&quot;/&gt;&lt;wsp:rsid wsp:val=&quot;00D8083B&quot;/&gt;&lt;wsp:rsid wsp:val=&quot;00D809E2&quot;/&gt;&lt;wsp:rsid wsp:val=&quot;00D81183&quot;/&gt;&lt;wsp:rsid wsp:val=&quot;00D81206&quot;/&gt;&lt;wsp:rsid wsp:val=&quot;00D817C5&quot;/&gt;&lt;wsp:rsid wsp:val=&quot;00D81A72&quot;/&gt;&lt;wsp:rsid wsp:val=&quot;00D81E97&quot;/&gt;&lt;wsp:rsid wsp:val=&quot;00D82322&quot;/&gt;&lt;wsp:rsid wsp:val=&quot;00D82914&quot;/&gt;&lt;wsp:rsid wsp:val=&quot;00D83028&quot;/&gt;&lt;wsp:rsid wsp:val=&quot;00D8342F&quot;/&gt;&lt;wsp:rsid wsp:val=&quot;00D83B0A&quot;/&gt;&lt;wsp:rsid wsp:val=&quot;00D8489E&quot;/&gt;&lt;wsp:rsid wsp:val=&quot;00D84A33&quot;/&gt;&lt;wsp:rsid wsp:val=&quot;00D85D43&quot;/&gt;&lt;wsp:rsid wsp:val=&quot;00D86471&quot;/&gt;&lt;wsp:rsid wsp:val=&quot;00D86F55&quot;/&gt;&lt;wsp:rsid wsp:val=&quot;00D87EE8&quot;/&gt;&lt;wsp:rsid wsp:val=&quot;00D90AD0&quot;/&gt;&lt;wsp:rsid wsp:val=&quot;00D90BE7&quot;/&gt;&lt;wsp:rsid wsp:val=&quot;00D91D6D&quot;/&gt;&lt;wsp:rsid wsp:val=&quot;00D91F9D&quot;/&gt;&lt;wsp:rsid wsp:val=&quot;00D93863&quot;/&gt;&lt;wsp:rsid wsp:val=&quot;00D9399E&quot;/&gt;&lt;wsp:rsid wsp:val=&quot;00D9419D&quot;/&gt;&lt;wsp:rsid wsp:val=&quot;00D950AD&quot;/&gt;&lt;wsp:rsid wsp:val=&quot;00D951A9&quot;/&gt;&lt;wsp:rsid wsp:val=&quot;00D956A9&quot;/&gt;&lt;wsp:rsid wsp:val=&quot;00D95D17&quot;/&gt;&lt;wsp:rsid wsp:val=&quot;00D96102&quot;/&gt;&lt;wsp:rsid wsp:val=&quot;00D9655B&quot;/&gt;&lt;wsp:rsid wsp:val=&quot;00D96DDD&quot;/&gt;&lt;wsp:rsid wsp:val=&quot;00D974E9&quot;/&gt;&lt;wsp:rsid wsp:val=&quot;00D97C92&quot;/&gt;&lt;wsp:rsid wsp:val=&quot;00D97D4E&quot;/&gt;&lt;wsp:rsid wsp:val=&quot;00DA07AE&quot;/&gt;&lt;wsp:rsid wsp:val=&quot;00DA0D27&quot;/&gt;&lt;wsp:rsid wsp:val=&quot;00DA1AF8&quot;/&gt;&lt;wsp:rsid wsp:val=&quot;00DA1C33&quot;/&gt;&lt;wsp:rsid wsp:val=&quot;00DA2364&quot;/&gt;&lt;wsp:rsid wsp:val=&quot;00DA3481&quot;/&gt;&lt;wsp:rsid wsp:val=&quot;00DA3A2C&quot;/&gt;&lt;wsp:rsid wsp:val=&quot;00DA3BD2&quot;/&gt;&lt;wsp:rsid wsp:val=&quot;00DA54A2&quot;/&gt;&lt;wsp:rsid wsp:val=&quot;00DA6E32&quot;/&gt;&lt;wsp:rsid wsp:val=&quot;00DA79AA&quot;/&gt;&lt;wsp:rsid wsp:val=&quot;00DB00FD&quot;/&gt;&lt;wsp:rsid wsp:val=&quot;00DB0977&quot;/&gt;&lt;wsp:rsid wsp:val=&quot;00DB1483&quot;/&gt;&lt;wsp:rsid wsp:val=&quot;00DB1CB1&quot;/&gt;&lt;wsp:rsid wsp:val=&quot;00DB215C&quot;/&gt;&lt;wsp:rsid wsp:val=&quot;00DB2864&quot;/&gt;&lt;wsp:rsid wsp:val=&quot;00DB2D9C&quot;/&gt;&lt;wsp:rsid wsp:val=&quot;00DB33A7&quot;/&gt;&lt;wsp:rsid wsp:val=&quot;00DB37CE&quot;/&gt;&lt;wsp:rsid wsp:val=&quot;00DB4346&quot;/&gt;&lt;wsp:rsid wsp:val=&quot;00DB52C8&quot;/&gt;&lt;wsp:rsid wsp:val=&quot;00DB535A&quot;/&gt;&lt;wsp:rsid wsp:val=&quot;00DB59E4&quot;/&gt;&lt;wsp:rsid wsp:val=&quot;00DB5B19&quot;/&gt;&lt;wsp:rsid wsp:val=&quot;00DB5FF1&quot;/&gt;&lt;wsp:rsid wsp:val=&quot;00DB63D3&quot;/&gt;&lt;wsp:rsid wsp:val=&quot;00DB6407&quot;/&gt;&lt;wsp:rsid wsp:val=&quot;00DC1336&quot;/&gt;&lt;wsp:rsid wsp:val=&quot;00DC165E&quot;/&gt;&lt;wsp:rsid wsp:val=&quot;00DC21F0&quot;/&gt;&lt;wsp:rsid wsp:val=&quot;00DC25FF&quot;/&gt;&lt;wsp:rsid wsp:val=&quot;00DC2A04&quot;/&gt;&lt;wsp:rsid wsp:val=&quot;00DC31BF&quot;/&gt;&lt;wsp:rsid wsp:val=&quot;00DC31F1&quot;/&gt;&lt;wsp:rsid wsp:val=&quot;00DC33CD&quot;/&gt;&lt;wsp:rsid wsp:val=&quot;00DC4044&quot;/&gt;&lt;wsp:rsid wsp:val=&quot;00DC49FC&quot;/&gt;&lt;wsp:rsid wsp:val=&quot;00DC60A0&quot;/&gt;&lt;wsp:rsid wsp:val=&quot;00DC6D0C&quot;/&gt;&lt;wsp:rsid wsp:val=&quot;00DC71AD&quot;/&gt;&lt;wsp:rsid wsp:val=&quot;00DC7818&quot;/&gt;&lt;wsp:rsid wsp:val=&quot;00DD1066&quot;/&gt;&lt;wsp:rsid wsp:val=&quot;00DD1A6F&quot;/&gt;&lt;wsp:rsid wsp:val=&quot;00DD1B66&quot;/&gt;&lt;wsp:rsid wsp:val=&quot;00DD1C6C&quot;/&gt;&lt;wsp:rsid wsp:val=&quot;00DD2264&quot;/&gt;&lt;wsp:rsid wsp:val=&quot;00DD253A&quot;/&gt;&lt;wsp:rsid wsp:val=&quot;00DD400A&quot;/&gt;&lt;wsp:rsid wsp:val=&quot;00DD4714&quot;/&gt;&lt;wsp:rsid wsp:val=&quot;00DD4EC4&quot;/&gt;&lt;wsp:rsid wsp:val=&quot;00DD677C&quot;/&gt;&lt;wsp:rsid wsp:val=&quot;00DD7956&quot;/&gt;&lt;wsp:rsid wsp:val=&quot;00DD79EF&quot;/&gt;&lt;wsp:rsid wsp:val=&quot;00DE03CF&quot;/&gt;&lt;wsp:rsid wsp:val=&quot;00DE1A90&quot;/&gt;&lt;wsp:rsid wsp:val=&quot;00DE2CC6&quot;/&gt;&lt;wsp:rsid wsp:val=&quot;00DE4580&quot;/&gt;&lt;wsp:rsid wsp:val=&quot;00DE50E5&quot;/&gt;&lt;wsp:rsid wsp:val=&quot;00DE5A95&quot;/&gt;&lt;wsp:rsid wsp:val=&quot;00DE5DB4&quot;/&gt;&lt;wsp:rsid wsp:val=&quot;00DE6017&quot;/&gt;&lt;wsp:rsid wsp:val=&quot;00DE6D58&quot;/&gt;&lt;wsp:rsid wsp:val=&quot;00DE74BF&quot;/&gt;&lt;wsp:rsid wsp:val=&quot;00DE78EF&quot;/&gt;&lt;wsp:rsid wsp:val=&quot;00DE7DE5&quot;/&gt;&lt;wsp:rsid wsp:val=&quot;00DE7EDF&quot;/&gt;&lt;wsp:rsid wsp:val=&quot;00DF00B8&quot;/&gt;&lt;wsp:rsid wsp:val=&quot;00DF0488&quot;/&gt;&lt;wsp:rsid wsp:val=&quot;00DF05D9&quot;/&gt;&lt;wsp:rsid wsp:val=&quot;00DF06A2&quot;/&gt;&lt;wsp:rsid wsp:val=&quot;00DF3066&quot;/&gt;&lt;wsp:rsid wsp:val=&quot;00DF34CF&quot;/&gt;&lt;wsp:rsid wsp:val=&quot;00DF35CC&quot;/&gt;&lt;wsp:rsid wsp:val=&quot;00DF4B2A&quot;/&gt;&lt;wsp:rsid wsp:val=&quot;00DF4CE0&quot;/&gt;&lt;wsp:rsid wsp:val=&quot;00DF5314&quot;/&gt;&lt;wsp:rsid wsp:val=&quot;00DF5333&quot;/&gt;&lt;wsp:rsid wsp:val=&quot;00DF5912&quot;/&gt;&lt;wsp:rsid wsp:val=&quot;00DF65BC&quot;/&gt;&lt;wsp:rsid wsp:val=&quot;00DF6647&quot;/&gt;&lt;wsp:rsid wsp:val=&quot;00DF6978&quot;/&gt;&lt;wsp:rsid wsp:val=&quot;00DF6B08&quot;/&gt;&lt;wsp:rsid wsp:val=&quot;00DF72E5&quot;/&gt;&lt;wsp:rsid wsp:val=&quot;00DF77ED&quot;/&gt;&lt;wsp:rsid wsp:val=&quot;00E0025D&quot;/&gt;&lt;wsp:rsid wsp:val=&quot;00E00543&quot;/&gt;&lt;wsp:rsid wsp:val=&quot;00E00A45&quot;/&gt;&lt;wsp:rsid wsp:val=&quot;00E00FEE&quot;/&gt;&lt;wsp:rsid wsp:val=&quot;00E0102D&quot;/&gt;&lt;wsp:rsid wsp:val=&quot;00E0139D&quot;/&gt;&lt;wsp:rsid wsp:val=&quot;00E02285&quot;/&gt;&lt;wsp:rsid wsp:val=&quot;00E0293E&quot;/&gt;&lt;wsp:rsid wsp:val=&quot;00E02FCE&quot;/&gt;&lt;wsp:rsid wsp:val=&quot;00E037B4&quot;/&gt;&lt;wsp:rsid wsp:val=&quot;00E03A20&quot;/&gt;&lt;wsp:rsid wsp:val=&quot;00E03D8B&quot;/&gt;&lt;wsp:rsid wsp:val=&quot;00E04042&quot;/&gt;&lt;wsp:rsid wsp:val=&quot;00E04ADE&quot;/&gt;&lt;wsp:rsid wsp:val=&quot;00E05CD3&quot;/&gt;&lt;wsp:rsid wsp:val=&quot;00E07704&quot;/&gt;&lt;wsp:rsid wsp:val=&quot;00E0790A&quot;/&gt;&lt;wsp:rsid wsp:val=&quot;00E07B3B&quot;/&gt;&lt;wsp:rsid wsp:val=&quot;00E11755&quot;/&gt;&lt;wsp:rsid wsp:val=&quot;00E11D36&quot;/&gt;&lt;wsp:rsid wsp:val=&quot;00E12B74&quot;/&gt;&lt;wsp:rsid wsp:val=&quot;00E154A8&quot;/&gt;&lt;wsp:rsid wsp:val=&quot;00E16067&quot;/&gt;&lt;wsp:rsid wsp:val=&quot;00E164F2&quot;/&gt;&lt;wsp:rsid wsp:val=&quot;00E17062&quot;/&gt;&lt;wsp:rsid wsp:val=&quot;00E202AC&quot;/&gt;&lt;wsp:rsid wsp:val=&quot;00E20967&quot;/&gt;&lt;wsp:rsid wsp:val=&quot;00E21088&quot;/&gt;&lt;wsp:rsid wsp:val=&quot;00E2134D&quot;/&gt;&lt;wsp:rsid wsp:val=&quot;00E2224C&quot;/&gt;&lt;wsp:rsid wsp:val=&quot;00E232E2&quot;/&gt;&lt;wsp:rsid wsp:val=&quot;00E23FF3&quot;/&gt;&lt;wsp:rsid wsp:val=&quot;00E2510A&quot;/&gt;&lt;wsp:rsid wsp:val=&quot;00E26340&quot;/&gt;&lt;wsp:rsid wsp:val=&quot;00E26ACE&quot;/&gt;&lt;wsp:rsid wsp:val=&quot;00E26CFB&quot;/&gt;&lt;wsp:rsid wsp:val=&quot;00E2711B&quot;/&gt;&lt;wsp:rsid wsp:val=&quot;00E27EE5&quot;/&gt;&lt;wsp:rsid wsp:val=&quot;00E308C8&quot;/&gt;&lt;wsp:rsid wsp:val=&quot;00E30B40&quot;/&gt;&lt;wsp:rsid wsp:val=&quot;00E3111A&quot;/&gt;&lt;wsp:rsid wsp:val=&quot;00E32496&quot;/&gt;&lt;wsp:rsid wsp:val=&quot;00E32B4D&quot;/&gt;&lt;wsp:rsid wsp:val=&quot;00E32C3B&quot;/&gt;&lt;wsp:rsid wsp:val=&quot;00E335ED&quot;/&gt;&lt;wsp:rsid wsp:val=&quot;00E33DBB&quot;/&gt;&lt;wsp:rsid wsp:val=&quot;00E346DD&quot;/&gt;&lt;wsp:rsid wsp:val=&quot;00E35775&quot;/&gt;&lt;wsp:rsid wsp:val=&quot;00E37AE4&quot;/&gt;&lt;wsp:rsid wsp:val=&quot;00E419A4&quot;/&gt;&lt;wsp:rsid wsp:val=&quot;00E4282A&quot;/&gt;&lt;wsp:rsid wsp:val=&quot;00E42994&quot;/&gt;&lt;wsp:rsid wsp:val=&quot;00E42ACE&quot;/&gt;&lt;wsp:rsid wsp:val=&quot;00E42BA7&quot;/&gt;&lt;wsp:rsid wsp:val=&quot;00E42BDB&quot;/&gt;&lt;wsp:rsid wsp:val=&quot;00E42C18&quot;/&gt;&lt;wsp:rsid wsp:val=&quot;00E43B69&quot;/&gt;&lt;wsp:rsid wsp:val=&quot;00E451FF&quot;/&gt;&lt;wsp:rsid wsp:val=&quot;00E45554&quot;/&gt;&lt;wsp:rsid wsp:val=&quot;00E4639A&quot;/&gt;&lt;wsp:rsid wsp:val=&quot;00E46A24&quot;/&gt;&lt;wsp:rsid wsp:val=&quot;00E46B62&quot;/&gt;&lt;wsp:rsid wsp:val=&quot;00E4713C&quot;/&gt;&lt;wsp:rsid wsp:val=&quot;00E475D9&quot;/&gt;&lt;wsp:rsid wsp:val=&quot;00E47D02&quot;/&gt;&lt;wsp:rsid wsp:val=&quot;00E50998&quot;/&gt;&lt;wsp:rsid wsp:val=&quot;00E51095&quot;/&gt;&lt;wsp:rsid wsp:val=&quot;00E51C27&quot;/&gt;&lt;wsp:rsid wsp:val=&quot;00E51D02&quot;/&gt;&lt;wsp:rsid wsp:val=&quot;00E53415&quot;/&gt;&lt;wsp:rsid wsp:val=&quot;00E537DA&quot;/&gt;&lt;wsp:rsid wsp:val=&quot;00E53E12&quot;/&gt;&lt;wsp:rsid wsp:val=&quot;00E53FD8&quot;/&gt;&lt;wsp:rsid wsp:val=&quot;00E54C1A&quot;/&gt;&lt;wsp:rsid wsp:val=&quot;00E54EF8&quot;/&gt;&lt;wsp:rsid wsp:val=&quot;00E550EE&quot;/&gt;&lt;wsp:rsid wsp:val=&quot;00E55D77&quot;/&gt;&lt;wsp:rsid wsp:val=&quot;00E56391&quot;/&gt;&lt;wsp:rsid wsp:val=&quot;00E56410&quot;/&gt;&lt;wsp:rsid wsp:val=&quot;00E570E1&quot;/&gt;&lt;wsp:rsid wsp:val=&quot;00E57150&quot;/&gt;&lt;wsp:rsid wsp:val=&quot;00E57B3E&quot;/&gt;&lt;wsp:rsid wsp:val=&quot;00E57C84&quot;/&gt;&lt;wsp:rsid wsp:val=&quot;00E6001C&quot;/&gt;&lt;wsp:rsid wsp:val=&quot;00E61061&quot;/&gt;&lt;wsp:rsid wsp:val=&quot;00E61511&quot;/&gt;&lt;wsp:rsid wsp:val=&quot;00E6242F&quot;/&gt;&lt;wsp:rsid wsp:val=&quot;00E627DD&quot;/&gt;&lt;wsp:rsid wsp:val=&quot;00E62903&quot;/&gt;&lt;wsp:rsid wsp:val=&quot;00E62BDC&quot;/&gt;&lt;wsp:rsid wsp:val=&quot;00E62F86&quot;/&gt;&lt;wsp:rsid wsp:val=&quot;00E63558&quot;/&gt;&lt;wsp:rsid wsp:val=&quot;00E63662&quot;/&gt;&lt;wsp:rsid wsp:val=&quot;00E63812&quot;/&gt;&lt;wsp:rsid wsp:val=&quot;00E640C2&quot;/&gt;&lt;wsp:rsid wsp:val=&quot;00E64DB6&quot;/&gt;&lt;wsp:rsid wsp:val=&quot;00E64F86&quot;/&gt;&lt;wsp:rsid wsp:val=&quot;00E653BD&quot;/&gt;&lt;wsp:rsid wsp:val=&quot;00E658C9&quot;/&gt;&lt;wsp:rsid wsp:val=&quot;00E659A6&quot;/&gt;&lt;wsp:rsid wsp:val=&quot;00E66507&quot;/&gt;&lt;wsp:rsid wsp:val=&quot;00E66AC3&quot;/&gt;&lt;wsp:rsid wsp:val=&quot;00E66DE7&quot;/&gt;&lt;wsp:rsid wsp:val=&quot;00E674C2&quot;/&gt;&lt;wsp:rsid wsp:val=&quot;00E67AF5&quot;/&gt;&lt;wsp:rsid wsp:val=&quot;00E70324&quot;/&gt;&lt;wsp:rsid wsp:val=&quot;00E70B12&quot;/&gt;&lt;wsp:rsid wsp:val=&quot;00E70CE8&quot;/&gt;&lt;wsp:rsid wsp:val=&quot;00E7156E&quot;/&gt;&lt;wsp:rsid wsp:val=&quot;00E7199E&quot;/&gt;&lt;wsp:rsid wsp:val=&quot;00E72723&quot;/&gt;&lt;wsp:rsid wsp:val=&quot;00E73523&quot;/&gt;&lt;wsp:rsid wsp:val=&quot;00E7362A&quot;/&gt;&lt;wsp:rsid wsp:val=&quot;00E739E5&quot;/&gt;&lt;wsp:rsid wsp:val=&quot;00E73AED&quot;/&gt;&lt;wsp:rsid wsp:val=&quot;00E73CE8&quot;/&gt;&lt;wsp:rsid wsp:val=&quot;00E73F73&quot;/&gt;&lt;wsp:rsid wsp:val=&quot;00E74250&quot;/&gt;&lt;wsp:rsid wsp:val=&quot;00E75132&quot;/&gt;&lt;wsp:rsid wsp:val=&quot;00E75373&quot;/&gt;&lt;wsp:rsid wsp:val=&quot;00E75B0D&quot;/&gt;&lt;wsp:rsid wsp:val=&quot;00E7631D&quot;/&gt;&lt;wsp:rsid wsp:val=&quot;00E77D4D&quot;/&gt;&lt;wsp:rsid wsp:val=&quot;00E77F13&quot;/&gt;&lt;wsp:rsid wsp:val=&quot;00E77F3C&quot;/&gt;&lt;wsp:rsid wsp:val=&quot;00E80251&quot;/&gt;&lt;wsp:rsid wsp:val=&quot;00E80535&quot;/&gt;&lt;wsp:rsid wsp:val=&quot;00E81680&quot;/&gt;&lt;wsp:rsid wsp:val=&quot;00E81D69&quot;/&gt;&lt;wsp:rsid wsp:val=&quot;00E837EC&quot;/&gt;&lt;wsp:rsid wsp:val=&quot;00E83FBA&quot;/&gt;&lt;wsp:rsid wsp:val=&quot;00E84240&quot;/&gt;&lt;wsp:rsid wsp:val=&quot;00E848BE&quot;/&gt;&lt;wsp:rsid wsp:val=&quot;00E84BBD&quot;/&gt;&lt;wsp:rsid wsp:val=&quot;00E84C96&quot;/&gt;&lt;wsp:rsid wsp:val=&quot;00E8544A&quot;/&gt;&lt;wsp:rsid wsp:val=&quot;00E85464&quot;/&gt;&lt;wsp:rsid wsp:val=&quot;00E85B6D&quot;/&gt;&lt;wsp:rsid wsp:val=&quot;00E85D74&quot;/&gt;&lt;wsp:rsid wsp:val=&quot;00E85F41&quot;/&gt;&lt;wsp:rsid wsp:val=&quot;00E86916&quot;/&gt;&lt;wsp:rsid wsp:val=&quot;00E869A0&quot;/&gt;&lt;wsp:rsid wsp:val=&quot;00E86A44&quot;/&gt;&lt;wsp:rsid wsp:val=&quot;00E90920&quot;/&gt;&lt;wsp:rsid wsp:val=&quot;00E910BB&quot;/&gt;&lt;wsp:rsid wsp:val=&quot;00E91246&quot;/&gt;&lt;wsp:rsid wsp:val=&quot;00E91322&quot;/&gt;&lt;wsp:rsid wsp:val=&quot;00E91883&quot;/&gt;&lt;wsp:rsid wsp:val=&quot;00E918F3&quot;/&gt;&lt;wsp:rsid wsp:val=&quot;00E91994&quot;/&gt;&lt;wsp:rsid wsp:val=&quot;00E93824&quot;/&gt;&lt;wsp:rsid wsp:val=&quot;00E93BAE&quot;/&gt;&lt;wsp:rsid wsp:val=&quot;00E94787&quot;/&gt;&lt;wsp:rsid wsp:val=&quot;00E94A27&quot;/&gt;&lt;wsp:rsid wsp:val=&quot;00E94B0A&quot;/&gt;&lt;wsp:rsid wsp:val=&quot;00E94D67&quot;/&gt;&lt;wsp:rsid wsp:val=&quot;00E94F32&quot;/&gt;&lt;wsp:rsid wsp:val=&quot;00E95906&quot;/&gt;&lt;wsp:rsid wsp:val=&quot;00E95BFC&quot;/&gt;&lt;wsp:rsid wsp:val=&quot;00E9635A&quot;/&gt;&lt;wsp:rsid wsp:val=&quot;00E964EE&quot;/&gt;&lt;wsp:rsid wsp:val=&quot;00E97690&quot;/&gt;&lt;wsp:rsid wsp:val=&quot;00EA0C5B&quot;/&gt;&lt;wsp:rsid wsp:val=&quot;00EA127F&quot;/&gt;&lt;wsp:rsid wsp:val=&quot;00EA1B3A&quot;/&gt;&lt;wsp:rsid wsp:val=&quot;00EA21FB&quot;/&gt;&lt;wsp:rsid wsp:val=&quot;00EA27C4&quot;/&gt;&lt;wsp:rsid wsp:val=&quot;00EA2818&quot;/&gt;&lt;wsp:rsid wsp:val=&quot;00EA4283&quot;/&gt;&lt;wsp:rsid wsp:val=&quot;00EA4A7A&quot;/&gt;&lt;wsp:rsid wsp:val=&quot;00EA5498&quot;/&gt;&lt;wsp:rsid wsp:val=&quot;00EA5581&quot;/&gt;&lt;wsp:rsid wsp:val=&quot;00EA58B7&quot;/&gt;&lt;wsp:rsid wsp:val=&quot;00EA7849&quot;/&gt;&lt;wsp:rsid wsp:val=&quot;00EA7CE7&quot;/&gt;&lt;wsp:rsid wsp:val=&quot;00EB0326&quot;/&gt;&lt;wsp:rsid wsp:val=&quot;00EB08C7&quot;/&gt;&lt;wsp:rsid wsp:val=&quot;00EB0DA5&quot;/&gt;&lt;wsp:rsid wsp:val=&quot;00EB1895&quot;/&gt;&lt;wsp:rsid wsp:val=&quot;00EB1EBA&quot;/&gt;&lt;wsp:rsid wsp:val=&quot;00EB3CFE&quot;/&gt;&lt;wsp:rsid wsp:val=&quot;00EB3D9A&quot;/&gt;&lt;wsp:rsid wsp:val=&quot;00EB3ED6&quot;/&gt;&lt;wsp:rsid wsp:val=&quot;00EB4E26&quot;/&gt;&lt;wsp:rsid wsp:val=&quot;00EB52D8&quot;/&gt;&lt;wsp:rsid wsp:val=&quot;00EB6540&quot;/&gt;&lt;wsp:rsid wsp:val=&quot;00EB6EB0&quot;/&gt;&lt;wsp:rsid wsp:val=&quot;00EB75C2&quot;/&gt;&lt;wsp:rsid wsp:val=&quot;00EB7953&quot;/&gt;&lt;wsp:rsid wsp:val=&quot;00EC2FA7&quot;/&gt;&lt;wsp:rsid wsp:val=&quot;00EC2FC2&quot;/&gt;&lt;wsp:rsid wsp:val=&quot;00EC3027&quot;/&gt;&lt;wsp:rsid wsp:val=&quot;00EC35F5&quot;/&gt;&lt;wsp:rsid wsp:val=&quot;00EC3644&quot;/&gt;&lt;wsp:rsid wsp:val=&quot;00EC3ABB&quot;/&gt;&lt;wsp:rsid wsp:val=&quot;00EC458C&quot;/&gt;&lt;wsp:rsid wsp:val=&quot;00EC4AF0&quot;/&gt;&lt;wsp:rsid wsp:val=&quot;00EC4D39&quot;/&gt;&lt;wsp:rsid wsp:val=&quot;00EC53D8&quot;/&gt;&lt;wsp:rsid wsp:val=&quot;00EC54FA&quot;/&gt;&lt;wsp:rsid wsp:val=&quot;00EC62EC&quot;/&gt;&lt;wsp:rsid wsp:val=&quot;00EC6463&quot;/&gt;&lt;wsp:rsid wsp:val=&quot;00EC6931&quot;/&gt;&lt;wsp:rsid wsp:val=&quot;00EC7C5C&quot;/&gt;&lt;wsp:rsid wsp:val=&quot;00EC7F3B&quot;/&gt;&lt;wsp:rsid wsp:val=&quot;00ED08A0&quot;/&gt;&lt;wsp:rsid wsp:val=&quot;00ED1D22&quot;/&gt;&lt;wsp:rsid wsp:val=&quot;00ED1ED0&quot;/&gt;&lt;wsp:rsid wsp:val=&quot;00ED2D46&quot;/&gt;&lt;wsp:rsid wsp:val=&quot;00ED4035&quot;/&gt;&lt;wsp:rsid wsp:val=&quot;00ED51D1&quot;/&gt;&lt;wsp:rsid wsp:val=&quot;00ED5209&quot;/&gt;&lt;wsp:rsid wsp:val=&quot;00ED5443&quot;/&gt;&lt;wsp:rsid wsp:val=&quot;00ED57FC&quot;/&gt;&lt;wsp:rsid wsp:val=&quot;00ED5E22&quot;/&gt;&lt;wsp:rsid wsp:val=&quot;00ED5F4D&quot;/&gt;&lt;wsp:rsid wsp:val=&quot;00ED6214&quot;/&gt;&lt;wsp:rsid wsp:val=&quot;00ED6321&quot;/&gt;&lt;wsp:rsid wsp:val=&quot;00ED63F8&quot;/&gt;&lt;wsp:rsid wsp:val=&quot;00EE005C&quot;/&gt;&lt;wsp:rsid wsp:val=&quot;00EE07EB&quot;/&gt;&lt;wsp:rsid wsp:val=&quot;00EE0EBA&quot;/&gt;&lt;wsp:rsid wsp:val=&quot;00EE16AC&quot;/&gt;&lt;wsp:rsid wsp:val=&quot;00EE184B&quot;/&gt;&lt;wsp:rsid wsp:val=&quot;00EE18EA&quot;/&gt;&lt;wsp:rsid wsp:val=&quot;00EE1F8B&quot;/&gt;&lt;wsp:rsid wsp:val=&quot;00EE2002&quot;/&gt;&lt;wsp:rsid wsp:val=&quot;00EE24C7&quot;/&gt;&lt;wsp:rsid wsp:val=&quot;00EE27DE&quot;/&gt;&lt;wsp:rsid wsp:val=&quot;00EE2B45&quot;/&gt;&lt;wsp:rsid wsp:val=&quot;00EE2D92&quot;/&gt;&lt;wsp:rsid wsp:val=&quot;00EE3902&quot;/&gt;&lt;wsp:rsid wsp:val=&quot;00EE3DEB&quot;/&gt;&lt;wsp:rsid wsp:val=&quot;00EE455D&quot;/&gt;&lt;wsp:rsid wsp:val=&quot;00EE4A40&quot;/&gt;&lt;wsp:rsid wsp:val=&quot;00EE4B78&quot;/&gt;&lt;wsp:rsid wsp:val=&quot;00EE4BD7&quot;/&gt;&lt;wsp:rsid wsp:val=&quot;00EE7057&quot;/&gt;&lt;wsp:rsid wsp:val=&quot;00EF04D8&quot;/&gt;&lt;wsp:rsid wsp:val=&quot;00EF0C49&quot;/&gt;&lt;wsp:rsid wsp:val=&quot;00EF154B&quot;/&gt;&lt;wsp:rsid wsp:val=&quot;00EF19C3&quot;/&gt;&lt;wsp:rsid wsp:val=&quot;00EF1B1C&quot;/&gt;&lt;wsp:rsid wsp:val=&quot;00EF1BB4&quot;/&gt;&lt;wsp:rsid wsp:val=&quot;00EF2A1D&quot;/&gt;&lt;wsp:rsid wsp:val=&quot;00EF2E4F&quot;/&gt;&lt;wsp:rsid wsp:val=&quot;00EF3013&quot;/&gt;&lt;wsp:rsid wsp:val=&quot;00EF3CF9&quot;/&gt;&lt;wsp:rsid wsp:val=&quot;00EF3E20&quot;/&gt;&lt;wsp:rsid wsp:val=&quot;00EF4B3B&quot;/&gt;&lt;wsp:rsid wsp:val=&quot;00EF4D7D&quot;/&gt;&lt;wsp:rsid wsp:val=&quot;00EF63CC&quot;/&gt;&lt;wsp:rsid wsp:val=&quot;00EF74F1&quot;/&gt;&lt;wsp:rsid wsp:val=&quot;00EF7AE6&quot;/&gt;&lt;wsp:rsid wsp:val=&quot;00F016FA&quot;/&gt;&lt;wsp:rsid wsp:val=&quot;00F01D5F&quot;/&gt;&lt;wsp:rsid wsp:val=&quot;00F01D7F&quot;/&gt;&lt;wsp:rsid wsp:val=&quot;00F025C4&quot;/&gt;&lt;wsp:rsid wsp:val=&quot;00F028D8&quot;/&gt;&lt;wsp:rsid wsp:val=&quot;00F02F87&quot;/&gt;&lt;wsp:rsid wsp:val=&quot;00F05381&quot;/&gt;&lt;wsp:rsid wsp:val=&quot;00F05AA8&quot;/&gt;&lt;wsp:rsid wsp:val=&quot;00F0738E&quot;/&gt;&lt;wsp:rsid wsp:val=&quot;00F076F1&quot;/&gt;&lt;wsp:rsid wsp:val=&quot;00F07817&quot;/&gt;&lt;wsp:rsid wsp:val=&quot;00F12A22&quot;/&gt;&lt;wsp:rsid wsp:val=&quot;00F14094&quot;/&gt;&lt;wsp:rsid wsp:val=&quot;00F15CD2&quot;/&gt;&lt;wsp:rsid wsp:val=&quot;00F16141&quot;/&gt;&lt;wsp:rsid wsp:val=&quot;00F165ED&quot;/&gt;&lt;wsp:rsid wsp:val=&quot;00F16BC0&quot;/&gt;&lt;wsp:rsid wsp:val=&quot;00F17120&quot;/&gt;&lt;wsp:rsid wsp:val=&quot;00F17219&quot;/&gt;&lt;wsp:rsid wsp:val=&quot;00F174A7&quot;/&gt;&lt;wsp:rsid wsp:val=&quot;00F177BD&quot;/&gt;&lt;wsp:rsid wsp:val=&quot;00F17C01&quot;/&gt;&lt;wsp:rsid wsp:val=&quot;00F2068C&quot;/&gt;&lt;wsp:rsid wsp:val=&quot;00F208BB&quot;/&gt;&lt;wsp:rsid wsp:val=&quot;00F20A1B&quot;/&gt;&lt;wsp:rsid wsp:val=&quot;00F20A5D&quot;/&gt;&lt;wsp:rsid wsp:val=&quot;00F213C6&quot;/&gt;&lt;wsp:rsid wsp:val=&quot;00F213F3&quot;/&gt;&lt;wsp:rsid wsp:val=&quot;00F21EB9&quot;/&gt;&lt;wsp:rsid wsp:val=&quot;00F22608&quot;/&gt;&lt;wsp:rsid wsp:val=&quot;00F22768&quot;/&gt;&lt;wsp:rsid wsp:val=&quot;00F22C1B&quot;/&gt;&lt;wsp:rsid wsp:val=&quot;00F2432B&quot;/&gt;&lt;wsp:rsid wsp:val=&quot;00F2475B&quot;/&gt;&lt;wsp:rsid wsp:val=&quot;00F26CB8&quot;/&gt;&lt;wsp:rsid wsp:val=&quot;00F2786F&quot;/&gt;&lt;wsp:rsid wsp:val=&quot;00F30CF7&quot;/&gt;&lt;wsp:rsid wsp:val=&quot;00F31E22&quot;/&gt;&lt;wsp:rsid wsp:val=&quot;00F332BD&quot;/&gt;&lt;wsp:rsid wsp:val=&quot;00F3338D&quot;/&gt;&lt;wsp:rsid wsp:val=&quot;00F33A86&quot;/&gt;&lt;wsp:rsid wsp:val=&quot;00F33C71&quot;/&gt;&lt;wsp:rsid wsp:val=&quot;00F340E0&quot;/&gt;&lt;wsp:rsid wsp:val=&quot;00F3420C&quot;/&gt;&lt;wsp:rsid wsp:val=&quot;00F34284&quot;/&gt;&lt;wsp:rsid wsp:val=&quot;00F3482F&quot;/&gt;&lt;wsp:rsid wsp:val=&quot;00F34901&quot;/&gt;&lt;wsp:rsid wsp:val=&quot;00F34EA3&quot;/&gt;&lt;wsp:rsid wsp:val=&quot;00F358AE&quot;/&gt;&lt;wsp:rsid wsp:val=&quot;00F35F33&quot;/&gt;&lt;wsp:rsid wsp:val=&quot;00F36F47&quot;/&gt;&lt;wsp:rsid wsp:val=&quot;00F36F49&quot;/&gt;&lt;wsp:rsid wsp:val=&quot;00F37DAE&quot;/&gt;&lt;wsp:rsid wsp:val=&quot;00F40AB3&quot;/&gt;&lt;wsp:rsid wsp:val=&quot;00F40D48&quot;/&gt;&lt;wsp:rsid wsp:val=&quot;00F40D53&quot;/&gt;&lt;wsp:rsid wsp:val=&quot;00F411E6&quot;/&gt;&lt;wsp:rsid wsp:val=&quot;00F41E7E&quot;/&gt;&lt;wsp:rsid wsp:val=&quot;00F4297D&quot;/&gt;&lt;wsp:rsid wsp:val=&quot;00F4330E&quot;/&gt;&lt;wsp:rsid wsp:val=&quot;00F43B1C&quot;/&gt;&lt;wsp:rsid wsp:val=&quot;00F43E0D&quot;/&gt;&lt;wsp:rsid wsp:val=&quot;00F4493C&quot;/&gt;&lt;wsp:rsid wsp:val=&quot;00F44F50&quot;/&gt;&lt;wsp:rsid wsp:val=&quot;00F4528D&quot;/&gt;&lt;wsp:rsid wsp:val=&quot;00F45649&quot;/&gt;&lt;wsp:rsid wsp:val=&quot;00F458D8&quot;/&gt;&lt;wsp:rsid wsp:val=&quot;00F46091&quot;/&gt;&lt;wsp:rsid wsp:val=&quot;00F4611E&quot;/&gt;&lt;wsp:rsid wsp:val=&quot;00F46D2A&quot;/&gt;&lt;wsp:rsid wsp:val=&quot;00F46F0E&quot;/&gt;&lt;wsp:rsid wsp:val=&quot;00F47547&quot;/&gt;&lt;wsp:rsid wsp:val=&quot;00F47A59&quot;/&gt;&lt;wsp:rsid wsp:val=&quot;00F50BB3&quot;/&gt;&lt;wsp:rsid wsp:val=&quot;00F514D2&quot;/&gt;&lt;wsp:rsid wsp:val=&quot;00F51777&quot;/&gt;&lt;wsp:rsid wsp:val=&quot;00F537CA&quot;/&gt;&lt;wsp:rsid wsp:val=&quot;00F53C0D&quot;/&gt;&lt;wsp:rsid wsp:val=&quot;00F54076&quot;/&gt;&lt;wsp:rsid wsp:val=&quot;00F5415C&quot;/&gt;&lt;wsp:rsid wsp:val=&quot;00F54BA3&quot;/&gt;&lt;wsp:rsid wsp:val=&quot;00F54C40&quot;/&gt;&lt;wsp:rsid wsp:val=&quot;00F550B1&quot;/&gt;&lt;wsp:rsid wsp:val=&quot;00F556BE&quot;/&gt;&lt;wsp:rsid wsp:val=&quot;00F5580F&quot;/&gt;&lt;wsp:rsid wsp:val=&quot;00F55C3F&quot;/&gt;&lt;wsp:rsid wsp:val=&quot;00F56624&quot;/&gt;&lt;wsp:rsid wsp:val=&quot;00F56C2F&quot;/&gt;&lt;wsp:rsid wsp:val=&quot;00F57BBF&quot;/&gt;&lt;wsp:rsid wsp:val=&quot;00F6070E&quot;/&gt;&lt;wsp:rsid wsp:val=&quot;00F61AFB&quot;/&gt;&lt;wsp:rsid wsp:val=&quot;00F620DE&quot;/&gt;&lt;wsp:rsid wsp:val=&quot;00F622D8&quot;/&gt;&lt;wsp:rsid wsp:val=&quot;00F63885&quot;/&gt;&lt;wsp:rsid wsp:val=&quot;00F63B70&quot;/&gt;&lt;wsp:rsid wsp:val=&quot;00F63EBA&quot;/&gt;&lt;wsp:rsid wsp:val=&quot;00F63EE4&quot;/&gt;&lt;wsp:rsid wsp:val=&quot;00F65811&quot;/&gt;&lt;wsp:rsid wsp:val=&quot;00F65DF1&quot;/&gt;&lt;wsp:rsid wsp:val=&quot;00F6628E&quot;/&gt;&lt;wsp:rsid wsp:val=&quot;00F66E8F&quot;/&gt;&lt;wsp:rsid wsp:val=&quot;00F67658&quot;/&gt;&lt;wsp:rsid wsp:val=&quot;00F67AA6&quot;/&gt;&lt;wsp:rsid wsp:val=&quot;00F67E2C&quot;/&gt;&lt;wsp:rsid wsp:val=&quot;00F700C6&quot;/&gt;&lt;wsp:rsid wsp:val=&quot;00F70168&quot;/&gt;&lt;wsp:rsid wsp:val=&quot;00F7017E&quot;/&gt;&lt;wsp:rsid wsp:val=&quot;00F70326&quot;/&gt;&lt;wsp:rsid wsp:val=&quot;00F70DEE&quot;/&gt;&lt;wsp:rsid wsp:val=&quot;00F713DC&quot;/&gt;&lt;wsp:rsid wsp:val=&quot;00F71891&quot;/&gt;&lt;wsp:rsid wsp:val=&quot;00F724A7&quot;/&gt;&lt;wsp:rsid wsp:val=&quot;00F72C01&quot;/&gt;&lt;wsp:rsid wsp:val=&quot;00F73F55&quot;/&gt;&lt;wsp:rsid wsp:val=&quot;00F74B7D&quot;/&gt;&lt;wsp:rsid wsp:val=&quot;00F751D4&quot;/&gt;&lt;wsp:rsid wsp:val=&quot;00F75456&quot;/&gt;&lt;wsp:rsid wsp:val=&quot;00F7554D&quot;/&gt;&lt;wsp:rsid wsp:val=&quot;00F75C89&quot;/&gt;&lt;wsp:rsid wsp:val=&quot;00F7679F&quot;/&gt;&lt;wsp:rsid wsp:val=&quot;00F77D64&quot;/&gt;&lt;wsp:rsid wsp:val=&quot;00F80B83&quot;/&gt;&lt;wsp:rsid wsp:val=&quot;00F8107F&quot;/&gt;&lt;wsp:rsid wsp:val=&quot;00F811BF&quot;/&gt;&lt;wsp:rsid wsp:val=&quot;00F8237C&quot;/&gt;&lt;wsp:rsid wsp:val=&quot;00F82E21&quot;/&gt;&lt;wsp:rsid wsp:val=&quot;00F831B4&quot;/&gt;&lt;wsp:rsid wsp:val=&quot;00F83DBA&quot;/&gt;&lt;wsp:rsid wsp:val=&quot;00F84499&quot;/&gt;&lt;wsp:rsid wsp:val=&quot;00F84E6D&quot;/&gt;&lt;wsp:rsid wsp:val=&quot;00F850F1&quot;/&gt;&lt;wsp:rsid wsp:val=&quot;00F85F6C&quot;/&gt;&lt;wsp:rsid wsp:val=&quot;00F90856&quot;/&gt;&lt;wsp:rsid wsp:val=&quot;00F90A2D&quot;/&gt;&lt;wsp:rsid wsp:val=&quot;00F90A7E&quot;/&gt;&lt;wsp:rsid wsp:val=&quot;00F918F2&quot;/&gt;&lt;wsp:rsid wsp:val=&quot;00F91EAA&quot;/&gt;&lt;wsp:rsid wsp:val=&quot;00F920D5&quot;/&gt;&lt;wsp:rsid wsp:val=&quot;00F921CE&quot;/&gt;&lt;wsp:rsid wsp:val=&quot;00F922C3&quot;/&gt;&lt;wsp:rsid wsp:val=&quot;00F925E7&quot;/&gt;&lt;wsp:rsid wsp:val=&quot;00F93070&quot;/&gt;&lt;wsp:rsid wsp:val=&quot;00F93412&quot;/&gt;&lt;wsp:rsid wsp:val=&quot;00F95BF7&quot;/&gt;&lt;wsp:rsid wsp:val=&quot;00F97EF4&quot;/&gt;&lt;wsp:rsid wsp:val=&quot;00FA01FD&quot;/&gt;&lt;wsp:rsid wsp:val=&quot;00FA1368&quot;/&gt;&lt;wsp:rsid wsp:val=&quot;00FA180C&quot;/&gt;&lt;wsp:rsid wsp:val=&quot;00FA2799&quot;/&gt;&lt;wsp:rsid wsp:val=&quot;00FA39CD&quot;/&gt;&lt;wsp:rsid wsp:val=&quot;00FA41C9&quot;/&gt;&lt;wsp:rsid wsp:val=&quot;00FA44A4&quot;/&gt;&lt;wsp:rsid wsp:val=&quot;00FA4F63&quot;/&gt;&lt;wsp:rsid wsp:val=&quot;00FA5634&quot;/&gt;&lt;wsp:rsid wsp:val=&quot;00FA56F3&quot;/&gt;&lt;wsp:rsid wsp:val=&quot;00FA5B9F&quot;/&gt;&lt;wsp:rsid wsp:val=&quot;00FA6082&quot;/&gt;&lt;wsp:rsid wsp:val=&quot;00FA65B1&quot;/&gt;&lt;wsp:rsid wsp:val=&quot;00FA66DC&quot;/&gt;&lt;wsp:rsid wsp:val=&quot;00FA6FB5&quot;/&gt;&lt;wsp:rsid wsp:val=&quot;00FA7235&quot;/&gt;&lt;wsp:rsid wsp:val=&quot;00FA78EA&quot;/&gt;&lt;wsp:rsid wsp:val=&quot;00FA7E49&quot;/&gt;&lt;wsp:rsid wsp:val=&quot;00FA7FAF&quot;/&gt;&lt;wsp:rsid wsp:val=&quot;00FB14D7&quot;/&gt;&lt;wsp:rsid wsp:val=&quot;00FB23DA&quot;/&gt;&lt;wsp:rsid wsp:val=&quot;00FB2B76&quot;/&gt;&lt;wsp:rsid wsp:val=&quot;00FB30D1&quot;/&gt;&lt;wsp:rsid wsp:val=&quot;00FB3B2D&quot;/&gt;&lt;wsp:rsid wsp:val=&quot;00FB3BE1&quot;/&gt;&lt;wsp:rsid wsp:val=&quot;00FB3EBA&quot;/&gt;&lt;wsp:rsid wsp:val=&quot;00FB4EB9&quot;/&gt;&lt;wsp:rsid wsp:val=&quot;00FB5F15&quot;/&gt;&lt;wsp:rsid wsp:val=&quot;00FB614E&quot;/&gt;&lt;wsp:rsid wsp:val=&quot;00FB6434&quot;/&gt;&lt;wsp:rsid wsp:val=&quot;00FB6D84&quot;/&gt;&lt;wsp:rsid wsp:val=&quot;00FB6E79&quot;/&gt;&lt;wsp:rsid wsp:val=&quot;00FB6F78&quot;/&gt;&lt;wsp:rsid wsp:val=&quot;00FB7603&quot;/&gt;&lt;wsp:rsid wsp:val=&quot;00FB7728&quot;/&gt;&lt;wsp:rsid wsp:val=&quot;00FC00AD&quot;/&gt;&lt;wsp:rsid wsp:val=&quot;00FC0298&quot;/&gt;&lt;wsp:rsid wsp:val=&quot;00FC037C&quot;/&gt;&lt;wsp:rsid wsp:val=&quot;00FC1726&quot;/&gt;&lt;wsp:rsid wsp:val=&quot;00FC1BC2&quot;/&gt;&lt;wsp:rsid wsp:val=&quot;00FC255B&quot;/&gt;&lt;wsp:rsid wsp:val=&quot;00FC29BF&quot;/&gt;&lt;wsp:rsid wsp:val=&quot;00FC2B58&quot;/&gt;&lt;wsp:rsid wsp:val=&quot;00FC2F67&quot;/&gt;&lt;wsp:rsid wsp:val=&quot;00FC36E7&quot;/&gt;&lt;wsp:rsid wsp:val=&quot;00FC5D4E&quot;/&gt;&lt;wsp:rsid wsp:val=&quot;00FC6864&quot;/&gt;&lt;wsp:rsid wsp:val=&quot;00FC6FD4&quot;/&gt;&lt;wsp:rsid wsp:val=&quot;00FC7432&quot;/&gt;&lt;wsp:rsid wsp:val=&quot;00FC7BD9&quot;/&gt;&lt;wsp:rsid wsp:val=&quot;00FC7EF5&quot;/&gt;&lt;wsp:rsid wsp:val=&quot;00FD0072&quot;/&gt;&lt;wsp:rsid wsp:val=&quot;00FD09A4&quot;/&gt;&lt;wsp:rsid wsp:val=&quot;00FD1835&quot;/&gt;&lt;wsp:rsid wsp:val=&quot;00FD1D92&quot;/&gt;&lt;wsp:rsid wsp:val=&quot;00FD3510&quot;/&gt;&lt;wsp:rsid wsp:val=&quot;00FD3DF2&quot;/&gt;&lt;wsp:rsid wsp:val=&quot;00FD4050&quot;/&gt;&lt;wsp:rsid wsp:val=&quot;00FD5113&quot;/&gt;&lt;wsp:rsid wsp:val=&quot;00FD59A9&quot;/&gt;&lt;wsp:rsid wsp:val=&quot;00FD5E63&quot;/&gt;&lt;wsp:rsid wsp:val=&quot;00FD62B1&quot;/&gt;&lt;wsp:rsid wsp:val=&quot;00FD66D8&quot;/&gt;&lt;wsp:rsid wsp:val=&quot;00FD771C&quot;/&gt;&lt;wsp:rsid wsp:val=&quot;00FD7991&quot;/&gt;&lt;wsp:rsid wsp:val=&quot;00FE01B4&quot;/&gt;&lt;wsp:rsid wsp:val=&quot;00FE0903&quot;/&gt;&lt;wsp:rsid wsp:val=&quot;00FE0B78&quot;/&gt;&lt;wsp:rsid wsp:val=&quot;00FE2BF2&quot;/&gt;&lt;wsp:rsid wsp:val=&quot;00FE2D4F&quot;/&gt;&lt;wsp:rsid wsp:val=&quot;00FE3437&quot;/&gt;&lt;wsp:rsid wsp:val=&quot;00FE37DF&quot;/&gt;&lt;wsp:rsid wsp:val=&quot;00FE48D1&quot;/&gt;&lt;wsp:rsid wsp:val=&quot;00FE5CBC&quot;/&gt;&lt;wsp:rsid wsp:val=&quot;00FE674D&quot;/&gt;&lt;wsp:rsid wsp:val=&quot;00FE6E85&quot;/&gt;&lt;wsp:rsid wsp:val=&quot;00FF313E&quot;/&gt;&lt;wsp:rsid wsp:val=&quot;00FF319E&quot;/&gt;&lt;wsp:rsid wsp:val=&quot;00FF53AC&quot;/&gt;&lt;wsp:rsid wsp:val=&quot;00FF5558&quot;/&gt;&lt;wsp:rsid wsp:val=&quot;00FF7352&quot;/&gt;&lt;wsp:rsid wsp:val=&quot;00FF7793&quot;/&gt;&lt;wsp:rsid wsp:val=&quot;168E458F&quot;/&gt;&lt;wsp:rsid wsp:val=&quot;5CD76573&quot;/&gt;&lt;wsp:rsid wsp:val=&quot;62B81204&quot;/&gt;&lt;/wsp:rsids&gt;&lt;/w:docPr&gt;&lt;w:body&gt;&lt;w:p wsp:rsidR=&quot;00000000&quot; wsp:rsidRDefault=&quot;002B1DA4&quot;&gt;&lt;m:oMathPara&gt;&lt;m:oMath&gt;&lt;m:r&gt;&lt;m:rPr&gt;&lt;m:sty m:val=&quot;p&quot;/&gt;&lt;/m:rPr&gt;&lt;w:rPr&gt;&lt;w:rFonts w:ascii=&quot;Cambria Math&quot;/&gt;&lt;w:sz w:val=&quot;24&quot;/&gt;&lt;/w:rPr&gt;&lt;m:t&gt;×&lt;/m:t&gt;&lt;/m:r&gt;&lt;/m:oMath&gt;&lt;/m:oMathPara&gt;&lt;/w:p&gt;&lt;w:sectPr wsp:rsidR=&quot;00000000&quot;&gt;&lt;w:pgSz w:w=&quot;12240&quot; w:h=&quot;15840&quot;/&gt;&lt;w:pgMar w:top=&quot;1440&quot; ttttttttttttttttttttttttttw:Pright=&quot;1800&quot; w:bottom=&quot;1440&quot; w:left=&quot;1800&quot; w:header=&quot;720&quot; w:footer=&quot;720&quot; w:gutter=&quot;0&quot;/&gt;&lt;w:cols w:space=&quot;720&quot;/&gt;&lt;/w:sectPr&gt;&lt;/w:body&gt;&lt;/w:wordDocument&gt;">
                  <v:path/>
                  <v:fill on="f" focussize="0,0"/>
                  <v:stroke/>
                  <v:imagedata r:id="rId33" chromakey="#FFFFFF" o:title=""/>
                  <o:lock v:ext="edit" aspectratio="t"/>
                  <w10:wrap type="none"/>
                  <w10:anchorlock/>
                </v:shape>
              </w:pict>
            </w:r>
            <w:r>
              <w:rPr>
                <w:rFonts w:hint="default" w:ascii="Times New Roman" w:hAnsi="Times New Roman" w:cs="Times New Roman"/>
                <w:b w:val="0"/>
                <w:bCs w:val="0"/>
                <w:color w:val="auto"/>
                <w:sz w:val="24"/>
                <w:szCs w:val="24"/>
                <w:highlight w:val="none"/>
              </w:rPr>
              <w:instrText xml:space="preserve"> </w:instrText>
            </w:r>
            <w:r>
              <w:rPr>
                <w:rFonts w:hint="default" w:ascii="Times New Roman" w:hAnsi="Times New Roman" w:cs="Times New Roman"/>
                <w:b w:val="0"/>
                <w:bCs w:val="0"/>
                <w:color w:val="auto"/>
                <w:sz w:val="24"/>
                <w:szCs w:val="24"/>
                <w:highlight w:val="none"/>
              </w:rPr>
              <w:fldChar w:fldCharType="separate"/>
            </w:r>
            <w:r>
              <w:rPr>
                <w:rFonts w:hint="default" w:ascii="Times New Roman" w:hAnsi="Times New Roman" w:cs="Times New Roman"/>
                <w:b w:val="0"/>
                <w:bCs w:val="0"/>
                <w:color w:val="auto"/>
                <w:position w:val="-6"/>
                <w:sz w:val="24"/>
                <w:szCs w:val="24"/>
                <w:highlight w:val="none"/>
              </w:rPr>
              <w:pict>
                <v:shape id="_x0000_i1034" o:spt="75" type="#_x0000_t75" style="height:15.7pt;width:8.1pt;" filled="f" coordsize="21600,2160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bordersDontSurroundHeader/&gt;&lt;w:bordersDontSurroundFooter/&gt;&lt;w:gutterAtTop/&gt;&lt;w:hideSpellingErrors/&gt;&lt;w:stylePaneFormatFilter w:val=&quot;3F01&quot;/&gt;&lt;w:defaultTabStop w:val=&quot;0&quot;/&gt;&lt;w:drawingGridHorizontalSpacing w:val=&quot;105&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allowPNG/&gt;&lt;w:targetScreenSz w:val=&quot;1024x768&quot;/&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ulTrailSpace/&gt;&lt;w:doNotExpandShiftReturn/&gt;&lt;w:adjustLineHeightInTable/&gt;&lt;w:snapToGridInCell/&gt;&lt;w:useFELayout/&gt;&lt;/w:compat&gt;&lt;wsp:rsids&gt;&lt;wsp:rsidRoot wsp:val=&quot;00A3744C&quot;/&gt;&lt;wsp:rsid wsp:val=&quot;000005FE&quot;/&gt;&lt;wsp:rsid wsp:val=&quot;00000E72&quot;/&gt;&lt;wsp:rsid wsp:val=&quot;00001AD6&quot;/&gt;&lt;wsp:rsid wsp:val=&quot;0000238C&quot;/&gt;&lt;wsp:rsid wsp:val=&quot;00002F9B&quot;/&gt;&lt;wsp:rsid wsp:val=&quot;00003CF2&quot;/&gt;&lt;wsp:rsid wsp:val=&quot;00004E62&quot;/&gt;&lt;wsp:rsid wsp:val=&quot;000054C3&quot;/&gt;&lt;wsp:rsid wsp:val=&quot;00005DAB&quot;/&gt;&lt;wsp:rsid wsp:val=&quot;00005DC5&quot;/&gt;&lt;wsp:rsid wsp:val=&quot;000061D4&quot;/&gt;&lt;wsp:rsid wsp:val=&quot;00006363&quot;/&gt;&lt;wsp:rsid wsp:val=&quot;00006BB0&quot;/&gt;&lt;wsp:rsid wsp:val=&quot;00006ED1&quot;/&gt;&lt;wsp:rsid wsp:val=&quot;00007CCA&quot;/&gt;&lt;wsp:rsid wsp:val=&quot;00007D3B&quot;/&gt;&lt;wsp:rsid wsp:val=&quot;00010019&quot;/&gt;&lt;wsp:rsid wsp:val=&quot;00010051&quot;/&gt;&lt;wsp:rsid wsp:val=&quot;00010161&quot;/&gt;&lt;wsp:rsid wsp:val=&quot;000101E6&quot;/&gt;&lt;wsp:rsid wsp:val=&quot;000105AD&quot;/&gt;&lt;wsp:rsid wsp:val=&quot;00010C4C&quot;/&gt;&lt;wsp:rsid wsp:val=&quot;00010E8B&quot;/&gt;&lt;wsp:rsid wsp:val=&quot;0001176D&quot;/&gt;&lt;wsp:rsid wsp:val=&quot;00011FEC&quot;/&gt;&lt;wsp:rsid wsp:val=&quot;00012D59&quot;/&gt;&lt;wsp:rsid wsp:val=&quot;0001434C&quot;/&gt;&lt;wsp:rsid wsp:val=&quot;000145CC&quot;/&gt;&lt;wsp:rsid wsp:val=&quot;0001464F&quot;/&gt;&lt;wsp:rsid wsp:val=&quot;00014735&quot;/&gt;&lt;wsp:rsid wsp:val=&quot;00014CF9&quot;/&gt;&lt;wsp:rsid wsp:val=&quot;00015214&quot;/&gt;&lt;wsp:rsid wsp:val=&quot;0001589A&quot;/&gt;&lt;wsp:rsid wsp:val=&quot;0001644F&quot;/&gt;&lt;wsp:rsid wsp:val=&quot;00020179&quot;/&gt;&lt;wsp:rsid wsp:val=&quot;00021CD2&quot;/&gt;&lt;wsp:rsid wsp:val=&quot;00021E3C&quot;/&gt;&lt;wsp:rsid wsp:val=&quot;00022B15&quot;/&gt;&lt;wsp:rsid wsp:val=&quot;00022C49&quot;/&gt;&lt;wsp:rsid wsp:val=&quot;00022C9B&quot;/&gt;&lt;wsp:rsid wsp:val=&quot;00023214&quot;/&gt;&lt;wsp:rsid wsp:val=&quot;000241B2&quot;/&gt;&lt;wsp:rsid wsp:val=&quot;0002460F&quot;/&gt;&lt;wsp:rsid wsp:val=&quot;00024E09&quot;/&gt;&lt;wsp:rsid wsp:val=&quot;000250B4&quot;/&gt;&lt;wsp:rsid wsp:val=&quot;000257F1&quot;/&gt;&lt;wsp:rsid wsp:val=&quot;00025C9B&quot;/&gt;&lt;wsp:rsid wsp:val=&quot;00025E7B&quot;/&gt;&lt;wsp:rsid wsp:val=&quot;00026F3C&quot;/&gt;&lt;wsp:rsid wsp:val=&quot;00030480&quot;/&gt;&lt;wsp:rsid wsp:val=&quot;000307F8&quot;/&gt;&lt;wsp:rsid wsp:val=&quot;000326C6&quot;/&gt;&lt;wsp:rsid wsp:val=&quot;00033048&quot;/&gt;&lt;wsp:rsid wsp:val=&quot;00034F02&quot;/&gt;&lt;wsp:rsid wsp:val=&quot;000369AE&quot;/&gt;&lt;wsp:rsid wsp:val=&quot;00037CED&quot;/&gt;&lt;wsp:rsid wsp:val=&quot;00041212&quot;/&gt;&lt;wsp:rsid wsp:val=&quot;000416AD&quot;/&gt;&lt;wsp:rsid wsp:val=&quot;00042775&quot;/&gt;&lt;wsp:rsid wsp:val=&quot;00043FB9&quot;/&gt;&lt;wsp:rsid wsp:val=&quot;000445AA&quot;/&gt;&lt;wsp:rsid wsp:val=&quot;0004474B&quot;/&gt;&lt;wsp:rsid wsp:val=&quot;00044E87&quot;/&gt;&lt;wsp:rsid wsp:val=&quot;00045517&quot;/&gt;&lt;wsp:rsid wsp:val=&quot;00045EBA&quot;/&gt;&lt;wsp:rsid wsp:val=&quot;0004626E&quot;/&gt;&lt;wsp:rsid wsp:val=&quot;00047571&quot;/&gt;&lt;wsp:rsid wsp:val=&quot;00047ED2&quot;/&gt;&lt;wsp:rsid wsp:val=&quot;000506D4&quot;/&gt;&lt;wsp:rsid wsp:val=&quot;00052135&quot;/&gt;&lt;wsp:rsid wsp:val=&quot;00053BB8&quot;/&gt;&lt;wsp:rsid wsp:val=&quot;00053D74&quot;/&gt;&lt;wsp:rsid wsp:val=&quot;00054AF1&quot;/&gt;&lt;wsp:rsid wsp:val=&quot;00054EF2&quot;/&gt;&lt;wsp:rsid wsp:val=&quot;00055196&quot;/&gt;&lt;wsp:rsid wsp:val=&quot;00055371&quot;/&gt;&lt;wsp:rsid wsp:val=&quot;00055768&quot;/&gt;&lt;wsp:rsid wsp:val=&quot;000557FB&quot;/&gt;&lt;wsp:rsid wsp:val=&quot;000566EB&quot;/&gt;&lt;wsp:rsid wsp:val=&quot;00056F23&quot;/&gt;&lt;wsp:rsid wsp:val=&quot;00057183&quot;/&gt;&lt;wsp:rsid wsp:val=&quot;000573D6&quot;/&gt;&lt;wsp:rsid wsp:val=&quot;00057AA2&quot;/&gt;&lt;wsp:rsid wsp:val=&quot;00057D9B&quot;/&gt;&lt;wsp:rsid wsp:val=&quot;0006019A&quot;/&gt;&lt;wsp:rsid wsp:val=&quot;000603D9&quot;/&gt;&lt;wsp:rsid wsp:val=&quot;00060527&quot;/&gt;&lt;wsp:rsid wsp:val=&quot;00061118&quot;/&gt;&lt;wsp:rsid wsp:val=&quot;0006183B&quot;/&gt;&lt;wsp:rsid wsp:val=&quot;0006184C&quot;/&gt;&lt;wsp:rsid wsp:val=&quot;0006216B&quot;/&gt;&lt;wsp:rsid wsp:val=&quot;0006306B&quot;/&gt;&lt;wsp:rsid wsp:val=&quot;000630A5&quot;/&gt;&lt;wsp:rsid wsp:val=&quot;00063B02&quot;/&gt;&lt;wsp:rsid wsp:val=&quot;00064451&quot;/&gt;&lt;wsp:rsid wsp:val=&quot;000644D2&quot;/&gt;&lt;wsp:rsid wsp:val=&quot;00064B1A&quot;/&gt;&lt;wsp:rsid wsp:val=&quot;00064C42&quot;/&gt;&lt;wsp:rsid wsp:val=&quot;0006521D&quot;/&gt;&lt;wsp:rsid wsp:val=&quot;000665A1&quot;/&gt;&lt;wsp:rsid wsp:val=&quot;00066734&quot;/&gt;&lt;wsp:rsid wsp:val=&quot;00066FEC&quot;/&gt;&lt;wsp:rsid wsp:val=&quot;00067428&quot;/&gt;&lt;wsp:rsid wsp:val=&quot;0007023A&quot;/&gt;&lt;wsp:rsid wsp:val=&quot;00070538&quot;/&gt;&lt;wsp:rsid wsp:val=&quot;00070999&quot;/&gt;&lt;wsp:rsid wsp:val=&quot;00070BFF&quot;/&gt;&lt;wsp:rsid wsp:val=&quot;00071103&quot;/&gt;&lt;wsp:rsid wsp:val=&quot;000711D8&quot;/&gt;&lt;wsp:rsid wsp:val=&quot;000714ED&quot;/&gt;&lt;wsp:rsid wsp:val=&quot;000720E9&quot;/&gt;&lt;wsp:rsid wsp:val=&quot;000720F7&quot;/&gt;&lt;wsp:rsid wsp:val=&quot;00072498&quot;/&gt;&lt;wsp:rsid wsp:val=&quot;0007305D&quot;/&gt;&lt;wsp:rsid wsp:val=&quot;00073614&quot;/&gt;&lt;wsp:rsid wsp:val=&quot;0007485D&quot;/&gt;&lt;wsp:rsid wsp:val=&quot;00074880&quot;/&gt;&lt;wsp:rsid wsp:val=&quot;00074AC2&quot;/&gt;&lt;wsp:rsid wsp:val=&quot;00074C9E&quot;/&gt;&lt;wsp:rsid wsp:val=&quot;00075029&quot;/&gt;&lt;wsp:rsid wsp:val=&quot;00075295&quot;/&gt;&lt;wsp:rsid wsp:val=&quot;00076130&quot;/&gt;&lt;wsp:rsid wsp:val=&quot;00076453&quot;/&gt;&lt;wsp:rsid wsp:val=&quot;000776E1&quot;/&gt;&lt;wsp:rsid wsp:val=&quot;000801BD&quot;/&gt;&lt;wsp:rsid wsp:val=&quot;00081134&quot;/&gt;&lt;wsp:rsid wsp:val=&quot;00081A20&quot;/&gt;&lt;wsp:rsid wsp:val=&quot;00081B37&quot;/&gt;&lt;wsp:rsid wsp:val=&quot;00082DD0&quot;/&gt;&lt;wsp:rsid wsp:val=&quot;00082DD2&quot;/&gt;&lt;wsp:rsid wsp:val=&quot;0008329A&quot;/&gt;&lt;wsp:rsid wsp:val=&quot;000838EB&quot;/&gt;&lt;wsp:rsid wsp:val=&quot;00083977&quot;/&gt;&lt;wsp:rsid wsp:val=&quot;00083F53&quot;/&gt;&lt;wsp:rsid wsp:val=&quot;00084E86&quot;/&gt;&lt;wsp:rsid wsp:val=&quot;00085C15&quot;/&gt;&lt;wsp:rsid wsp:val=&quot;00085DC6&quot;/&gt;&lt;wsp:rsid wsp:val=&quot;00087C03&quot;/&gt;&lt;wsp:rsid wsp:val=&quot;00091321&quot;/&gt;&lt;wsp:rsid wsp:val=&quot;000929D0&quot;/&gt;&lt;wsp:rsid wsp:val=&quot;00094001&quot;/&gt;&lt;wsp:rsid wsp:val=&quot;00094DA2&quot;/&gt;&lt;wsp:rsid wsp:val=&quot;00094DA5&quot;/&gt;&lt;wsp:rsid wsp:val=&quot;00095E21&quot;/&gt;&lt;wsp:rsid wsp:val=&quot;0009637C&quot;/&gt;&lt;wsp:rsid wsp:val=&quot;0009695D&quot;/&gt;&lt;wsp:rsid wsp:val=&quot;00096D8C&quot;/&gt;&lt;wsp:rsid wsp:val=&quot;00096E3D&quot;/&gt;&lt;wsp:rsid wsp:val=&quot;00097935&quot;/&gt;&lt;wsp:rsid wsp:val=&quot;00097B10&quot;/&gt;&lt;wsp:rsid wsp:val=&quot;000A0A5F&quot;/&gt;&lt;wsp:rsid wsp:val=&quot;000A2A63&quot;/&gt;&lt;wsp:rsid wsp:val=&quot;000A3732&quot;/&gt;&lt;wsp:rsid wsp:val=&quot;000A3EA4&quot;/&gt;&lt;wsp:rsid wsp:val=&quot;000A5F7D&quot;/&gt;&lt;wsp:rsid wsp:val=&quot;000A667E&quot;/&gt;&lt;wsp:rsid wsp:val=&quot;000A6FFB&quot;/&gt;&lt;wsp:rsid wsp:val=&quot;000A7A6C&quot;/&gt;&lt;wsp:rsid wsp:val=&quot;000A7F9D&quot;/&gt;&lt;wsp:rsid wsp:val=&quot;000B0561&quot;/&gt;&lt;wsp:rsid wsp:val=&quot;000B1589&quot;/&gt;&lt;wsp:rsid wsp:val=&quot;000B16B8&quot;/&gt;&lt;wsp:rsid wsp:val=&quot;000B1721&quot;/&gt;&lt;wsp:rsid wsp:val=&quot;000B18A3&quot;/&gt;&lt;wsp:rsid wsp:val=&quot;000B1F5B&quot;/&gt;&lt;wsp:rsid wsp:val=&quot;000B34EC&quot;/&gt;&lt;wsp:rsid wsp:val=&quot;000B429D&quot;/&gt;&lt;wsp:rsid wsp:val=&quot;000B4C1C&quot;/&gt;&lt;wsp:rsid wsp:val=&quot;000B4CF3&quot;/&gt;&lt;wsp:rsid wsp:val=&quot;000B51C5&quot;/&gt;&lt;wsp:rsid wsp:val=&quot;000B589D&quot;/&gt;&lt;wsp:rsid wsp:val=&quot;000B5C1F&quot;/&gt;&lt;wsp:rsid wsp:val=&quot;000B6160&quot;/&gt;&lt;wsp:rsid wsp:val=&quot;000B7313&quot;/&gt;&lt;wsp:rsid wsp:val=&quot;000B7D84&quot;/&gt;&lt;wsp:rsid wsp:val=&quot;000C08EA&quot;/&gt;&lt;wsp:rsid wsp:val=&quot;000C0C7A&quot;/&gt;&lt;wsp:rsid wsp:val=&quot;000C213C&quot;/&gt;&lt;wsp:rsid wsp:val=&quot;000C2350&quot;/&gt;&lt;wsp:rsid wsp:val=&quot;000C2847&quot;/&gt;&lt;wsp:rsid wsp:val=&quot;000C2D5A&quot;/&gt;&lt;wsp:rsid wsp:val=&quot;000C3670&quot;/&gt;&lt;wsp:rsid wsp:val=&quot;000C3DA6&quot;/&gt;&lt;wsp:rsid wsp:val=&quot;000C4336&quot;/&gt;&lt;wsp:rsid wsp:val=&quot;000C4F7C&quot;/&gt;&lt;wsp:rsid wsp:val=&quot;000C523B&quot;/&gt;&lt;wsp:rsid wsp:val=&quot;000C5BC3&quot;/&gt;&lt;wsp:rsid wsp:val=&quot;000C64DD&quot;/&gt;&lt;wsp:rsid wsp:val=&quot;000C65B7&quot;/&gt;&lt;wsp:rsid wsp:val=&quot;000C6CD0&quot;/&gt;&lt;wsp:rsid wsp:val=&quot;000C753D&quot;/&gt;&lt;wsp:rsid wsp:val=&quot;000C794D&quot;/&gt;&lt;wsp:rsid wsp:val=&quot;000C7A13&quot;/&gt;&lt;wsp:rsid wsp:val=&quot;000D09FC&quot;/&gt;&lt;wsp:rsid wsp:val=&quot;000D1626&quot;/&gt;&lt;wsp:rsid wsp:val=&quot;000D1BD3&quot;/&gt;&lt;wsp:rsid wsp:val=&quot;000D226B&quot;/&gt;&lt;wsp:rsid wsp:val=&quot;000D2BB4&quot;/&gt;&lt;wsp:rsid wsp:val=&quot;000D441F&quot;/&gt;&lt;wsp:rsid wsp:val=&quot;000D47BB&quot;/&gt;&lt;wsp:rsid wsp:val=&quot;000D58FD&quot;/&gt;&lt;wsp:rsid wsp:val=&quot;000D61F8&quot;/&gt;&lt;wsp:rsid wsp:val=&quot;000D66A0&quot;/&gt;&lt;wsp:rsid wsp:val=&quot;000D789E&quot;/&gt;&lt;wsp:rsid wsp:val=&quot;000D7D61&quot;/&gt;&lt;wsp:rsid wsp:val=&quot;000E1AB5&quot;/&gt;&lt;wsp:rsid wsp:val=&quot;000E30DD&quot;/&gt;&lt;wsp:rsid wsp:val=&quot;000E3306&quot;/&gt;&lt;wsp:rsid wsp:val=&quot;000E3557&quot;/&gt;&lt;wsp:rsid wsp:val=&quot;000E356F&quot;/&gt;&lt;wsp:rsid wsp:val=&quot;000E376A&quot;/&gt;&lt;wsp:rsid wsp:val=&quot;000E3B80&quot;/&gt;&lt;wsp:rsid wsp:val=&quot;000E3D27&quot;/&gt;&lt;wsp:rsid wsp:val=&quot;000E4F41&quot;/&gt;&lt;wsp:rsid wsp:val=&quot;000E52C9&quot;/&gt;&lt;wsp:rsid wsp:val=&quot;000E5C21&quot;/&gt;&lt;wsp:rsid wsp:val=&quot;000E5F9A&quot;/&gt;&lt;wsp:rsid wsp:val=&quot;000E610F&quot;/&gt;&lt;wsp:rsid wsp:val=&quot;000E6287&quot;/&gt;&lt;wsp:rsid wsp:val=&quot;000E660C&quot;/&gt;&lt;wsp:rsid wsp:val=&quot;000E673F&quot;/&gt;&lt;wsp:rsid wsp:val=&quot;000E6CAB&quot;/&gt;&lt;wsp:rsid wsp:val=&quot;000E73BF&quot;/&gt;&lt;wsp:rsid wsp:val=&quot;000F06DC&quot;/&gt;&lt;wsp:rsid wsp:val=&quot;000F074B&quot;/&gt;&lt;wsp:rsid wsp:val=&quot;000F0E5D&quot;/&gt;&lt;wsp:rsid wsp:val=&quot;000F1FE4&quot;/&gt;&lt;wsp:rsid wsp:val=&quot;000F2685&quot;/&gt;&lt;wsp:rsid wsp:val=&quot;000F40B9&quot;/&gt;&lt;wsp:rsid wsp:val=&quot;000F512D&quot;/&gt;&lt;wsp:rsid wsp:val=&quot;000F57A9&quot;/&gt;&lt;wsp:rsid wsp:val=&quot;000F59BD&quot;/&gt;&lt;wsp:rsid wsp:val=&quot;000F6042&quot;/&gt;&lt;wsp:rsid wsp:val=&quot;000F605B&quot;/&gt;&lt;wsp:rsid wsp:val=&quot;000F71D5&quot;/&gt;&lt;wsp:rsid wsp:val=&quot;000F7927&quot;/&gt;&lt;wsp:rsid wsp:val=&quot;000F7A34&quot;/&gt;&lt;wsp:rsid wsp:val=&quot;000F7A6B&quot;/&gt;&lt;wsp:rsid wsp:val=&quot;000F7F5A&quot;/&gt;&lt;wsp:rsid wsp:val=&quot;00101351&quot;/&gt;&lt;wsp:rsid wsp:val=&quot;001016F2&quot;/&gt;&lt;wsp:rsid wsp:val=&quot;00101C9F&quot;/&gt;&lt;wsp:rsid wsp:val=&quot;00103352&quot;/&gt;&lt;wsp:rsid wsp:val=&quot;00103729&quot;/&gt;&lt;wsp:rsid wsp:val=&quot;00103C34&quot;/&gt;&lt;wsp:rsid wsp:val=&quot;0010409A&quot;/&gt;&lt;wsp:rsid wsp:val=&quot;001048F1&quot;/&gt;&lt;wsp:rsid wsp:val=&quot;00104ED2&quot;/&gt;&lt;wsp:rsid wsp:val=&quot;0010575C&quot;/&gt;&lt;wsp:rsid wsp:val=&quot;0010579F&quot;/&gt;&lt;wsp:rsid wsp:val=&quot;00105DC3&quot;/&gt;&lt;wsp:rsid wsp:val=&quot;00105E2F&quot;/&gt;&lt;wsp:rsid wsp:val=&quot;00106B2D&quot;/&gt;&lt;wsp:rsid wsp:val=&quot;00106FD5&quot;/&gt;&lt;wsp:rsid wsp:val=&quot;00110180&quot;/&gt;&lt;wsp:rsid wsp:val=&quot;001111ED&quot;/&gt;&lt;wsp:rsid wsp:val=&quot;0011135C&quot;/&gt;&lt;wsp:rsid wsp:val=&quot;00111DAE&quot;/&gt;&lt;wsp:rsid wsp:val=&quot;0011258B&quot;/&gt;&lt;wsp:rsid wsp:val=&quot;0011280A&quot;/&gt;&lt;wsp:rsid wsp:val=&quot;0011282A&quot;/&gt;&lt;wsp:rsid wsp:val=&quot;00114389&quot;/&gt;&lt;wsp:rsid wsp:val=&quot;00114583&quot;/&gt;&lt;wsp:rsid wsp:val=&quot;00114BBA&quot;/&gt;&lt;wsp:rsid wsp:val=&quot;00115336&quot;/&gt;&lt;wsp:rsid wsp:val=&quot;00115590&quot;/&gt;&lt;wsp:rsid wsp:val=&quot;00115D22&quot;/&gt;&lt;wsp:rsid wsp:val=&quot;0011626F&quot;/&gt;&lt;wsp:rsid wsp:val=&quot;00116A1C&quot;/&gt;&lt;wsp:rsid wsp:val=&quot;00117F7A&quot;/&gt;&lt;wsp:rsid wsp:val=&quot;00120305&quot;/&gt;&lt;wsp:rsid wsp:val=&quot;00120596&quot;/&gt;&lt;wsp:rsid wsp:val=&quot;001212BE&quot;/&gt;&lt;wsp:rsid wsp:val=&quot;00121AEE&quot;/&gt;&lt;wsp:rsid wsp:val=&quot;00121B71&quot;/&gt;&lt;wsp:rsid wsp:val=&quot;00122599&quot;/&gt;&lt;wsp:rsid wsp:val=&quot;00123A45&quot;/&gt;&lt;wsp:rsid wsp:val=&quot;00123CD6&quot;/&gt;&lt;wsp:rsid wsp:val=&quot;00124692&quot;/&gt;&lt;wsp:rsid wsp:val=&quot;0012473C&quot;/&gt;&lt;wsp:rsid wsp:val=&quot;00125AC4&quot;/&gt;&lt;wsp:rsid wsp:val=&quot;00126F28&quot;/&gt;&lt;wsp:rsid wsp:val=&quot;00127091&quot;/&gt;&lt;wsp:rsid wsp:val=&quot;001303C2&quot;/&gt;&lt;wsp:rsid wsp:val=&quot;001312BA&quot;/&gt;&lt;wsp:rsid wsp:val=&quot;00131B33&quot;/&gt;&lt;wsp:rsid wsp:val=&quot;00132028&quot;/&gt;&lt;wsp:rsid wsp:val=&quot;00132666&quot;/&gt;&lt;wsp:rsid wsp:val=&quot;00133238&quot;/&gt;&lt;wsp:rsid wsp:val=&quot;00134C71&quot;/&gt;&lt;wsp:rsid wsp:val=&quot;00135A2C&quot;/&gt;&lt;wsp:rsid wsp:val=&quot;00135AA0&quot;/&gt;&lt;wsp:rsid wsp:val=&quot;00136FBD&quot;/&gt;&lt;wsp:rsid wsp:val=&quot;00137EFB&quot;/&gt;&lt;wsp:rsid wsp:val=&quot;001404FE&quot;/&gt;&lt;wsp:rsid wsp:val=&quot;00140C8D&quot;/&gt;&lt;wsp:rsid wsp:val=&quot;00141304&quot;/&gt;&lt;wsp:rsid wsp:val=&quot;0014144C&quot;/&gt;&lt;wsp:rsid wsp:val=&quot;0014185B&quot;/&gt;&lt;wsp:rsid wsp:val=&quot;0014190C&quot;/&gt;&lt;wsp:rsid wsp:val=&quot;001426B0&quot;/&gt;&lt;wsp:rsid wsp:val=&quot;001428CA&quot;/&gt;&lt;wsp:rsid wsp:val=&quot;0014310D&quot;/&gt;&lt;wsp:rsid wsp:val=&quot;00143AF5&quot;/&gt;&lt;wsp:rsid wsp:val=&quot;00143ED0&quot;/&gt;&lt;wsp:rsid wsp:val=&quot;00143FAB&quot;/&gt;&lt;wsp:rsid wsp:val=&quot;00144721&quot;/&gt;&lt;wsp:rsid wsp:val=&quot;0014596E&quot;/&gt;&lt;wsp:rsid wsp:val=&quot;00145CD3&quot;/&gt;&lt;wsp:rsid wsp:val=&quot;001474E2&quot;/&gt;&lt;wsp:rsid wsp:val=&quot;00147C82&quot;/&gt;&lt;wsp:rsid wsp:val=&quot;001517F2&quot;/&gt;&lt;wsp:rsid wsp:val=&quot;00154D07&quot;/&gt;&lt;wsp:rsid wsp:val=&quot;0015562B&quot;/&gt;&lt;wsp:rsid wsp:val=&quot;001569BE&quot;/&gt;&lt;wsp:rsid wsp:val=&quot;00156B90&quot;/&gt;&lt;wsp:rsid wsp:val=&quot;00156DB1&quot;/&gt;&lt;wsp:rsid wsp:val=&quot;00157332&quot;/&gt;&lt;wsp:rsid wsp:val=&quot;00157DB6&quot;/&gt;&lt;wsp:rsid wsp:val=&quot;001607D7&quot;/&gt;&lt;wsp:rsid wsp:val=&quot;00160B4E&quot;/&gt;&lt;wsp:rsid wsp:val=&quot;00160B64&quot;/&gt;&lt;wsp:rsid wsp:val=&quot;00160C12&quot;/&gt;&lt;wsp:rsid wsp:val=&quot;00161A77&quot;/&gt;&lt;wsp:rsid wsp:val=&quot;0016225D&quot;/&gt;&lt;wsp:rsid wsp:val=&quot;00162840&quot;/&gt;&lt;wsp:rsid wsp:val=&quot;00162EF8&quot;/&gt;&lt;wsp:rsid wsp:val=&quot;00163267&quot;/&gt;&lt;wsp:rsid wsp:val=&quot;00163FEB&quot;/&gt;&lt;wsp:rsid wsp:val=&quot;001640BF&quot;/&gt;&lt;wsp:rsid wsp:val=&quot;0016410F&quot;/&gt;&lt;wsp:rsid wsp:val=&quot;0016460D&quot;/&gt;&lt;wsp:rsid wsp:val=&quot;00164A2D&quot;/&gt;&lt;wsp:rsid wsp:val=&quot;00164C5E&quot;/&gt;&lt;wsp:rsid wsp:val=&quot;00165146&quot;/&gt;&lt;wsp:rsid wsp:val=&quot;00166E97&quot;/&gt;&lt;wsp:rsid wsp:val=&quot;00166F24&quot;/&gt;&lt;wsp:rsid wsp:val=&quot;00167A30&quot;/&gt;&lt;wsp:rsid wsp:val=&quot;00167C7B&quot;/&gt;&lt;wsp:rsid wsp:val=&quot;00167E15&quot;/&gt;&lt;wsp:rsid wsp:val=&quot;00170211&quot;/&gt;&lt;wsp:rsid wsp:val=&quot;00170230&quot;/&gt;&lt;wsp:rsid wsp:val=&quot;00170595&quot;/&gt;&lt;wsp:rsid wsp:val=&quot;00171149&quot;/&gt;&lt;wsp:rsid wsp:val=&quot;001712EF&quot;/&gt;&lt;wsp:rsid wsp:val=&quot;00171970&quot;/&gt;&lt;wsp:rsid wsp:val=&quot;00171F9C&quot;/&gt;&lt;wsp:rsid wsp:val=&quot;00172125&quot;/&gt;&lt;wsp:rsid wsp:val=&quot;00172235&quot;/&gt;&lt;wsp:rsid wsp:val=&quot;00172632&quot;/&gt;&lt;wsp:rsid wsp:val=&quot;00173021&quot;/&gt;&lt;wsp:rsid wsp:val=&quot;00174676&quot;/&gt;&lt;wsp:rsid wsp:val=&quot;00174ACB&quot;/&gt;&lt;wsp:rsid wsp:val=&quot;00175C0C&quot;/&gt;&lt;wsp:rsid wsp:val=&quot;00175D8B&quot;/&gt;&lt;wsp:rsid wsp:val=&quot;0017670E&quot;/&gt;&lt;wsp:rsid wsp:val=&quot;00176765&quot;/&gt;&lt;wsp:rsid wsp:val=&quot;001772D0&quot;/&gt;&lt;wsp:rsid wsp:val=&quot;00177C24&quot;/&gt;&lt;wsp:rsid wsp:val=&quot;00177C4F&quot;/&gt;&lt;wsp:rsid wsp:val=&quot;00177E5C&quot;/&gt;&lt;wsp:rsid wsp:val=&quot;00180353&quot;/&gt;&lt;wsp:rsid wsp:val=&quot;00181305&quot;/&gt;&lt;wsp:rsid wsp:val=&quot;00181435&quot;/&gt;&lt;wsp:rsid wsp:val=&quot;001823A4&quot;/&gt;&lt;wsp:rsid wsp:val=&quot;00182614&quot;/&gt;&lt;wsp:rsid wsp:val=&quot;00183587&quot;/&gt;&lt;wsp:rsid wsp:val=&quot;00184E4F&quot;/&gt;&lt;wsp:rsid wsp:val=&quot;00185B77&quot;/&gt;&lt;wsp:rsid wsp:val=&quot;00186290&quot;/&gt;&lt;wsp:rsid wsp:val=&quot;00186605&quot;/&gt;&lt;wsp:rsid wsp:val=&quot;00186AFE&quot;/&gt;&lt;wsp:rsid wsp:val=&quot;00187401&quot;/&gt;&lt;wsp:rsid wsp:val=&quot;00187822&quot;/&gt;&lt;wsp:rsid wsp:val=&quot;00191487&quot;/&gt;&lt;wsp:rsid wsp:val=&quot;001915F0&quot;/&gt;&lt;wsp:rsid wsp:val=&quot;0019223E&quot;/&gt;&lt;wsp:rsid wsp:val=&quot;0019278B&quot;/&gt;&lt;wsp:rsid wsp:val=&quot;00192ACD&quot;/&gt;&lt;wsp:rsid wsp:val=&quot;00193636&quot;/&gt;&lt;wsp:rsid wsp:val=&quot;00193BA7&quot;/&gt;&lt;wsp:rsid wsp:val=&quot;001942C2&quot;/&gt;&lt;wsp:rsid wsp:val=&quot;0019453D&quot;/&gt;&lt;wsp:rsid wsp:val=&quot;00194FB9&quot;/&gt;&lt;wsp:rsid wsp:val=&quot;00195356&quot;/&gt;&lt;wsp:rsid wsp:val=&quot;0019546E&quot;/&gt;&lt;wsp:rsid wsp:val=&quot;0019632A&quot;/&gt;&lt;wsp:rsid wsp:val=&quot;001977A3&quot;/&gt;&lt;wsp:rsid wsp:val=&quot;00197EA6&quot;/&gt;&lt;wsp:rsid wsp:val=&quot;001A044C&quot;/&gt;&lt;wsp:rsid wsp:val=&quot;001A12AE&quot;/&gt;&lt;wsp:rsid wsp:val=&quot;001A1633&quot;/&gt;&lt;wsp:rsid wsp:val=&quot;001A2DD8&quot;/&gt;&lt;wsp:rsid wsp:val=&quot;001A2E5A&quot;/&gt;&lt;wsp:rsid wsp:val=&quot;001A3D0C&quot;/&gt;&lt;wsp:rsid wsp:val=&quot;001A40C1&quot;/&gt;&lt;wsp:rsid wsp:val=&quot;001A49B4&quot;/&gt;&lt;wsp:rsid wsp:val=&quot;001A4BFA&quot;/&gt;&lt;wsp:rsid wsp:val=&quot;001A5312&quot;/&gt;&lt;wsp:rsid wsp:val=&quot;001A675C&quot;/&gt;&lt;wsp:rsid wsp:val=&quot;001A6956&quot;/&gt;&lt;wsp:rsid wsp:val=&quot;001A7852&quot;/&gt;&lt;wsp:rsid wsp:val=&quot;001A7CB2&quot;/&gt;&lt;wsp:rsid wsp:val=&quot;001B09D1&quot;/&gt;&lt;wsp:rsid wsp:val=&quot;001B20A7&quot;/&gt;&lt;wsp:rsid wsp:val=&quot;001B2916&quot;/&gt;&lt;wsp:rsid wsp:val=&quot;001B4A37&quot;/&gt;&lt;wsp:rsid wsp:val=&quot;001B5489&quot;/&gt;&lt;wsp:rsid wsp:val=&quot;001B5F0A&quot;/&gt;&lt;wsp:rsid wsp:val=&quot;001B6163&quot;/&gt;&lt;wsp:rsid wsp:val=&quot;001B6E49&quot;/&gt;&lt;wsp:rsid wsp:val=&quot;001B71B0&quot;/&gt;&lt;wsp:rsid wsp:val=&quot;001B7664&quot;/&gt;&lt;wsp:rsid wsp:val=&quot;001B7B3B&quot;/&gt;&lt;wsp:rsid wsp:val=&quot;001B7E72&quot;/&gt;&lt;wsp:rsid wsp:val=&quot;001C07E9&quot;/&gt;&lt;wsp:rsid wsp:val=&quot;001C134C&quot;/&gt;&lt;wsp:rsid wsp:val=&quot;001C22D7&quot;/&gt;&lt;wsp:rsid wsp:val=&quot;001C2E99&quot;/&gt;&lt;wsp:rsid wsp:val=&quot;001C3559&quot;/&gt;&lt;wsp:rsid wsp:val=&quot;001C35BF&quot;/&gt;&lt;wsp:rsid wsp:val=&quot;001C5883&quot;/&gt;&lt;wsp:rsid wsp:val=&quot;001C5FF2&quot;/&gt;&lt;wsp:rsid wsp:val=&quot;001C7BE9&quot;/&gt;&lt;wsp:rsid wsp:val=&quot;001D0CA2&quot;/&gt;&lt;wsp:rsid wsp:val=&quot;001D124A&quot;/&gt;&lt;wsp:rsid wsp:val=&quot;001D1BE6&quot;/&gt;&lt;wsp:rsid wsp:val=&quot;001D292D&quot;/&gt;&lt;wsp:rsid wsp:val=&quot;001D2C30&quot;/&gt;&lt;wsp:rsid wsp:val=&quot;001D3327&quot;/&gt;&lt;wsp:rsid wsp:val=&quot;001D3A36&quot;/&gt;&lt;wsp:rsid wsp:val=&quot;001D43BA&quot;/&gt;&lt;wsp:rsid wsp:val=&quot;001D4EBB&quot;/&gt;&lt;wsp:rsid wsp:val=&quot;001D55F9&quot;/&gt;&lt;wsp:rsid wsp:val=&quot;001D65E1&quot;/&gt;&lt;wsp:rsid wsp:val=&quot;001D6BEB&quot;/&gt;&lt;wsp:rsid wsp:val=&quot;001D7AE7&quot;/&gt;&lt;wsp:rsid wsp:val=&quot;001E1A52&quot;/&gt;&lt;wsp:rsid wsp:val=&quot;001E1D62&quot;/&gt;&lt;wsp:rsid wsp:val=&quot;001E2878&quot;/&gt;&lt;wsp:rsid wsp:val=&quot;001E2D13&quot;/&gt;&lt;wsp:rsid wsp:val=&quot;001E2FFE&quot;/&gt;&lt;wsp:rsid wsp:val=&quot;001E317E&quot;/&gt;&lt;wsp:rsid wsp:val=&quot;001E5BF3&quot;/&gt;&lt;wsp:rsid wsp:val=&quot;001E5F84&quot;/&gt;&lt;wsp:rsid wsp:val=&quot;001E5FAB&quot;/&gt;&lt;wsp:rsid wsp:val=&quot;001E6005&quot;/&gt;&lt;wsp:rsid wsp:val=&quot;001E67AE&quot;/&gt;&lt;wsp:rsid wsp:val=&quot;001E6A81&quot;/&gt;&lt;wsp:rsid wsp:val=&quot;001E77AE&quot;/&gt;&lt;wsp:rsid wsp:val=&quot;001F136A&quot;/&gt;&lt;wsp:rsid wsp:val=&quot;001F1557&quot;/&gt;&lt;wsp:rsid wsp:val=&quot;001F22FC&quot;/&gt;&lt;wsp:rsid wsp:val=&quot;001F3203&quot;/&gt;&lt;wsp:rsid wsp:val=&quot;001F4A60&quot;/&gt;&lt;wsp:rsid wsp:val=&quot;001F7451&quot;/&gt;&lt;wsp:rsid wsp:val=&quot;002016B4&quot;/&gt;&lt;wsp:rsid wsp:val=&quot;00201E79&quot;/&gt;&lt;wsp:rsid wsp:val=&quot;00201F3C&quot;/&gt;&lt;wsp:rsid wsp:val=&quot;00202FBF&quot;/&gt;&lt;wsp:rsid wsp:val=&quot;00203B78&quot;/&gt;&lt;wsp:rsid wsp:val=&quot;00203FE2&quot;/&gt;&lt;wsp:rsid wsp:val=&quot;00204921&quot;/&gt;&lt;wsp:rsid wsp:val=&quot;00204EEF&quot;/&gt;&lt;wsp:rsid wsp:val=&quot;00205656&quot;/&gt;&lt;wsp:rsid wsp:val=&quot;00205701&quot;/&gt;&lt;wsp:rsid wsp:val=&quot;00205A39&quot;/&gt;&lt;wsp:rsid wsp:val=&quot;00206086&quot;/&gt;&lt;wsp:rsid wsp:val=&quot;002064D5&quot;/&gt;&lt;wsp:rsid wsp:val=&quot;002069C0&quot;/&gt;&lt;wsp:rsid wsp:val=&quot;002075CC&quot;/&gt;&lt;wsp:rsid wsp:val=&quot;00207B4C&quot;/&gt;&lt;wsp:rsid wsp:val=&quot;00210327&quot;/&gt;&lt;wsp:rsid wsp:val=&quot;00211303&quot;/&gt;&lt;wsp:rsid wsp:val=&quot;002120D1&quot;/&gt;&lt;wsp:rsid wsp:val=&quot;00213167&quot;/&gt;&lt;wsp:rsid wsp:val=&quot;00213297&quot;/&gt;&lt;wsp:rsid wsp:val=&quot;00213559&quot;/&gt;&lt;wsp:rsid wsp:val=&quot;00213630&quot;/&gt;&lt;wsp:rsid wsp:val=&quot;002136FA&quot;/&gt;&lt;wsp:rsid wsp:val=&quot;00213FE1&quot;/&gt;&lt;wsp:rsid wsp:val=&quot;002147D6&quot;/&gt;&lt;wsp:rsid wsp:val=&quot;00214C21&quot;/&gt;&lt;wsp:rsid wsp:val=&quot;002155B1&quot;/&gt;&lt;wsp:rsid wsp:val=&quot;00215710&quot;/&gt;&lt;wsp:rsid wsp:val=&quot;00216F4C&quot;/&gt;&lt;wsp:rsid wsp:val=&quot;00217532&quot;/&gt;&lt;wsp:rsid wsp:val=&quot;00217BCB&quot;/&gt;&lt;wsp:rsid wsp:val=&quot;002205FF&quot;/&gt;&lt;wsp:rsid wsp:val=&quot;00220660&quot;/&gt;&lt;wsp:rsid wsp:val=&quot;002208BF&quot;/&gt;&lt;wsp:rsid wsp:val=&quot;00221387&quot;/&gt;&lt;wsp:rsid wsp:val=&quot;0022145A&quot;/&gt;&lt;wsp:rsid wsp:val=&quot;00223DB1&quot;/&gt;&lt;wsp:rsid wsp:val=&quot;002247E9&quot;/&gt;&lt;wsp:rsid wsp:val=&quot;002250E7&quot;/&gt;&lt;wsp:rsid wsp:val=&quot;002254F3&quot;/&gt;&lt;wsp:rsid wsp:val=&quot;00225E14&quot;/&gt;&lt;wsp:rsid wsp:val=&quot;002262D3&quot;/&gt;&lt;wsp:rsid wsp:val=&quot;00226BB7&quot;/&gt;&lt;wsp:rsid wsp:val=&quot;00226C3F&quot;/&gt;&lt;wsp:rsid wsp:val=&quot;00227BE6&quot;/&gt;&lt;wsp:rsid wsp:val=&quot;00227C67&quot;/&gt;&lt;wsp:rsid wsp:val=&quot;00227FD9&quot;/&gt;&lt;wsp:rsid wsp:val=&quot;00230124&quot;/&gt;&lt;wsp:rsid wsp:val=&quot;00230D37&quot;/&gt;&lt;wsp:rsid wsp:val=&quot;00231375&quot;/&gt;&lt;wsp:rsid wsp:val=&quot;00231FD6&quot;/&gt;&lt;wsp:rsid wsp:val=&quot;00232652&quot;/&gt;&lt;wsp:rsid wsp:val=&quot;00235701&quot;/&gt;&lt;wsp:rsid wsp:val=&quot;00235B29&quot;/&gt;&lt;wsp:rsid wsp:val=&quot;00235E51&quot;/&gt;&lt;wsp:rsid wsp:val=&quot;002360B0&quot;/&gt;&lt;wsp:rsid wsp:val=&quot;002364DC&quot;/&gt;&lt;wsp:rsid wsp:val=&quot;002367CA&quot;/&gt;&lt;wsp:rsid wsp:val=&quot;00236CD1&quot;/&gt;&lt;wsp:rsid wsp:val=&quot;00236EFE&quot;/&gt;&lt;wsp:rsid wsp:val=&quot;00237E89&quot;/&gt;&lt;wsp:rsid wsp:val=&quot;0024047F&quot;/&gt;&lt;wsp:rsid wsp:val=&quot;002404F8&quot;/&gt;&lt;wsp:rsid wsp:val=&quot;0024097F&quot;/&gt;&lt;wsp:rsid wsp:val=&quot;00240A25&quot;/&gt;&lt;wsp:rsid wsp:val=&quot;00240D22&quot;/&gt;&lt;wsp:rsid wsp:val=&quot;002411CD&quot;/&gt;&lt;wsp:rsid wsp:val=&quot;00241C81&quot;/&gt;&lt;wsp:rsid wsp:val=&quot;0024220B&quot;/&gt;&lt;wsp:rsid wsp:val=&quot;002431E0&quot;/&gt;&lt;wsp:rsid wsp:val=&quot;00243B04&quot;/&gt;&lt;wsp:rsid wsp:val=&quot;00243DD4&quot;/&gt;&lt;wsp:rsid wsp:val=&quot;00244EFC&quot;/&gt;&lt;wsp:rsid wsp:val=&quot;002459E0&quot;/&gt;&lt;wsp:rsid wsp:val=&quot;00245BCF&quot;/&gt;&lt;wsp:rsid wsp:val=&quot;00245D2A&quot;/&gt;&lt;wsp:rsid wsp:val=&quot;002460B1&quot;/&gt;&lt;wsp:rsid wsp:val=&quot;002479B9&quot;/&gt;&lt;wsp:rsid wsp:val=&quot;00250301&quot;/&gt;&lt;wsp:rsid wsp:val=&quot;002505DE&quot;/&gt;&lt;wsp:rsid wsp:val=&quot;00250F1C&quot;/&gt;&lt;wsp:rsid wsp:val=&quot;00251009&quot;/&gt;&lt;wsp:rsid wsp:val=&quot;00251CEC&quot;/&gt;&lt;wsp:rsid wsp:val=&quot;002529DD&quot;/&gt;&lt;wsp:rsid wsp:val=&quot;00252B40&quot;/&gt;&lt;wsp:rsid wsp:val=&quot;00254369&quot;/&gt;&lt;wsp:rsid wsp:val=&quot;00254A94&quot;/&gt;&lt;wsp:rsid wsp:val=&quot;002550EA&quot;/&gt;&lt;wsp:rsid wsp:val=&quot;002551B5&quot;/&gt;&lt;wsp:rsid wsp:val=&quot;00255AC4&quot;/&gt;&lt;wsp:rsid wsp:val=&quot;0025728C&quot;/&gt;&lt;wsp:rsid wsp:val=&quot;00260674&quot;/&gt;&lt;wsp:rsid wsp:val=&quot;0026198F&quot;/&gt;&lt;wsp:rsid wsp:val=&quot;0026259D&quot;/&gt;&lt;wsp:rsid wsp:val=&quot;0026362A&quot;/&gt;&lt;wsp:rsid wsp:val=&quot;00264408&quot;/&gt;&lt;wsp:rsid wsp:val=&quot;00264838&quot;/&gt;&lt;wsp:rsid wsp:val=&quot;00264C34&quot;/&gt;&lt;wsp:rsid wsp:val=&quot;0026503E&quot;/&gt;&lt;wsp:rsid wsp:val=&quot;0026564C&quot;/&gt;&lt;wsp:rsid wsp:val=&quot;00265D7A&quot;/&gt;&lt;wsp:rsid wsp:val=&quot;00265E26&quot;/&gt;&lt;wsp:rsid wsp:val=&quot;00266952&quot;/&gt;&lt;wsp:rsid wsp:val=&quot;002669CB&quot;/&gt;&lt;wsp:rsid wsp:val=&quot;00267D7C&quot;/&gt;&lt;wsp:rsid wsp:val=&quot;00267E54&quot;/&gt;&lt;wsp:rsid wsp:val=&quot;00271288&quot;/&gt;&lt;wsp:rsid wsp:val=&quot;00271B26&quot;/&gt;&lt;wsp:rsid wsp:val=&quot;00272277&quot;/&gt;&lt;wsp:rsid wsp:val=&quot;00273364&quot;/&gt;&lt;wsp:rsid wsp:val=&quot;002733CD&quot;/&gt;&lt;wsp:rsid wsp:val=&quot;0027395C&quot;/&gt;&lt;wsp:rsid wsp:val=&quot;00273AA2&quot;/&gt;&lt;wsp:rsid wsp:val=&quot;002758D7&quot;/&gt;&lt;wsp:rsid wsp:val=&quot;0027650D&quot;/&gt;&lt;wsp:rsid wsp:val=&quot;00276903&quot;/&gt;&lt;wsp:rsid wsp:val=&quot;00276BA2&quot;/&gt;&lt;wsp:rsid wsp:val=&quot;002777F6&quot;/&gt;&lt;wsp:rsid wsp:val=&quot;002800C6&quot;/&gt;&lt;wsp:rsid wsp:val=&quot;0028043C&quot;/&gt;&lt;wsp:rsid wsp:val=&quot;002804E0&quot;/&gt;&lt;wsp:rsid wsp:val=&quot;00280AB0&quot;/&gt;&lt;wsp:rsid wsp:val=&quot;00280B29&quot;/&gt;&lt;wsp:rsid wsp:val=&quot;00281281&quot;/&gt;&lt;wsp:rsid wsp:val=&quot;00281688&quot;/&gt;&lt;wsp:rsid wsp:val=&quot;002824A2&quot;/&gt;&lt;wsp:rsid wsp:val=&quot;002824B5&quot;/&gt;&lt;wsp:rsid wsp:val=&quot;0028292D&quot;/&gt;&lt;wsp:rsid wsp:val=&quot;00282ECF&quot;/&gt;&lt;wsp:rsid wsp:val=&quot;00282F01&quot;/&gt;&lt;wsp:rsid wsp:val=&quot;00283C20&quot;/&gt;&lt;wsp:rsid wsp:val=&quot;00284118&quot;/&gt;&lt;wsp:rsid wsp:val=&quot;002855C4&quot;/&gt;&lt;wsp:rsid wsp:val=&quot;00285A21&quot;/&gt;&lt;wsp:rsid wsp:val=&quot;00285FFE&quot;/&gt;&lt;wsp:rsid wsp:val=&quot;002861BA&quot;/&gt;&lt;wsp:rsid wsp:val=&quot;0028641E&quot;/&gt;&lt;wsp:rsid wsp:val=&quot;00286483&quot;/&gt;&lt;wsp:rsid wsp:val=&quot;002869D8&quot;/&gt;&lt;wsp:rsid wsp:val=&quot;00286D61&quot;/&gt;&lt;wsp:rsid wsp:val=&quot;0028746E&quot;/&gt;&lt;wsp:rsid wsp:val=&quot;0029036C&quot;/&gt;&lt;wsp:rsid wsp:val=&quot;00290A58&quot;/&gt;&lt;wsp:rsid wsp:val=&quot;00290B24&quot;/&gt;&lt;wsp:rsid wsp:val=&quot;00290C35&quot;/&gt;&lt;wsp:rsid wsp:val=&quot;00291703&quot;/&gt;&lt;wsp:rsid wsp:val=&quot;00292674&quot;/&gt;&lt;wsp:rsid wsp:val=&quot;002927E8&quot;/&gt;&lt;wsp:rsid wsp:val=&quot;00292B77&quot;/&gt;&lt;wsp:rsid wsp:val=&quot;00295651&quot;/&gt;&lt;wsp:rsid wsp:val=&quot;00295AEC&quot;/&gt;&lt;wsp:rsid wsp:val=&quot;00295F37&quot;/&gt;&lt;wsp:rsid wsp:val=&quot;0029607C&quot;/&gt;&lt;wsp:rsid wsp:val=&quot;00296B71&quot;/&gt;&lt;wsp:rsid wsp:val=&quot;00296DB3&quot;/&gt;&lt;wsp:rsid wsp:val=&quot;002975ED&quot;/&gt;&lt;wsp:rsid wsp:val=&quot;002A0715&quot;/&gt;&lt;wsp:rsid wsp:val=&quot;002A10BD&quot;/&gt;&lt;wsp:rsid wsp:val=&quot;002A1435&quot;/&gt;&lt;wsp:rsid wsp:val=&quot;002A1663&quot;/&gt;&lt;wsp:rsid wsp:val=&quot;002A2230&quot;/&gt;&lt;wsp:rsid wsp:val=&quot;002A2592&quot;/&gt;&lt;wsp:rsid wsp:val=&quot;002A2767&quot;/&gt;&lt;wsp:rsid wsp:val=&quot;002A302A&quot;/&gt;&lt;wsp:rsid wsp:val=&quot;002A37FE&quot;/&gt;&lt;wsp:rsid wsp:val=&quot;002A3F26&quot;/&gt;&lt;wsp:rsid wsp:val=&quot;002A66AB&quot;/&gt;&lt;wsp:rsid wsp:val=&quot;002A7335&quot;/&gt;&lt;wsp:rsid wsp:val=&quot;002A77C1&quot;/&gt;&lt;wsp:rsid wsp:val=&quot;002A79A3&quot;/&gt;&lt;wsp:rsid wsp:val=&quot;002A7A37&quot;/&gt;&lt;wsp:rsid wsp:val=&quot;002B092B&quot;/&gt;&lt;wsp:rsid wsp:val=&quot;002B136A&quot;/&gt;&lt;wsp:rsid wsp:val=&quot;002B1547&quot;/&gt;&lt;wsp:rsid wsp:val=&quot;002B1DA4&quot;/&gt;&lt;wsp:rsid wsp:val=&quot;002B1F53&quot;/&gt;&lt;wsp:rsid wsp:val=&quot;002B20A2&quot;/&gt;&lt;wsp:rsid wsp:val=&quot;002B2BF5&quot;/&gt;&lt;wsp:rsid wsp:val=&quot;002B3C26&quot;/&gt;&lt;wsp:rsid wsp:val=&quot;002B430E&quot;/&gt;&lt;wsp:rsid wsp:val=&quot;002B4424&quot;/&gt;&lt;wsp:rsid wsp:val=&quot;002B5E01&quot;/&gt;&lt;wsp:rsid wsp:val=&quot;002B703F&quot;/&gt;&lt;wsp:rsid wsp:val=&quot;002B718D&quot;/&gt;&lt;wsp:rsid wsp:val=&quot;002B7195&quot;/&gt;&lt;wsp:rsid wsp:val=&quot;002B7A36&quot;/&gt;&lt;wsp:rsid wsp:val=&quot;002C1026&quot;/&gt;&lt;wsp:rsid wsp:val=&quot;002C2767&quot;/&gt;&lt;wsp:rsid wsp:val=&quot;002C3429&quot;/&gt;&lt;wsp:rsid wsp:val=&quot;002C4C62&quot;/&gt;&lt;wsp:rsid wsp:val=&quot;002C4CB7&quot;/&gt;&lt;wsp:rsid wsp:val=&quot;002C551E&quot;/&gt;&lt;wsp:rsid wsp:val=&quot;002C5E0E&quot;/&gt;&lt;wsp:rsid wsp:val=&quot;002C617C&quot;/&gt;&lt;wsp:rsid wsp:val=&quot;002C69EF&quot;/&gt;&lt;wsp:rsid wsp:val=&quot;002C6A32&quot;/&gt;&lt;wsp:rsid wsp:val=&quot;002C6C47&quot;/&gt;&lt;wsp:rsid wsp:val=&quot;002D1CFD&quot;/&gt;&lt;wsp:rsid wsp:val=&quot;002D24FA&quot;/&gt;&lt;wsp:rsid wsp:val=&quot;002D2659&quot;/&gt;&lt;wsp:rsid wsp:val=&quot;002D33BE&quot;/&gt;&lt;wsp:rsid wsp:val=&quot;002D345A&quot;/&gt;&lt;wsp:rsid wsp:val=&quot;002D3635&quot;/&gt;&lt;wsp:rsid wsp:val=&quot;002D4370&quot;/&gt;&lt;wsp:rsid wsp:val=&quot;002D479C&quot;/&gt;&lt;wsp:rsid wsp:val=&quot;002D47D8&quot;/&gt;&lt;wsp:rsid wsp:val=&quot;002D5295&quot;/&gt;&lt;wsp:rsid wsp:val=&quot;002D599D&quot;/&gt;&lt;wsp:rsid wsp:val=&quot;002D72D3&quot;/&gt;&lt;wsp:rsid wsp:val=&quot;002D732F&quot;/&gt;&lt;wsp:rsid wsp:val=&quot;002D7776&quot;/&gt;&lt;wsp:rsid wsp:val=&quot;002D783E&quot;/&gt;&lt;wsp:rsid wsp:val=&quot;002E05C2&quot;/&gt;&lt;wsp:rsid wsp:val=&quot;002E0C7D&quot;/&gt;&lt;wsp:rsid wsp:val=&quot;002E0CE1&quot;/&gt;&lt;wsp:rsid wsp:val=&quot;002E0F7D&quot;/&gt;&lt;wsp:rsid wsp:val=&quot;002E23EA&quot;/&gt;&lt;wsp:rsid wsp:val=&quot;002E263E&quot;/&gt;&lt;wsp:rsid wsp:val=&quot;002E3A6A&quot;/&gt;&lt;wsp:rsid wsp:val=&quot;002E3C99&quot;/&gt;&lt;wsp:rsid wsp:val=&quot;002E3DBB&quot;/&gt;&lt;wsp:rsid wsp:val=&quot;002E52C2&quot;/&gt;&lt;wsp:rsid wsp:val=&quot;002E69F2&quot;/&gt;&lt;wsp:rsid wsp:val=&quot;002E7153&quot;/&gt;&lt;wsp:rsid wsp:val=&quot;002F00DF&quot;/&gt;&lt;wsp:rsid wsp:val=&quot;002F0C16&quot;/&gt;&lt;wsp:rsid wsp:val=&quot;002F0F96&quot;/&gt;&lt;wsp:rsid wsp:val=&quot;002F141E&quot;/&gt;&lt;wsp:rsid wsp:val=&quot;002F180C&quot;/&gt;&lt;wsp:rsid wsp:val=&quot;002F1EDD&quot;/&gt;&lt;wsp:rsid wsp:val=&quot;002F25B4&quot;/&gt;&lt;wsp:rsid wsp:val=&quot;002F3BF6&quot;/&gt;&lt;wsp:rsid wsp:val=&quot;002F3D6B&quot;/&gt;&lt;wsp:rsid wsp:val=&quot;002F41B3&quot;/&gt;&lt;wsp:rsid wsp:val=&quot;002F47DB&quot;/&gt;&lt;wsp:rsid wsp:val=&quot;002F66B7&quot;/&gt;&lt;wsp:rsid wsp:val=&quot;002F6BB0&quot;/&gt;&lt;wsp:rsid wsp:val=&quot;002F6CD9&quot;/&gt;&lt;wsp:rsid wsp:val=&quot;002F7D3B&quot;/&gt;&lt;wsp:rsid wsp:val=&quot;0030003D&quot;/&gt;&lt;wsp:rsid wsp:val=&quot;0030039D&quot;/&gt;&lt;wsp:rsid wsp:val=&quot;0030157F&quot;/&gt;&lt;wsp:rsid wsp:val=&quot;00301D28&quot;/&gt;&lt;wsp:rsid wsp:val=&quot;0030215D&quot;/&gt;&lt;wsp:rsid wsp:val=&quot;0030298D&quot;/&gt;&lt;wsp:rsid wsp:val=&quot;00302D4D&quot;/&gt;&lt;wsp:rsid wsp:val=&quot;00303253&quot;/&gt;&lt;wsp:rsid wsp:val=&quot;00303491&quot;/&gt;&lt;wsp:rsid wsp:val=&quot;00303813&quot;/&gt;&lt;wsp:rsid wsp:val=&quot;00303859&quot;/&gt;&lt;wsp:rsid wsp:val=&quot;003038BE&quot;/&gt;&lt;wsp:rsid wsp:val=&quot;00303B02&quot;/&gt;&lt;wsp:rsid wsp:val=&quot;00303FBF&quot;/&gt;&lt;wsp:rsid wsp:val=&quot;00304212&quot;/&gt;&lt;wsp:rsid wsp:val=&quot;0030448F&quot;/&gt;&lt;wsp:rsid wsp:val=&quot;00306E2B&quot;/&gt;&lt;wsp:rsid wsp:val=&quot;00307386&quot;/&gt;&lt;wsp:rsid wsp:val=&quot;00307750&quot;/&gt;&lt;wsp:rsid wsp:val=&quot;003112BE&quot;/&gt;&lt;wsp:rsid wsp:val=&quot;0031168C&quot;/&gt;&lt;wsp:rsid wsp:val=&quot;00311719&quot;/&gt;&lt;wsp:rsid wsp:val=&quot;003117B9&quot;/&gt;&lt;wsp:rsid wsp:val=&quot;003119F0&quot;/&gt;&lt;wsp:rsid wsp:val=&quot;0031290A&quot;/&gt;&lt;wsp:rsid wsp:val=&quot;00312D6E&quot;/&gt;&lt;wsp:rsid wsp:val=&quot;00313253&quot;/&gt;&lt;wsp:rsid wsp:val=&quot;00313BED&quot;/&gt;&lt;wsp:rsid wsp:val=&quot;0031415F&quot;/&gt;&lt;wsp:rsid wsp:val=&quot;003157C4&quot;/&gt;&lt;wsp:rsid wsp:val=&quot;00316465&quot;/&gt;&lt;wsp:rsid wsp:val=&quot;00316676&quot;/&gt;&lt;wsp:rsid wsp:val=&quot;00316786&quot;/&gt;&lt;wsp:rsid wsp:val=&quot;00316C4E&quot;/&gt;&lt;wsp:rsid wsp:val=&quot;0031731C&quot;/&gt;&lt;wsp:rsid wsp:val=&quot;00317320&quot;/&gt;&lt;wsp:rsid wsp:val=&quot;00317FBC&quot;/&gt;&lt;wsp:rsid wsp:val=&quot;00320197&quot;/&gt;&lt;wsp:rsid wsp:val=&quot;00320907&quot;/&gt;&lt;wsp:rsid wsp:val=&quot;00320E63&quot;/&gt;&lt;wsp:rsid wsp:val=&quot;00321F3C&quot;/&gt;&lt;wsp:rsid wsp:val=&quot;0032226D&quot;/&gt;&lt;wsp:rsid wsp:val=&quot;00322F69&quot;/&gt;&lt;wsp:rsid wsp:val=&quot;003232AD&quot;/&gt;&lt;wsp:rsid wsp:val=&quot;003243D2&quot;/&gt;&lt;wsp:rsid wsp:val=&quot;00324C9E&quot;/&gt;&lt;wsp:rsid wsp:val=&quot;00324EE1&quot;/&gt;&lt;wsp:rsid wsp:val=&quot;00325297&quot;/&gt;&lt;wsp:rsid wsp:val=&quot;00325931&quot;/&gt;&lt;wsp:rsid wsp:val=&quot;0032769B&quot;/&gt;&lt;wsp:rsid wsp:val=&quot;00327B0E&quot;/&gt;&lt;wsp:rsid wsp:val=&quot;0033005E&quot;/&gt;&lt;wsp:rsid wsp:val=&quot;00330DE8&quot;/&gt;&lt;wsp:rsid wsp:val=&quot;00330FD6&quot;/&gt;&lt;wsp:rsid wsp:val=&quot;003311B2&quot;/&gt;&lt;wsp:rsid wsp:val=&quot;00331B43&quot;/&gt;&lt;wsp:rsid wsp:val=&quot;0033347C&quot;/&gt;&lt;wsp:rsid wsp:val=&quot;003334F0&quot;/&gt;&lt;wsp:rsid wsp:val=&quot;00333812&quot;/&gt;&lt;wsp:rsid wsp:val=&quot;003338ED&quot;/&gt;&lt;wsp:rsid wsp:val=&quot;00334124&quot;/&gt;&lt;wsp:rsid wsp:val=&quot;00334E1B&quot;/&gt;&lt;wsp:rsid wsp:val=&quot;00335B7C&quot;/&gt;&lt;wsp:rsid wsp:val=&quot;00336D5F&quot;/&gt;&lt;wsp:rsid wsp:val=&quot;00336EC7&quot;/&gt;&lt;wsp:rsid wsp:val=&quot;00337F97&quot;/&gt;&lt;wsp:rsid wsp:val=&quot;00340EE5&quot;/&gt;&lt;wsp:rsid wsp:val=&quot;003418B2&quot;/&gt;&lt;wsp:rsid wsp:val=&quot;00341CC0&quot;/&gt;&lt;wsp:rsid wsp:val=&quot;00343116&quot;/&gt;&lt;wsp:rsid wsp:val=&quot;00344D0D&quot;/&gt;&lt;wsp:rsid wsp:val=&quot;00345B93&quot;/&gt;&lt;wsp:rsid wsp:val=&quot;003465A3&quot;/&gt;&lt;wsp:rsid wsp:val=&quot;00346E7C&quot;/&gt;&lt;wsp:rsid wsp:val=&quot;00346E91&quot;/&gt;&lt;wsp:rsid wsp:val=&quot;00347279&quot;/&gt;&lt;wsp:rsid wsp:val=&quot;0034794B&quot;/&gt;&lt;wsp:rsid wsp:val=&quot;00347FA4&quot;/&gt;&lt;wsp:rsid wsp:val=&quot;00347FCC&quot;/&gt;&lt;wsp:rsid wsp:val=&quot;00350AA2&quot;/&gt;&lt;wsp:rsid wsp:val=&quot;0035117D&quot;/&gt;&lt;wsp:rsid wsp:val=&quot;00351185&quot;/&gt;&lt;wsp:rsid wsp:val=&quot;003511EA&quot;/&gt;&lt;wsp:rsid wsp:val=&quot;00351364&quot;/&gt;&lt;wsp:rsid wsp:val=&quot;00352392&quot;/&gt;&lt;wsp:rsid wsp:val=&quot;0035255A&quot;/&gt;&lt;wsp:rsid wsp:val=&quot;00352A03&quot;/&gt;&lt;wsp:rsid wsp:val=&quot;00352B62&quot;/&gt;&lt;wsp:rsid wsp:val=&quot;003536E2&quot;/&gt;&lt;wsp:rsid wsp:val=&quot;003538E5&quot;/&gt;&lt;wsp:rsid wsp:val=&quot;00353C92&quot;/&gt;&lt;wsp:rsid wsp:val=&quot;00354216&quot;/&gt;&lt;wsp:rsid wsp:val=&quot;00354E3E&quot;/&gt;&lt;wsp:rsid wsp:val=&quot;00354E71&quot;/&gt;&lt;wsp:rsid wsp:val=&quot;0035523B&quot;/&gt;&lt;wsp:rsid wsp:val=&quot;00355D68&quot;/&gt;&lt;wsp:rsid wsp:val=&quot;003568CB&quot;/&gt;&lt;wsp:rsid wsp:val=&quot;00356BE5&quot;/&gt;&lt;wsp:rsid wsp:val=&quot;003572CA&quot;/&gt;&lt;wsp:rsid wsp:val=&quot;00360895&quot;/&gt;&lt;wsp:rsid wsp:val=&quot;00361134&quot;/&gt;&lt;wsp:rsid wsp:val=&quot;0036184B&quot;/&gt;&lt;wsp:rsid wsp:val=&quot;003620E5&quot;/&gt;&lt;wsp:rsid wsp:val=&quot;003622B9&quot;/&gt;&lt;wsp:rsid wsp:val=&quot;00362676&quot;/&gt;&lt;wsp:rsid wsp:val=&quot;00362B58&quot;/&gt;&lt;wsp:rsid wsp:val=&quot;0036367E&quot;/&gt;&lt;wsp:rsid wsp:val=&quot;00364747&quot;/&gt;&lt;wsp:rsid wsp:val=&quot;003649ED&quot;/&gt;&lt;wsp:rsid wsp:val=&quot;00364A33&quot;/&gt;&lt;wsp:rsid wsp:val=&quot;003659F9&quot;/&gt;&lt;wsp:rsid wsp:val=&quot;00365E38&quot;/&gt;&lt;wsp:rsid wsp:val=&quot;00366294&quot;/&gt;&lt;wsp:rsid wsp:val=&quot;003667DE&quot;/&gt;&lt;wsp:rsid wsp:val=&quot;003676AE&quot;/&gt;&lt;wsp:rsid wsp:val=&quot;00367E31&quot;/&gt;&lt;wsp:rsid wsp:val=&quot;003704CF&quot;/&gt;&lt;wsp:rsid wsp:val=&quot;00371216&quot;/&gt;&lt;wsp:rsid wsp:val=&quot;00371DB5&quot;/&gt;&lt;wsp:rsid wsp:val=&quot;00372FD7&quot;/&gt;&lt;wsp:rsid wsp:val=&quot;00373371&quot;/&gt;&lt;wsp:rsid wsp:val=&quot;003744E3&quot;/&gt;&lt;wsp:rsid wsp:val=&quot;00375692&quot;/&gt;&lt;wsp:rsid wsp:val=&quot;00375CC7&quot;/&gt;&lt;wsp:rsid wsp:val=&quot;00376039&quot;/&gt;&lt;wsp:rsid wsp:val=&quot;00376C0D&quot;/&gt;&lt;wsp:rsid wsp:val=&quot;00376C34&quot;/&gt;&lt;wsp:rsid wsp:val=&quot;003777C3&quot;/&gt;&lt;wsp:rsid wsp:val=&quot;00377A58&quot;/&gt;&lt;wsp:rsid wsp:val=&quot;00377BF7&quot;/&gt;&lt;wsp:rsid wsp:val=&quot;003801D4&quot;/&gt;&lt;wsp:rsid wsp:val=&quot;0038057B&quot;/&gt;&lt;wsp:rsid wsp:val=&quot;00380BAA&quot;/&gt;&lt;wsp:rsid wsp:val=&quot;00380EAB&quot;/&gt;&lt;wsp:rsid wsp:val=&quot;00381B3C&quot;/&gt;&lt;wsp:rsid wsp:val=&quot;00381B5C&quot;/&gt;&lt;wsp:rsid wsp:val=&quot;0038202B&quot;/&gt;&lt;wsp:rsid wsp:val=&quot;00382761&quot;/&gt;&lt;wsp:rsid wsp:val=&quot;00382BDF&quot;/&gt;&lt;wsp:rsid wsp:val=&quot;00383892&quot;/&gt;&lt;wsp:rsid wsp:val=&quot;00383E68&quot;/&gt;&lt;wsp:rsid wsp:val=&quot;00383EE3&quot;/&gt;&lt;wsp:rsid wsp:val=&quot;003847F3&quot;/&gt;&lt;wsp:rsid wsp:val=&quot;00384833&quot;/&gt;&lt;wsp:rsid wsp:val=&quot;00384924&quot;/&gt;&lt;wsp:rsid wsp:val=&quot;00385C47&quot;/&gt;&lt;wsp:rsid wsp:val=&quot;00385D52&quot;/&gt;&lt;wsp:rsid wsp:val=&quot;00385E03&quot;/&gt;&lt;wsp:rsid wsp:val=&quot;003861A2&quot;/&gt;&lt;wsp:rsid wsp:val=&quot;00386752&quot;/&gt;&lt;wsp:rsid wsp:val=&quot;00386EBD&quot;/&gt;&lt;wsp:rsid wsp:val=&quot;00391B91&quot;/&gt;&lt;wsp:rsid wsp:val=&quot;00391D40&quot;/&gt;&lt;wsp:rsid wsp:val=&quot;003920B6&quot;/&gt;&lt;wsp:rsid wsp:val=&quot;003921A5&quot;/&gt;&lt;wsp:rsid wsp:val=&quot;003926BC&quot;/&gt;&lt;wsp:rsid wsp:val=&quot;00392976&quot;/&gt;&lt;wsp:rsid wsp:val=&quot;00392B62&quot;/&gt;&lt;wsp:rsid wsp:val=&quot;00393335&quot;/&gt;&lt;wsp:rsid wsp:val=&quot;003934FC&quot;/&gt;&lt;wsp:rsid wsp:val=&quot;00393971&quot;/&gt;&lt;wsp:rsid wsp:val=&quot;003939E2&quot;/&gt;&lt;wsp:rsid wsp:val=&quot;00393DE0&quot;/&gt;&lt;wsp:rsid wsp:val=&quot;00393EF0&quot;/&gt;&lt;wsp:rsid wsp:val=&quot;0039468E&quot;/&gt;&lt;wsp:rsid wsp:val=&quot;00394C64&quot;/&gt;&lt;wsp:rsid wsp:val=&quot;00394D0F&quot;/&gt;&lt;wsp:rsid wsp:val=&quot;003950C8&quot;/&gt;&lt;wsp:rsid wsp:val=&quot;003967CF&quot;/&gt;&lt;wsp:rsid wsp:val=&quot;0039767E&quot;/&gt;&lt;wsp:rsid wsp:val=&quot;00397AB1&quot;/&gt;&lt;wsp:rsid wsp:val=&quot;003A0554&quot;/&gt;&lt;wsp:rsid wsp:val=&quot;003A0B69&quot;/&gt;&lt;wsp:rsid wsp:val=&quot;003A0C70&quot;/&gt;&lt;wsp:rsid wsp:val=&quot;003A2002&quot;/&gt;&lt;wsp:rsid wsp:val=&quot;003A205A&quot;/&gt;&lt;wsp:rsid wsp:val=&quot;003A26CF&quot;/&gt;&lt;wsp:rsid wsp:val=&quot;003A27CB&quot;/&gt;&lt;wsp:rsid wsp:val=&quot;003A3A83&quot;/&gt;&lt;wsp:rsid wsp:val=&quot;003A3B56&quot;/&gt;&lt;wsp:rsid wsp:val=&quot;003A3F37&quot;/&gt;&lt;wsp:rsid wsp:val=&quot;003A476D&quot;/&gt;&lt;wsp:rsid wsp:val=&quot;003A4FC5&quot;/&gt;&lt;wsp:rsid wsp:val=&quot;003A500C&quot;/&gt;&lt;wsp:rsid wsp:val=&quot;003A5F48&quot;/&gt;&lt;wsp:rsid wsp:val=&quot;003A5FBA&quot;/&gt;&lt;wsp:rsid wsp:val=&quot;003A79D0&quot;/&gt;&lt;wsp:rsid wsp:val=&quot;003B0854&quot;/&gt;&lt;wsp:rsid wsp:val=&quot;003B0BF8&quot;/&gt;&lt;wsp:rsid wsp:val=&quot;003B0F46&quot;/&gt;&lt;wsp:rsid wsp:val=&quot;003B2E90&quot;/&gt;&lt;wsp:rsid wsp:val=&quot;003B3BF6&quot;/&gt;&lt;wsp:rsid wsp:val=&quot;003B3E27&quot;/&gt;&lt;wsp:rsid wsp:val=&quot;003B51C1&quot;/&gt;&lt;wsp:rsid wsp:val=&quot;003B5E95&quot;/&gt;&lt;wsp:rsid wsp:val=&quot;003B6066&quot;/&gt;&lt;wsp:rsid wsp:val=&quot;003B667E&quot;/&gt;&lt;wsp:rsid wsp:val=&quot;003B7692&quot;/&gt;&lt;wsp:rsid wsp:val=&quot;003C063B&quot;/&gt;&lt;wsp:rsid wsp:val=&quot;003C07AE&quot;/&gt;&lt;wsp:rsid wsp:val=&quot;003C18B6&quot;/&gt;&lt;wsp:rsid wsp:val=&quot;003C1971&quot;/&gt;&lt;wsp:rsid wsp:val=&quot;003C26D4&quot;/&gt;&lt;wsp:rsid wsp:val=&quot;003C3168&quot;/&gt;&lt;wsp:rsid wsp:val=&quot;003C3A42&quot;/&gt;&lt;wsp:rsid wsp:val=&quot;003C42D6&quot;/&gt;&lt;wsp:rsid wsp:val=&quot;003C532F&quot;/&gt;&lt;wsp:rsid wsp:val=&quot;003C7462&quot;/&gt;&lt;wsp:rsid wsp:val=&quot;003C7BE6&quot;/&gt;&lt;wsp:rsid wsp:val=&quot;003D0DD7&quot;/&gt;&lt;wsp:rsid wsp:val=&quot;003D14E9&quot;/&gt;&lt;wsp:rsid wsp:val=&quot;003D19CE&quot;/&gt;&lt;wsp:rsid wsp:val=&quot;003D1BAD&quot;/&gt;&lt;wsp:rsid wsp:val=&quot;003D1BD8&quot;/&gt;&lt;wsp:rsid wsp:val=&quot;003D1C29&quot;/&gt;&lt;wsp:rsid wsp:val=&quot;003D26DB&quot;/&gt;&lt;wsp:rsid wsp:val=&quot;003D305E&quot;/&gt;&lt;wsp:rsid wsp:val=&quot;003D3197&quot;/&gt;&lt;wsp:rsid wsp:val=&quot;003D36CA&quot;/&gt;&lt;wsp:rsid wsp:val=&quot;003D39F2&quot;/&gt;&lt;wsp:rsid wsp:val=&quot;003D3CD0&quot;/&gt;&lt;wsp:rsid wsp:val=&quot;003D3EAA&quot;/&gt;&lt;wsp:rsid wsp:val=&quot;003D519F&quot;/&gt;&lt;wsp:rsid wsp:val=&quot;003D526F&quot;/&gt;&lt;wsp:rsid wsp:val=&quot;003D5CB0&quot;/&gt;&lt;wsp:rsid wsp:val=&quot;003D6C14&quot;/&gt;&lt;wsp:rsid wsp:val=&quot;003D72B1&quot;/&gt;&lt;wsp:rsid wsp:val=&quot;003E021E&quot;/&gt;&lt;wsp:rsid wsp:val=&quot;003E0B41&quot;/&gt;&lt;wsp:rsid wsp:val=&quot;003E0E5D&quot;/&gt;&lt;wsp:rsid wsp:val=&quot;003E0E8F&quot;/&gt;&lt;wsp:rsid wsp:val=&quot;003E1AB4&quot;/&gt;&lt;wsp:rsid wsp:val=&quot;003E2948&quot;/&gt;&lt;wsp:rsid wsp:val=&quot;003E2D21&quot;/&gt;&lt;wsp:rsid wsp:val=&quot;003E3056&quot;/&gt;&lt;wsp:rsid wsp:val=&quot;003E3552&quot;/&gt;&lt;wsp:rsid wsp:val=&quot;003E3B68&quot;/&gt;&lt;wsp:rsid wsp:val=&quot;003E48D1&quot;/&gt;&lt;wsp:rsid wsp:val=&quot;003E4DC0&quot;/&gt;&lt;wsp:rsid wsp:val=&quot;003E5008&quot;/&gt;&lt;wsp:rsid wsp:val=&quot;003E55D0&quot;/&gt;&lt;wsp:rsid wsp:val=&quot;003E671A&quot;/&gt;&lt;wsp:rsid wsp:val=&quot;003E7043&quot;/&gt;&lt;wsp:rsid wsp:val=&quot;003E7B7F&quot;/&gt;&lt;wsp:rsid wsp:val=&quot;003F0204&quot;/&gt;&lt;wsp:rsid wsp:val=&quot;003F0309&quot;/&gt;&lt;wsp:rsid wsp:val=&quot;003F13F0&quot;/&gt;&lt;wsp:rsid wsp:val=&quot;003F1D21&quot;/&gt;&lt;wsp:rsid wsp:val=&quot;003F1D63&quot;/&gt;&lt;wsp:rsid wsp:val=&quot;003F388E&quot;/&gt;&lt;wsp:rsid wsp:val=&quot;003F3AF2&quot;/&gt;&lt;wsp:rsid wsp:val=&quot;003F4662&quot;/&gt;&lt;wsp:rsid wsp:val=&quot;003F4D28&quot;/&gt;&lt;wsp:rsid wsp:val=&quot;003F4E20&quot;/&gt;&lt;wsp:rsid wsp:val=&quot;003F5D37&quot;/&gt;&lt;wsp:rsid wsp:val=&quot;003F64DA&quot;/&gt;&lt;wsp:rsid wsp:val=&quot;003F7AA2&quot;/&gt;&lt;wsp:rsid wsp:val=&quot;003F7D2C&quot;/&gt;&lt;wsp:rsid wsp:val=&quot;00400404&quot;/&gt;&lt;wsp:rsid wsp:val=&quot;004012FF&quot;/&gt;&lt;wsp:rsid wsp:val=&quot;00401481&quot;/&gt;&lt;wsp:rsid wsp:val=&quot;004027FA&quot;/&gt;&lt;wsp:rsid wsp:val=&quot;00402C66&quot;/&gt;&lt;wsp:rsid wsp:val=&quot;00403686&quot;/&gt;&lt;wsp:rsid wsp:val=&quot;00403CAA&quot;/&gt;&lt;wsp:rsid wsp:val=&quot;00404B7E&quot;/&gt;&lt;wsp:rsid wsp:val=&quot;00405233&quot;/&gt;&lt;wsp:rsid wsp:val=&quot;00405A03&quot;/&gt;&lt;wsp:rsid wsp:val=&quot;00405CB8&quot;/&gt;&lt;wsp:rsid wsp:val=&quot;0040641A&quot;/&gt;&lt;wsp:rsid wsp:val=&quot;004072CB&quot;/&gt;&lt;wsp:rsid wsp:val=&quot;0040745E&quot;/&gt;&lt;wsp:rsid wsp:val=&quot;00407C06&quot;/&gt;&lt;wsp:rsid wsp:val=&quot;0041007A&quot;/&gt;&lt;wsp:rsid wsp:val=&quot;00410B0A&quot;/&gt;&lt;wsp:rsid wsp:val=&quot;00410D07&quot;/&gt;&lt;wsp:rsid wsp:val=&quot;004111D7&quot;/&gt;&lt;wsp:rsid wsp:val=&quot;00411421&quot;/&gt;&lt;wsp:rsid wsp:val=&quot;0041143B&quot;/&gt;&lt;wsp:rsid wsp:val=&quot;00411A8A&quot;/&gt;&lt;wsp:rsid wsp:val=&quot;00411F22&quot;/&gt;&lt;wsp:rsid wsp:val=&quot;004124BF&quot;/&gt;&lt;wsp:rsid wsp:val=&quot;00412611&quot;/&gt;&lt;wsp:rsid wsp:val=&quot;00412FF9&quot;/&gt;&lt;wsp:rsid wsp:val=&quot;004133EE&quot;/&gt;&lt;wsp:rsid wsp:val=&quot;00413A21&quot;/&gt;&lt;wsp:rsid wsp:val=&quot;00414937&quot;/&gt;&lt;wsp:rsid wsp:val=&quot;00414E87&quot;/&gt;&lt;wsp:rsid wsp:val=&quot;0041502A&quot;/&gt;&lt;wsp:rsid wsp:val=&quot;00415610&quot;/&gt;&lt;wsp:rsid wsp:val=&quot;004160BB&quot;/&gt;&lt;wsp:rsid wsp:val=&quot;004167E0&quot;/&gt;&lt;wsp:rsid wsp:val=&quot;00417120&quot;/&gt;&lt;wsp:rsid wsp:val=&quot;00420686&quot;/&gt;&lt;wsp:rsid wsp:val=&quot;00420C9B&quot;/&gt;&lt;wsp:rsid wsp:val=&quot;00420EFE&quot;/&gt;&lt;wsp:rsid wsp:val=&quot;00421B27&quot;/&gt;&lt;wsp:rsid wsp:val=&quot;0042347B&quot;/&gt;&lt;wsp:rsid wsp:val=&quot;004243C3&quot;/&gt;&lt;wsp:rsid wsp:val=&quot;00424608&quot;/&gt;&lt;wsp:rsid wsp:val=&quot;00425007&quot;/&gt;&lt;wsp:rsid wsp:val=&quot;004256BE&quot;/&gt;&lt;wsp:rsid wsp:val=&quot;004257F3&quot;/&gt;&lt;wsp:rsid wsp:val=&quot;00426B8A&quot;/&gt;&lt;wsp:rsid wsp:val=&quot;00426D0B&quot;/&gt;&lt;wsp:rsid wsp:val=&quot;0042751C&quot;/&gt;&lt;wsp:rsid wsp:val=&quot;00427AC4&quot;/&gt;&lt;wsp:rsid wsp:val=&quot;004305CB&quot;/&gt;&lt;wsp:rsid wsp:val=&quot;004313CA&quot;/&gt;&lt;wsp:rsid wsp:val=&quot;00432386&quot;/&gt;&lt;wsp:rsid wsp:val=&quot;00432D72&quot;/&gt;&lt;wsp:rsid wsp:val=&quot;004331B6&quot;/&gt;&lt;wsp:rsid wsp:val=&quot;004346BD&quot;/&gt;&lt;wsp:rsid wsp:val=&quot;00435001&quot;/&gt;&lt;wsp:rsid wsp:val=&quot;0043611E&quot;/&gt;&lt;wsp:rsid wsp:val=&quot;0043619A&quot;/&gt;&lt;wsp:rsid wsp:val=&quot;004364D5&quot;/&gt;&lt;wsp:rsid wsp:val=&quot;00437354&quot;/&gt;&lt;wsp:rsid wsp:val=&quot;004379D5&quot;/&gt;&lt;wsp:rsid wsp:val=&quot;00440009&quot;/&gt;&lt;wsp:rsid wsp:val=&quot;00441B30&quot;/&gt;&lt;wsp:rsid wsp:val=&quot;00441FED&quot;/&gt;&lt;wsp:rsid wsp:val=&quot;00442034&quot;/&gt;&lt;wsp:rsid wsp:val=&quot;00442460&quot;/&gt;&lt;wsp:rsid wsp:val=&quot;00442542&quot;/&gt;&lt;wsp:rsid wsp:val=&quot;00443F2C&quot;/&gt;&lt;wsp:rsid wsp:val=&quot;00444B56&quot;/&gt;&lt;wsp:rsid wsp:val=&quot;00445007&quot;/&gt;&lt;wsp:rsid wsp:val=&quot;004463EA&quot;/&gt;&lt;wsp:rsid wsp:val=&quot;00446EFB&quot;/&gt;&lt;wsp:rsid wsp:val=&quot;00447E0D&quot;/&gt;&lt;wsp:rsid wsp:val=&quot;004504CD&quot;/&gt;&lt;wsp:rsid wsp:val=&quot;00450801&quot;/&gt;&lt;wsp:rsid wsp:val=&quot;00451316&quot;/&gt;&lt;wsp:rsid wsp:val=&quot;00451711&quot;/&gt;&lt;wsp:rsid wsp:val=&quot;00451BBC&quot;/&gt;&lt;wsp:rsid wsp:val=&quot;00452D88&quot;/&gt;&lt;wsp:rsid wsp:val=&quot;004536B6&quot;/&gt;&lt;wsp:rsid wsp:val=&quot;00453899&quot;/&gt;&lt;wsp:rsid wsp:val=&quot;00453E9C&quot;/&gt;&lt;wsp:rsid wsp:val=&quot;0045437D&quot;/&gt;&lt;wsp:rsid wsp:val=&quot;0045450D&quot;/&gt;&lt;wsp:rsid wsp:val=&quot;0045507E&quot;/&gt;&lt;wsp:rsid wsp:val=&quot;00455233&quot;/&gt;&lt;wsp:rsid wsp:val=&quot;004556CC&quot;/&gt;&lt;wsp:rsid wsp:val=&quot;00456EE3&quot;/&gt;&lt;wsp:rsid wsp:val=&quot;0045701C&quot;/&gt;&lt;wsp:rsid wsp:val=&quot;00460C00&quot;/&gt;&lt;wsp:rsid wsp:val=&quot;00460CF7&quot;/&gt;&lt;wsp:rsid wsp:val=&quot;00460D59&quot;/&gt;&lt;wsp:rsid wsp:val=&quot;004613FC&quot;/&gt;&lt;wsp:rsid wsp:val=&quot;00461A2B&quot;/&gt;&lt;wsp:rsid wsp:val=&quot;00461A44&quot;/&gt;&lt;wsp:rsid wsp:val=&quot;004621AC&quot;/&gt;&lt;wsp:rsid wsp:val=&quot;00462666&quot;/&gt;&lt;wsp:rsid wsp:val=&quot;00462B7F&quot;/&gt;&lt;wsp:rsid wsp:val=&quot;004631B0&quot;/&gt;&lt;wsp:rsid wsp:val=&quot;00466A46&quot;/&gt;&lt;wsp:rsid wsp:val=&quot;00466B2D&quot;/&gt;&lt;wsp:rsid wsp:val=&quot;00466F17&quot;/&gt;&lt;wsp:rsid wsp:val=&quot;004673D1&quot;/&gt;&lt;wsp:rsid wsp:val=&quot;00467973&quot;/&gt;&lt;wsp:rsid wsp:val=&quot;004703F3&quot;/&gt;&lt;wsp:rsid wsp:val=&quot;004727D9&quot;/&gt;&lt;wsp:rsid wsp:val=&quot;00473816&quot;/&gt;&lt;wsp:rsid wsp:val=&quot;00474A34&quot;/&gt;&lt;wsp:rsid wsp:val=&quot;00474BDD&quot;/&gt;&lt;wsp:rsid wsp:val=&quot;00474E48&quot;/&gt;&lt;wsp:rsid wsp:val=&quot;00475D30&quot;/&gt;&lt;wsp:rsid wsp:val=&quot;004770CF&quot;/&gt;&lt;wsp:rsid wsp:val=&quot;00480156&quot;/&gt;&lt;wsp:rsid wsp:val=&quot;00481396&quot;/&gt;&lt;wsp:rsid wsp:val=&quot;0048140F&quot;/&gt;&lt;wsp:rsid wsp:val=&quot;004816A5&quot;/&gt;&lt;wsp:rsid wsp:val=&quot;00481A91&quot;/&gt;&lt;wsp:rsid wsp:val=&quot;004822EF&quot;/&gt;&lt;wsp:rsid wsp:val=&quot;00482D5D&quot;/&gt;&lt;wsp:rsid wsp:val=&quot;004837E6&quot;/&gt;&lt;wsp:rsid wsp:val=&quot;00484094&quot;/&gt;&lt;wsp:rsid wsp:val=&quot;0048443B&quot;/&gt;&lt;wsp:rsid wsp:val=&quot;004855FE&quot;/&gt;&lt;wsp:rsid wsp:val=&quot;00487D2D&quot;/&gt;&lt;wsp:rsid wsp:val=&quot;00490766&quot;/&gt;&lt;wsp:rsid wsp:val=&quot;00490EB4&quot;/&gt;&lt;wsp:rsid wsp:val=&quot;00491714&quot;/&gt;&lt;wsp:rsid wsp:val=&quot;00491DF7&quot;/&gt;&lt;wsp:rsid wsp:val=&quot;00492838&quot;/&gt;&lt;wsp:rsid wsp:val=&quot;004938C1&quot;/&gt;&lt;wsp:rsid wsp:val=&quot;004940B3&quot;/&gt;&lt;wsp:rsid wsp:val=&quot;00494E00&quot;/&gt;&lt;wsp:rsid wsp:val=&quot;00494FD1&quot;/&gt;&lt;wsp:rsid wsp:val=&quot;00495BF7&quot;/&gt;&lt;wsp:rsid wsp:val=&quot;00495E77&quot;/&gt;&lt;wsp:rsid wsp:val=&quot;00496D64&quot;/&gt;&lt;wsp:rsid wsp:val=&quot;00497358&quot;/&gt;&lt;wsp:rsid wsp:val=&quot;00497E3B&quot;/&gt;&lt;wsp:rsid wsp:val=&quot;004A0358&quot;/&gt;&lt;wsp:rsid wsp:val=&quot;004A043F&quot;/&gt;&lt;wsp:rsid wsp:val=&quot;004A0742&quot;/&gt;&lt;wsp:rsid wsp:val=&quot;004A1EFE&quot;/&gt;&lt;wsp:rsid wsp:val=&quot;004A3550&quot;/&gt;&lt;wsp:rsid wsp:val=&quot;004A3D64&quot;/&gt;&lt;wsp:rsid wsp:val=&quot;004A4479&quot;/&gt;&lt;wsp:rsid wsp:val=&quot;004A45C2&quot;/&gt;&lt;wsp:rsid wsp:val=&quot;004A49E8&quot;/&gt;&lt;wsp:rsid wsp:val=&quot;004A4BB4&quot;/&gt;&lt;wsp:rsid wsp:val=&quot;004A4DB0&quot;/&gt;&lt;wsp:rsid wsp:val=&quot;004A4E31&quot;/&gt;&lt;wsp:rsid wsp:val=&quot;004A5E9B&quot;/&gt;&lt;wsp:rsid wsp:val=&quot;004A6958&quot;/&gt;&lt;wsp:rsid wsp:val=&quot;004A7536&quot;/&gt;&lt;wsp:rsid wsp:val=&quot;004A7B02&quot;/&gt;&lt;wsp:rsid wsp:val=&quot;004A7F70&quot;/&gt;&lt;wsp:rsid wsp:val=&quot;004B00D5&quot;/&gt;&lt;wsp:rsid wsp:val=&quot;004B01D4&quot;/&gt;&lt;wsp:rsid wsp:val=&quot;004B0575&quot;/&gt;&lt;wsp:rsid wsp:val=&quot;004B0638&quot;/&gt;&lt;wsp:rsid wsp:val=&quot;004B0A9F&quot;/&gt;&lt;wsp:rsid wsp:val=&quot;004B145E&quot;/&gt;&lt;wsp:rsid wsp:val=&quot;004B1E5F&quot;/&gt;&lt;wsp:rsid wsp:val=&quot;004B246B&quot;/&gt;&lt;wsp:rsid wsp:val=&quot;004B2580&quot;/&gt;&lt;wsp:rsid wsp:val=&quot;004B2798&quot;/&gt;&lt;wsp:rsid wsp:val=&quot;004B2AE3&quot;/&gt;&lt;wsp:rsid wsp:val=&quot;004B2BD7&quot;/&gt;&lt;wsp:rsid wsp:val=&quot;004B2D2A&quot;/&gt;&lt;wsp:rsid wsp:val=&quot;004B37F0&quot;/&gt;&lt;wsp:rsid wsp:val=&quot;004B3C05&quot;/&gt;&lt;wsp:rsid wsp:val=&quot;004B41AE&quot;/&gt;&lt;wsp:rsid wsp:val=&quot;004B4DA5&quot;/&gt;&lt;wsp:rsid wsp:val=&quot;004B50DA&quot;/&gt;&lt;wsp:rsid wsp:val=&quot;004B5E2D&quot;/&gt;&lt;wsp:rsid wsp:val=&quot;004B7141&quot;/&gt;&lt;wsp:rsid wsp:val=&quot;004B71E5&quot;/&gt;&lt;wsp:rsid wsp:val=&quot;004B75A7&quot;/&gt;&lt;wsp:rsid wsp:val=&quot;004B7A6D&quot;/&gt;&lt;wsp:rsid wsp:val=&quot;004B7DC9&quot;/&gt;&lt;wsp:rsid wsp:val=&quot;004B7FBC&quot;/&gt;&lt;wsp:rsid wsp:val=&quot;004C0B30&quot;/&gt;&lt;wsp:rsid wsp:val=&quot;004C16A6&quot;/&gt;&lt;wsp:rsid wsp:val=&quot;004C2853&quot;/&gt;&lt;wsp:rsid wsp:val=&quot;004C2AC8&quot;/&gt;&lt;wsp:rsid wsp:val=&quot;004C2ECC&quot;/&gt;&lt;wsp:rsid wsp:val=&quot;004C30A8&quot;/&gt;&lt;wsp:rsid wsp:val=&quot;004C40CA&quot;/&gt;&lt;wsp:rsid wsp:val=&quot;004C41E3&quot;/&gt;&lt;wsp:rsid wsp:val=&quot;004C47C1&quot;/&gt;&lt;wsp:rsid wsp:val=&quot;004C61B1&quot;/&gt;&lt;wsp:rsid wsp:val=&quot;004C6856&quot;/&gt;&lt;wsp:rsid wsp:val=&quot;004C6D76&quot;/&gt;&lt;wsp:rsid wsp:val=&quot;004C70E0&quot;/&gt;&lt;wsp:rsid wsp:val=&quot;004C797A&quot;/&gt;&lt;wsp:rsid wsp:val=&quot;004D1202&quot;/&gt;&lt;wsp:rsid wsp:val=&quot;004D198A&quot;/&gt;&lt;wsp:rsid wsp:val=&quot;004D22F4&quot;/&gt;&lt;wsp:rsid wsp:val=&quot;004D4466&quot;/&gt;&lt;wsp:rsid wsp:val=&quot;004D5765&quot;/&gt;&lt;wsp:rsid wsp:val=&quot;004D588F&quot;/&gt;&lt;wsp:rsid wsp:val=&quot;004D6D21&quot;/&gt;&lt;wsp:rsid wsp:val=&quot;004D7C72&quot;/&gt;&lt;wsp:rsid wsp:val=&quot;004E016C&quot;/&gt;&lt;wsp:rsid wsp:val=&quot;004E0815&quot;/&gt;&lt;wsp:rsid wsp:val=&quot;004E180C&quot;/&gt;&lt;wsp:rsid wsp:val=&quot;004E318D&quot;/&gt;&lt;wsp:rsid wsp:val=&quot;004E3E7D&quot;/&gt;&lt;wsp:rsid wsp:val=&quot;004E517F&quot;/&gt;&lt;wsp:rsid wsp:val=&quot;004E5239&quot;/&gt;&lt;wsp:rsid wsp:val=&quot;004E5776&quot;/&gt;&lt;wsp:rsid wsp:val=&quot;004E5B2B&quot;/&gt;&lt;wsp:rsid wsp:val=&quot;004E5CDD&quot;/&gt;&lt;wsp:rsid wsp:val=&quot;004E5DC4&quot;/&gt;&lt;wsp:rsid wsp:val=&quot;004E5ED8&quot;/&gt;&lt;wsp:rsid wsp:val=&quot;004E5F51&quot;/&gt;&lt;wsp:rsid wsp:val=&quot;004E656B&quot;/&gt;&lt;wsp:rsid wsp:val=&quot;004E71EA&quot;/&gt;&lt;wsp:rsid wsp:val=&quot;004E76AD&quot;/&gt;&lt;wsp:rsid wsp:val=&quot;004E7D96&quot;/&gt;&lt;wsp:rsid wsp:val=&quot;004F17D2&quot;/&gt;&lt;wsp:rsid wsp:val=&quot;004F347D&quot;/&gt;&lt;wsp:rsid wsp:val=&quot;004F3A3F&quot;/&gt;&lt;wsp:rsid wsp:val=&quot;004F3C7A&quot;/&gt;&lt;wsp:rsid wsp:val=&quot;004F3F61&quot;/&gt;&lt;wsp:rsid wsp:val=&quot;004F4A00&quot;/&gt;&lt;wsp:rsid wsp:val=&quot;004F5097&quot;/&gt;&lt;wsp:rsid wsp:val=&quot;004F5596&quot;/&gt;&lt;wsp:rsid wsp:val=&quot;004F5B4C&quot;/&gt;&lt;wsp:rsid wsp:val=&quot;004F5D90&quot;/&gt;&lt;wsp:rsid wsp:val=&quot;004F61CB&quot;/&gt;&lt;wsp:rsid wsp:val=&quot;004F6684&quot;/&gt;&lt;wsp:rsid wsp:val=&quot;004F6C66&quot;/&gt;&lt;wsp:rsid wsp:val=&quot;004F7851&quot;/&gt;&lt;wsp:rsid wsp:val=&quot;004F7EC3&quot;/&gt;&lt;wsp:rsid wsp:val=&quot;005011DA&quot;/&gt;&lt;wsp:rsid wsp:val=&quot;00501275&quot;/&gt;&lt;wsp:rsid wsp:val=&quot;00501297&quot;/&gt;&lt;wsp:rsid wsp:val=&quot;005015A7&quot;/&gt;&lt;wsp:rsid wsp:val=&quot;005019AE&quot;/&gt;&lt;wsp:rsid wsp:val=&quot;0050246A&quot;/&gt;&lt;wsp:rsid wsp:val=&quot;00502BBE&quot;/&gt;&lt;wsp:rsid wsp:val=&quot;00503121&quot;/&gt;&lt;wsp:rsid wsp:val=&quot;005031C0&quot;/&gt;&lt;wsp:rsid wsp:val=&quot;005035FD&quot;/&gt;&lt;wsp:rsid wsp:val=&quot;00503760&quot;/&gt;&lt;wsp:rsid wsp:val=&quot;005048A8&quot;/&gt;&lt;wsp:rsid wsp:val=&quot;00505573&quot;/&gt;&lt;wsp:rsid wsp:val=&quot;005055D0&quot;/&gt;&lt;wsp:rsid wsp:val=&quot;00505C7A&quot;/&gt;&lt;wsp:rsid wsp:val=&quot;00510E62&quot;/&gt;&lt;wsp:rsid wsp:val=&quot;00511C7E&quot;/&gt;&lt;wsp:rsid wsp:val=&quot;005133A8&quot;/&gt;&lt;wsp:rsid wsp:val=&quot;00513932&quot;/&gt;&lt;wsp:rsid wsp:val=&quot;0051413A&quot;/&gt;&lt;wsp:rsid wsp:val=&quot;0051488A&quot;/&gt;&lt;wsp:rsid wsp:val=&quot;0051499A&quot;/&gt;&lt;wsp:rsid wsp:val=&quot;00514BD0&quot;/&gt;&lt;wsp:rsid wsp:val=&quot;00514EE4&quot;/&gt;&lt;wsp:rsid wsp:val=&quot;0051514F&quot;/&gt;&lt;wsp:rsid wsp:val=&quot;00515BE4&quot;/&gt;&lt;wsp:rsid wsp:val=&quot;0051636E&quot;/&gt;&lt;wsp:rsid wsp:val=&quot;00517581&quot;/&gt;&lt;wsp:rsid wsp:val=&quot;005178C7&quot;/&gt;&lt;wsp:rsid wsp:val=&quot;00517D74&quot;/&gt;&lt;wsp:rsid wsp:val=&quot;005209C6&quot;/&gt;&lt;wsp:rsid wsp:val=&quot;00520B3A&quot;/&gt;&lt;wsp:rsid wsp:val=&quot;005233B9&quot;/&gt;&lt;wsp:rsid wsp:val=&quot;0052361A&quot;/&gt;&lt;wsp:rsid wsp:val=&quot;00523824&quot;/&gt;&lt;wsp:rsid wsp:val=&quot;00523F16&quot;/&gt;&lt;wsp:rsid wsp:val=&quot;00524CD6&quot;/&gt;&lt;wsp:rsid wsp:val=&quot;00525930&quot;/&gt;&lt;wsp:rsid wsp:val=&quot;00525C2B&quot;/&gt;&lt;wsp:rsid wsp:val=&quot;00525CE5&quot;/&gt;&lt;wsp:rsid wsp:val=&quot;00525F91&quot;/&gt;&lt;wsp:rsid wsp:val=&quot;00527A9A&quot;/&gt;&lt;wsp:rsid wsp:val=&quot;0053143E&quot;/&gt;&lt;wsp:rsid wsp:val=&quot;00531DBA&quot;/&gt;&lt;wsp:rsid wsp:val=&quot;00532687&quot;/&gt;&lt;wsp:rsid wsp:val=&quot;005339C7&quot;/&gt;&lt;wsp:rsid wsp:val=&quot;005351DA&quot;/&gt;&lt;wsp:rsid wsp:val=&quot;00535DB3&quot;/&gt;&lt;wsp:rsid wsp:val=&quot;00537599&quot;/&gt;&lt;wsp:rsid wsp:val=&quot;0053793B&quot;/&gt;&lt;wsp:rsid wsp:val=&quot;00537988&quot;/&gt;&lt;wsp:rsid wsp:val=&quot;005408AF&quot;/&gt;&lt;wsp:rsid wsp:val=&quot;00540EBC&quot;/&gt;&lt;wsp:rsid wsp:val=&quot;00540F47&quot;/&gt;&lt;wsp:rsid wsp:val=&quot;005413FD&quot;/&gt;&lt;wsp:rsid wsp:val=&quot;00541408&quot;/&gt;&lt;wsp:rsid wsp:val=&quot;00542104&quot;/&gt;&lt;wsp:rsid wsp:val=&quot;005436CB&quot;/&gt;&lt;wsp:rsid wsp:val=&quot;00546EDC&quot;/&gt;&lt;wsp:rsid wsp:val=&quot;00547224&quot;/&gt;&lt;wsp:rsid wsp:val=&quot;005510C1&quot;/&gt;&lt;wsp:rsid wsp:val=&quot;00551849&quot;/&gt;&lt;wsp:rsid wsp:val=&quot;005523A7&quot;/&gt;&lt;wsp:rsid wsp:val=&quot;0055252D&quot;/&gt;&lt;wsp:rsid wsp:val=&quot;00552EF9&quot;/&gt;&lt;wsp:rsid wsp:val=&quot;005537D4&quot;/&gt;&lt;wsp:rsid wsp:val=&quot;005537ED&quot;/&gt;&lt;wsp:rsid wsp:val=&quot;00554F01&quot;/&gt;&lt;wsp:rsid wsp:val=&quot;00555A9A&quot;/&gt;&lt;wsp:rsid wsp:val=&quot;00555AD9&quot;/&gt;&lt;wsp:rsid wsp:val=&quot;00555E61&quot;/&gt;&lt;wsp:rsid wsp:val=&quot;0055631D&quot;/&gt;&lt;wsp:rsid wsp:val=&quot;00556F37&quot;/&gt;&lt;wsp:rsid wsp:val=&quot;00561665&quot;/&gt;&lt;wsp:rsid wsp:val=&quot;005634A5&quot;/&gt;&lt;wsp:rsid wsp:val=&quot;005635C1&quot;/&gt;&lt;wsp:rsid wsp:val=&quot;005646FF&quot;/&gt;&lt;wsp:rsid wsp:val=&quot;00565858&quot;/&gt;&lt;wsp:rsid wsp:val=&quot;00565C7E&quot;/&gt;&lt;wsp:rsid wsp:val=&quot;00565F1B&quot;/&gt;&lt;wsp:rsid wsp:val=&quot;00566B46&quot;/&gt;&lt;wsp:rsid wsp:val=&quot;0056787D&quot;/&gt;&lt;wsp:rsid wsp:val=&quot;00567E09&quot;/&gt;&lt;wsp:rsid wsp:val=&quot;00567F9E&quot;/&gt;&lt;wsp:rsid wsp:val=&quot;00570635&quot;/&gt;&lt;wsp:rsid wsp:val=&quot;005713C6&quot;/&gt;&lt;wsp:rsid wsp:val=&quot;005719B1&quot;/&gt;&lt;wsp:rsid wsp:val=&quot;005720F8&quot;/&gt;&lt;wsp:rsid wsp:val=&quot;00572422&quot;/&gt;&lt;wsp:rsid wsp:val=&quot;00573363&quot;/&gt;&lt;wsp:rsid wsp:val=&quot;005736CE&quot;/&gt;&lt;wsp:rsid wsp:val=&quot;005745B0&quot;/&gt;&lt;wsp:rsid wsp:val=&quot;00574C4E&quot;/&gt;&lt;wsp:rsid wsp:val=&quot;005752DB&quot;/&gt;&lt;wsp:rsid wsp:val=&quot;00577402&quot;/&gt;&lt;wsp:rsid wsp:val=&quot;00577DB9&quot;/&gt;&lt;wsp:rsid wsp:val=&quot;00581DE0&quot;/&gt;&lt;wsp:rsid wsp:val=&quot;00582626&quot;/&gt;&lt;wsp:rsid wsp:val=&quot;00582E5C&quot;/&gt;&lt;wsp:rsid wsp:val=&quot;0058305D&quot;/&gt;&lt;wsp:rsid wsp:val=&quot;005836E7&quot;/&gt;&lt;wsp:rsid wsp:val=&quot;0058436F&quot;/&gt;&lt;wsp:rsid wsp:val=&quot;00584A9B&quot;/&gt;&lt;wsp:rsid wsp:val=&quot;0058576F&quot;/&gt;&lt;wsp:rsid wsp:val=&quot;00585C24&quot;/&gt;&lt;wsp:rsid wsp:val=&quot;005861E2&quot;/&gt;&lt;wsp:rsid wsp:val=&quot;00586981&quot;/&gt;&lt;wsp:rsid wsp:val=&quot;00586A5A&quot;/&gt;&lt;wsp:rsid wsp:val=&quot;00586CC8&quot;/&gt;&lt;wsp:rsid wsp:val=&quot;00586E03&quot;/&gt;&lt;wsp:rsid wsp:val=&quot;00587653&quot;/&gt;&lt;wsp:rsid wsp:val=&quot;00587938&quot;/&gt;&lt;wsp:rsid wsp:val=&quot;00590532&quot;/&gt;&lt;wsp:rsid wsp:val=&quot;005908C7&quot;/&gt;&lt;wsp:rsid wsp:val=&quot;005909FC&quot;/&gt;&lt;wsp:rsid wsp:val=&quot;00590F9C&quot;/&gt;&lt;wsp:rsid wsp:val=&quot;00591C1F&quot;/&gt;&lt;wsp:rsid wsp:val=&quot;005924B8&quot;/&gt;&lt;wsp:rsid wsp:val=&quot;00592DB0&quot;/&gt;&lt;wsp:rsid wsp:val=&quot;005933DC&quot;/&gt;&lt;wsp:rsid wsp:val=&quot;00593633&quot;/&gt;&lt;wsp:rsid wsp:val=&quot;005940E2&quot;/&gt;&lt;wsp:rsid wsp:val=&quot;00594C1E&quot;/&gt;&lt;wsp:rsid wsp:val=&quot;00594D8A&quot;/&gt;&lt;wsp:rsid wsp:val=&quot;00594EAA&quot;/&gt;&lt;wsp:rsid wsp:val=&quot;0059714E&quot;/&gt;&lt;wsp:rsid wsp:val=&quot;00597773&quot;/&gt;&lt;wsp:rsid wsp:val=&quot;005A0CAB&quot;/&gt;&lt;wsp:rsid wsp:val=&quot;005A26AC&quot;/&gt;&lt;wsp:rsid wsp:val=&quot;005A274E&quot;/&gt;&lt;wsp:rsid wsp:val=&quot;005A2D8A&quot;/&gt;&lt;wsp:rsid wsp:val=&quot;005A31A4&quot;/&gt;&lt;wsp:rsid wsp:val=&quot;005A3788&quot;/&gt;&lt;wsp:rsid wsp:val=&quot;005A391A&quot;/&gt;&lt;wsp:rsid wsp:val=&quot;005A433F&quot;/&gt;&lt;wsp:rsid wsp:val=&quot;005A46E3&quot;/&gt;&lt;wsp:rsid wsp:val=&quot;005A4B2E&quot;/&gt;&lt;wsp:rsid wsp:val=&quot;005A4CA1&quot;/&gt;&lt;wsp:rsid wsp:val=&quot;005A5B91&quot;/&gt;&lt;wsp:rsid wsp:val=&quot;005A5BD9&quot;/&gt;&lt;wsp:rsid wsp:val=&quot;005A5BE1&quot;/&gt;&lt;wsp:rsid wsp:val=&quot;005A632B&quot;/&gt;&lt;wsp:rsid wsp:val=&quot;005A6856&quot;/&gt;&lt;wsp:rsid wsp:val=&quot;005A6E08&quot;/&gt;&lt;wsp:rsid wsp:val=&quot;005A72FD&quot;/&gt;&lt;wsp:rsid wsp:val=&quot;005A7339&quot;/&gt;&lt;wsp:rsid wsp:val=&quot;005A7C2F&quot;/&gt;&lt;wsp:rsid wsp:val=&quot;005B064B&quot;/&gt;&lt;wsp:rsid wsp:val=&quot;005B0CC7&quot;/&gt;&lt;wsp:rsid wsp:val=&quot;005B1EC5&quot;/&gt;&lt;wsp:rsid wsp:val=&quot;005B2344&quot;/&gt;&lt;wsp:rsid wsp:val=&quot;005B2B41&quot;/&gt;&lt;wsp:rsid wsp:val=&quot;005B2B85&quot;/&gt;&lt;wsp:rsid wsp:val=&quot;005B2BA3&quot;/&gt;&lt;wsp:rsid wsp:val=&quot;005B3999&quot;/&gt;&lt;wsp:rsid wsp:val=&quot;005B3E10&quot;/&gt;&lt;wsp:rsid wsp:val=&quot;005B4D2B&quot;/&gt;&lt;wsp:rsid wsp:val=&quot;005B5645&quot;/&gt;&lt;wsp:rsid wsp:val=&quot;005B5680&quot;/&gt;&lt;wsp:rsid wsp:val=&quot;005B5B0E&quot;/&gt;&lt;wsp:rsid wsp:val=&quot;005B5F9A&quot;/&gt;&lt;wsp:rsid wsp:val=&quot;005B6289&quot;/&gt;&lt;wsp:rsid wsp:val=&quot;005B62F9&quot;/&gt;&lt;wsp:rsid wsp:val=&quot;005B7E99&quot;/&gt;&lt;wsp:rsid wsp:val=&quot;005C0392&quot;/&gt;&lt;wsp:rsid wsp:val=&quot;005C0A59&quot;/&gt;&lt;wsp:rsid wsp:val=&quot;005C0D2A&quot;/&gt;&lt;wsp:rsid wsp:val=&quot;005C101D&quot;/&gt;&lt;wsp:rsid wsp:val=&quot;005C1836&quot;/&gt;&lt;wsp:rsid wsp:val=&quot;005C1C0F&quot;/&gt;&lt;wsp:rsid wsp:val=&quot;005C1EAC&quot;/&gt;&lt;wsp:rsid wsp:val=&quot;005C22DB&quot;/&gt;&lt;wsp:rsid wsp:val=&quot;005C230D&quot;/&gt;&lt;wsp:rsid wsp:val=&quot;005C2987&quot;/&gt;&lt;wsp:rsid wsp:val=&quot;005C3F19&quot;/&gt;&lt;wsp:rsid wsp:val=&quot;005C6530&quot;/&gt;&lt;wsp:rsid wsp:val=&quot;005C65CB&quot;/&gt;&lt;wsp:rsid wsp:val=&quot;005C6B63&quot;/&gt;&lt;wsp:rsid wsp:val=&quot;005C706C&quot;/&gt;&lt;wsp:rsid wsp:val=&quot;005C7183&quot;/&gt;&lt;wsp:rsid wsp:val=&quot;005C731B&quot;/&gt;&lt;wsp:rsid wsp:val=&quot;005C7603&quot;/&gt;&lt;wsp:rsid wsp:val=&quot;005C7C07&quot;/&gt;&lt;wsp:rsid wsp:val=&quot;005C7F12&quot;/&gt;&lt;wsp:rsid wsp:val=&quot;005D089B&quot;/&gt;&lt;wsp:rsid wsp:val=&quot;005D0C8D&quot;/&gt;&lt;wsp:rsid wsp:val=&quot;005D2496&quot;/&gt;&lt;wsp:rsid wsp:val=&quot;005D3693&quot;/&gt;&lt;wsp:rsid wsp:val=&quot;005D37AB&quot;/&gt;&lt;wsp:rsid wsp:val=&quot;005D3F40&quot;/&gt;&lt;wsp:rsid wsp:val=&quot;005D4009&quot;/&gt;&lt;wsp:rsid wsp:val=&quot;005D4388&quot;/&gt;&lt;wsp:rsid wsp:val=&quot;005D4E76&quot;/&gt;&lt;wsp:rsid wsp:val=&quot;005D58A9&quot;/&gt;&lt;wsp:rsid wsp:val=&quot;005D5ECF&quot;/&gt;&lt;wsp:rsid wsp:val=&quot;005D6A52&quot;/&gt;&lt;wsp:rsid wsp:val=&quot;005D7CFE&quot;/&gt;&lt;wsp:rsid wsp:val=&quot;005E02EA&quot;/&gt;&lt;wsp:rsid wsp:val=&quot;005E093D&quot;/&gt;&lt;wsp:rsid wsp:val=&quot;005E0CD4&quot;/&gt;&lt;wsp:rsid wsp:val=&quot;005E1291&quot;/&gt;&lt;wsp:rsid wsp:val=&quot;005E1BFE&quot;/&gt;&lt;wsp:rsid wsp:val=&quot;005E1CB1&quot;/&gt;&lt;wsp:rsid wsp:val=&quot;005E228E&quot;/&gt;&lt;wsp:rsid wsp:val=&quot;005E28DB&quot;/&gt;&lt;wsp:rsid wsp:val=&quot;005E365F&quot;/&gt;&lt;wsp:rsid wsp:val=&quot;005E3C31&quot;/&gt;&lt;wsp:rsid wsp:val=&quot;005E425C&quot;/&gt;&lt;wsp:rsid wsp:val=&quot;005E4DD2&quot;/&gt;&lt;wsp:rsid wsp:val=&quot;005E5961&quot;/&gt;&lt;wsp:rsid wsp:val=&quot;005E5C2C&quot;/&gt;&lt;wsp:rsid wsp:val=&quot;005E6F51&quot;/&gt;&lt;wsp:rsid wsp:val=&quot;005E7AD0&quot;/&gt;&lt;wsp:rsid wsp:val=&quot;005E7F24&quot;/&gt;&lt;wsp:rsid wsp:val=&quot;005F10B4&quot;/&gt;&lt;wsp:rsid wsp:val=&quot;005F1D75&quot;/&gt;&lt;wsp:rsid wsp:val=&quot;005F30B5&quot;/&gt;&lt;wsp:rsid wsp:val=&quot;005F4AD7&quot;/&gt;&lt;wsp:rsid wsp:val=&quot;005F6027&quot;/&gt;&lt;wsp:rsid wsp:val=&quot;005F7040&quot;/&gt;&lt;wsp:rsid wsp:val=&quot;0060042D&quot;/&gt;&lt;wsp:rsid wsp:val=&quot;0060104D&quot;/&gt;&lt;wsp:rsid wsp:val=&quot;006017D9&quot;/&gt;&lt;wsp:rsid wsp:val=&quot;00603630&quot;/&gt;&lt;wsp:rsid wsp:val=&quot;00603710&quot;/&gt;&lt;wsp:rsid wsp:val=&quot;00603D80&quot;/&gt;&lt;wsp:rsid wsp:val=&quot;00604990&quot;/&gt;&lt;wsp:rsid wsp:val=&quot;00604F21&quot;/&gt;&lt;wsp:rsid wsp:val=&quot;00605799&quot;/&gt;&lt;wsp:rsid wsp:val=&quot;00605FDC&quot;/&gt;&lt;wsp:rsid wsp:val=&quot;00606DFB&quot;/&gt;&lt;wsp:rsid wsp:val=&quot;00606F17&quot;/&gt;&lt;wsp:rsid wsp:val=&quot;00607806&quot;/&gt;&lt;wsp:rsid wsp:val=&quot;00607FC3&quot;/&gt;&lt;wsp:rsid wsp:val=&quot;00610A68&quot;/&gt;&lt;wsp:rsid wsp:val=&quot;00611957&quot;/&gt;&lt;wsp:rsid wsp:val=&quot;00611A07&quot;/&gt;&lt;wsp:rsid wsp:val=&quot;0061210C&quot;/&gt;&lt;wsp:rsid wsp:val=&quot;006124D5&quot;/&gt;&lt;wsp:rsid wsp:val=&quot;0061269D&quot;/&gt;&lt;wsp:rsid wsp:val=&quot;00612BE0&quot;/&gt;&lt;wsp:rsid wsp:val=&quot;0061384F&quot;/&gt;&lt;wsp:rsid wsp:val=&quot;006139B9&quot;/&gt;&lt;wsp:rsid wsp:val=&quot;00614D29&quot;/&gt;&lt;wsp:rsid wsp:val=&quot;00615F29&quot;/&gt;&lt;wsp:rsid wsp:val=&quot;00616045&quot;/&gt;&lt;wsp:rsid wsp:val=&quot;006161D0&quot;/&gt;&lt;wsp:rsid wsp:val=&quot;00616BDD&quot;/&gt;&lt;wsp:rsid wsp:val=&quot;006219FE&quot;/&gt;&lt;wsp:rsid wsp:val=&quot;00621A91&quot;/&gt;&lt;wsp:rsid wsp:val=&quot;00622B06&quot;/&gt;&lt;wsp:rsid wsp:val=&quot;00622FCC&quot;/&gt;&lt;wsp:rsid wsp:val=&quot;00623F0C&quot;/&gt;&lt;wsp:rsid wsp:val=&quot;0062448B&quot;/&gt;&lt;wsp:rsid wsp:val=&quot;006244EA&quot;/&gt;&lt;wsp:rsid wsp:val=&quot;0062462A&quot;/&gt;&lt;wsp:rsid wsp:val=&quot;00624ABD&quot;/&gt;&lt;wsp:rsid wsp:val=&quot;00624EA6&quot;/&gt;&lt;wsp:rsid wsp:val=&quot;006257DA&quot;/&gt;&lt;wsp:rsid wsp:val=&quot;00625984&quot;/&gt;&lt;wsp:rsid wsp:val=&quot;00627914&quot;/&gt;&lt;wsp:rsid wsp:val=&quot;006301D1&quot;/&gt;&lt;wsp:rsid wsp:val=&quot;00630B5A&quot;/&gt;&lt;wsp:rsid wsp:val=&quot;006311E5&quot;/&gt;&lt;wsp:rsid wsp:val=&quot;006316BB&quot;/&gt;&lt;wsp:rsid wsp:val=&quot;006324B4&quot;/&gt;&lt;wsp:rsid wsp:val=&quot;00632F32&quot;/&gt;&lt;wsp:rsid wsp:val=&quot;00633255&quot;/&gt;&lt;wsp:rsid wsp:val=&quot;00633402&quot;/&gt;&lt;wsp:rsid wsp:val=&quot;00633FAF&quot;/&gt;&lt;wsp:rsid wsp:val=&quot;0063469C&quot;/&gt;&lt;wsp:rsid wsp:val=&quot;00634F49&quot;/&gt;&lt;wsp:rsid wsp:val=&quot;00635A33&quot;/&gt;&lt;wsp:rsid wsp:val=&quot;00635FB5&quot;/&gt;&lt;wsp:rsid wsp:val=&quot;00636A02&quot;/&gt;&lt;wsp:rsid wsp:val=&quot;00636A17&quot;/&gt;&lt;wsp:rsid wsp:val=&quot;00636B6E&quot;/&gt;&lt;wsp:rsid wsp:val=&quot;0063739C&quot;/&gt;&lt;wsp:rsid wsp:val=&quot;00640AF7&quot;/&gt;&lt;wsp:rsid wsp:val=&quot;00640B7F&quot;/&gt;&lt;wsp:rsid wsp:val=&quot;00640C6A&quot;/&gt;&lt;wsp:rsid wsp:val=&quot;00641BBA&quot;/&gt;&lt;wsp:rsid wsp:val=&quot;00642346&quot;/&gt;&lt;wsp:rsid wsp:val=&quot;0064235C&quot;/&gt;&lt;wsp:rsid wsp:val=&quot;0064353A&quot;/&gt;&lt;wsp:rsid wsp:val=&quot;006438ED&quot;/&gt;&lt;wsp:rsid wsp:val=&quot;00643C32&quot;/&gt;&lt;wsp:rsid wsp:val=&quot;00644674&quot;/&gt;&lt;wsp:rsid wsp:val=&quot;006450B9&quot;/&gt;&lt;wsp:rsid wsp:val=&quot;00645F4F&quot;/&gt;&lt;wsp:rsid wsp:val=&quot;00647496&quot;/&gt;&lt;wsp:rsid wsp:val=&quot;00647CE8&quot;/&gt;&lt;wsp:rsid wsp:val=&quot;00650160&quot;/&gt;&lt;wsp:rsid wsp:val=&quot;006526B0&quot;/&gt;&lt;wsp:rsid wsp:val=&quot;006527BD&quot;/&gt;&lt;wsp:rsid wsp:val=&quot;0065289A&quot;/&gt;&lt;wsp:rsid wsp:val=&quot;006528CC&quot;/&gt;&lt;wsp:rsid wsp:val=&quot;00652C05&quot;/&gt;&lt;wsp:rsid wsp:val=&quot;0065300E&quot;/&gt;&lt;wsp:rsid wsp:val=&quot;006533F5&quot;/&gt;&lt;wsp:rsid wsp:val=&quot;006534C4&quot;/&gt;&lt;wsp:rsid wsp:val=&quot;00653A74&quot;/&gt;&lt;wsp:rsid wsp:val=&quot;00654511&quot;/&gt;&lt;wsp:rsid wsp:val=&quot;0065554C&quot;/&gt;&lt;wsp:rsid wsp:val=&quot;0065661D&quot;/&gt;&lt;wsp:rsid wsp:val=&quot;00656F4D&quot;/&gt;&lt;wsp:rsid wsp:val=&quot;00660110&quot;/&gt;&lt;wsp:rsid wsp:val=&quot;00660615&quot;/&gt;&lt;wsp:rsid wsp:val=&quot;00660623&quot;/&gt;&lt;wsp:rsid wsp:val=&quot;00660D59&quot;/&gt;&lt;wsp:rsid wsp:val=&quot;0066185F&quot;/&gt;&lt;wsp:rsid wsp:val=&quot;00662466&quot;/&gt;&lt;wsp:rsid wsp:val=&quot;00663BD1&quot;/&gt;&lt;wsp:rsid wsp:val=&quot;00664336&quot;/&gt;&lt;wsp:rsid wsp:val=&quot;006657C2&quot;/&gt;&lt;wsp:rsid wsp:val=&quot;00670E0C&quot;/&gt;&lt;wsp:rsid wsp:val=&quot;00671224&quot;/&gt;&lt;wsp:rsid wsp:val=&quot;0067125B&quot;/&gt;&lt;wsp:rsid wsp:val=&quot;006712B8&quot;/&gt;&lt;wsp:rsid wsp:val=&quot;00671B0D&quot;/&gt;&lt;wsp:rsid wsp:val=&quot;00671B8B&quot;/&gt;&lt;wsp:rsid wsp:val=&quot;00671D49&quot;/&gt;&lt;wsp:rsid wsp:val=&quot;00672120&quot;/&gt;&lt;wsp:rsid wsp:val=&quot;00672654&quot;/&gt;&lt;wsp:rsid wsp:val=&quot;00672C98&quot;/&gt;&lt;wsp:rsid wsp:val=&quot;0067335A&quot;/&gt;&lt;wsp:rsid wsp:val=&quot;00673447&quot;/&gt;&lt;wsp:rsid wsp:val=&quot;00673976&quot;/&gt;&lt;wsp:rsid wsp:val=&quot;00673EEB&quot;/&gt;&lt;wsp:rsid wsp:val=&quot;0067402E&quot;/&gt;&lt;wsp:rsid wsp:val=&quot;00675270&quot;/&gt;&lt;wsp:rsid wsp:val=&quot;006759FB&quot;/&gt;&lt;wsp:rsid wsp:val=&quot;00675C2F&quot;/&gt;&lt;wsp:rsid wsp:val=&quot;00675FA6&quot;/&gt;&lt;wsp:rsid wsp:val=&quot;00677BE0&quot;/&gt;&lt;wsp:rsid wsp:val=&quot;00677E60&quot;/&gt;&lt;wsp:rsid wsp:val=&quot;00681641&quot;/&gt;&lt;wsp:rsid wsp:val=&quot;00682AC1&quot;/&gt;&lt;wsp:rsid wsp:val=&quot;00682FD3&quot;/&gt;&lt;wsp:rsid wsp:val=&quot;00683F1E&quot;/&gt;&lt;wsp:rsid wsp:val=&quot;006852BD&quot;/&gt;&lt;wsp:rsid wsp:val=&quot;006855E4&quot;/&gt;&lt;wsp:rsid wsp:val=&quot;00685D3E&quot;/&gt;&lt;wsp:rsid wsp:val=&quot;00686435&quot;/&gt;&lt;wsp:rsid wsp:val=&quot;00686C5C&quot;/&gt;&lt;wsp:rsid wsp:val=&quot;00686D0C&quot;/&gt;&lt;wsp:rsid wsp:val=&quot;00686F47&quot;/&gt;&lt;wsp:rsid wsp:val=&quot;0068741F&quot;/&gt;&lt;wsp:rsid wsp:val=&quot;00687752&quot;/&gt;&lt;wsp:rsid wsp:val=&quot;00687947&quot;/&gt;&lt;wsp:rsid wsp:val=&quot;00687AD0&quot;/&gt;&lt;wsp:rsid wsp:val=&quot;00687C67&quot;/&gt;&lt;wsp:rsid wsp:val=&quot;00687F91&quot;/&gt;&lt;wsp:rsid wsp:val=&quot;006900DD&quot;/&gt;&lt;wsp:rsid wsp:val=&quot;006907D1&quot;/&gt;&lt;wsp:rsid wsp:val=&quot;00690D05&quot;/&gt;&lt;wsp:rsid wsp:val=&quot;00692A80&quot;/&gt;&lt;wsp:rsid wsp:val=&quot;00692DBF&quot;/&gt;&lt;wsp:rsid wsp:val=&quot;00693388&quot;/&gt;&lt;wsp:rsid wsp:val=&quot;006933BC&quot;/&gt;&lt;wsp:rsid wsp:val=&quot;006943BE&quot;/&gt;&lt;wsp:rsid wsp:val=&quot;006952BE&quot;/&gt;&lt;wsp:rsid wsp:val=&quot;00695B88&quot;/&gt;&lt;wsp:rsid wsp:val=&quot;00695CDB&quot;/&gt;&lt;wsp:rsid wsp:val=&quot;00696577&quot;/&gt;&lt;wsp:rsid wsp:val=&quot;0069692D&quot;/&gt;&lt;wsp:rsid wsp:val=&quot;006971B9&quot;/&gt;&lt;wsp:rsid wsp:val=&quot;006976A7&quot;/&gt;&lt;wsp:rsid wsp:val=&quot;00697A43&quot;/&gt;&lt;wsp:rsid wsp:val=&quot;006A03B6&quot;/&gt;&lt;wsp:rsid wsp:val=&quot;006A0948&quot;/&gt;&lt;wsp:rsid wsp:val=&quot;006A09AC&quot;/&gt;&lt;wsp:rsid wsp:val=&quot;006A15E1&quot;/&gt;&lt;wsp:rsid wsp:val=&quot;006A1C7F&quot;/&gt;&lt;wsp:rsid wsp:val=&quot;006A2FB8&quot;/&gt;&lt;wsp:rsid wsp:val=&quot;006A3EE4&quot;/&gt;&lt;wsp:rsid wsp:val=&quot;006A417B&quot;/&gt;&lt;wsp:rsid wsp:val=&quot;006A6044&quot;/&gt;&lt;wsp:rsid wsp:val=&quot;006A6B36&quot;/&gt;&lt;wsp:rsid wsp:val=&quot;006A76F8&quot;/&gt;&lt;wsp:rsid wsp:val=&quot;006A781D&quot;/&gt;&lt;wsp:rsid wsp:val=&quot;006B03B5&quot;/&gt;&lt;wsp:rsid wsp:val=&quot;006B0BF6&quot;/&gt;&lt;wsp:rsid wsp:val=&quot;006B11EB&quot;/&gt;&lt;wsp:rsid wsp:val=&quot;006B1489&quot;/&gt;&lt;wsp:rsid wsp:val=&quot;006B155F&quot;/&gt;&lt;wsp:rsid wsp:val=&quot;006B1D9D&quot;/&gt;&lt;wsp:rsid wsp:val=&quot;006B1F26&quot;/&gt;&lt;wsp:rsid wsp:val=&quot;006B221E&quot;/&gt;&lt;wsp:rsid wsp:val=&quot;006B24D6&quot;/&gt;&lt;wsp:rsid wsp:val=&quot;006B27F5&quot;/&gt;&lt;wsp:rsid wsp:val=&quot;006B2EF2&quot;/&gt;&lt;wsp:rsid wsp:val=&quot;006B39A6&quot;/&gt;&lt;wsp:rsid wsp:val=&quot;006B3C58&quot;/&gt;&lt;wsp:rsid wsp:val=&quot;006B4B50&quot;/&gt;&lt;wsp:rsid wsp:val=&quot;006B4C92&quot;/&gt;&lt;wsp:rsid wsp:val=&quot;006B4EEA&quot;/&gt;&lt;wsp:rsid wsp:val=&quot;006B538F&quot;/&gt;&lt;wsp:rsid wsp:val=&quot;006B5A5A&quot;/&gt;&lt;wsp:rsid wsp:val=&quot;006B5E82&quot;/&gt;&lt;wsp:rsid wsp:val=&quot;006B6481&quot;/&gt;&lt;wsp:rsid wsp:val=&quot;006B6D1B&quot;/&gt;&lt;wsp:rsid wsp:val=&quot;006B7AFC&quot;/&gt;&lt;wsp:rsid wsp:val=&quot;006B7FE3&quot;/&gt;&lt;wsp:rsid wsp:val=&quot;006C02FF&quot;/&gt;&lt;wsp:rsid wsp:val=&quot;006C1491&quot;/&gt;&lt;wsp:rsid wsp:val=&quot;006C1CF4&quot;/&gt;&lt;wsp:rsid wsp:val=&quot;006C22CF&quot;/&gt;&lt;wsp:rsid wsp:val=&quot;006C283D&quot;/&gt;&lt;wsp:rsid wsp:val=&quot;006C284A&quot;/&gt;&lt;wsp:rsid wsp:val=&quot;006C31AD&quot;/&gt;&lt;wsp:rsid wsp:val=&quot;006C5233&quot;/&gt;&lt;wsp:rsid wsp:val=&quot;006C53E8&quot;/&gt;&lt;wsp:rsid wsp:val=&quot;006C55E6&quot;/&gt;&lt;wsp:rsid wsp:val=&quot;006C5E29&quot;/&gt;&lt;wsp:rsid wsp:val=&quot;006C682C&quot;/&gt;&lt;wsp:rsid wsp:val=&quot;006C75C0&quot;/&gt;&lt;wsp:rsid wsp:val=&quot;006D0213&quot;/&gt;&lt;wsp:rsid wsp:val=&quot;006D1F57&quot;/&gt;&lt;wsp:rsid wsp:val=&quot;006D2786&quot;/&gt;&lt;wsp:rsid wsp:val=&quot;006D2B47&quot;/&gt;&lt;wsp:rsid wsp:val=&quot;006D2F05&quot;/&gt;&lt;wsp:rsid wsp:val=&quot;006D3B3A&quot;/&gt;&lt;wsp:rsid wsp:val=&quot;006D3BED&quot;/&gt;&lt;wsp:rsid wsp:val=&quot;006D40F7&quot;/&gt;&lt;wsp:rsid wsp:val=&quot;006D4C4F&quot;/&gt;&lt;wsp:rsid wsp:val=&quot;006D7767&quot;/&gt;&lt;wsp:rsid wsp:val=&quot;006E0330&quot;/&gt;&lt;wsp:rsid wsp:val=&quot;006E0C6D&quot;/&gt;&lt;wsp:rsid wsp:val=&quot;006E101E&quot;/&gt;&lt;wsp:rsid wsp:val=&quot;006E1DD5&quot;/&gt;&lt;wsp:rsid wsp:val=&quot;006E30FF&quot;/&gt;&lt;wsp:rsid wsp:val=&quot;006E38C3&quot;/&gt;&lt;wsp:rsid wsp:val=&quot;006E3A0C&quot;/&gt;&lt;wsp:rsid wsp:val=&quot;006E6B4D&quot;/&gt;&lt;wsp:rsid wsp:val=&quot;006E6CA3&quot;/&gt;&lt;wsp:rsid wsp:val=&quot;006E7961&quot;/&gt;&lt;wsp:rsid wsp:val=&quot;006F0B2E&quot;/&gt;&lt;wsp:rsid wsp:val=&quot;006F0CBE&quot;/&gt;&lt;wsp:rsid wsp:val=&quot;006F21CD&quot;/&gt;&lt;wsp:rsid wsp:val=&quot;006F3104&quot;/&gt;&lt;wsp:rsid wsp:val=&quot;006F397C&quot;/&gt;&lt;wsp:rsid wsp:val=&quot;006F479B&quot;/&gt;&lt;wsp:rsid wsp:val=&quot;006F50B4&quot;/&gt;&lt;wsp:rsid wsp:val=&quot;006F56AA&quot;/&gt;&lt;wsp:rsid wsp:val=&quot;006F58CC&quot;/&gt;&lt;wsp:rsid wsp:val=&quot;006F58D2&quot;/&gt;&lt;wsp:rsid wsp:val=&quot;006F6346&quot;/&gt;&lt;wsp:rsid wsp:val=&quot;006F726D&quot;/&gt;&lt;wsp:rsid wsp:val=&quot;006F73D8&quot;/&gt;&lt;wsp:rsid wsp:val=&quot;007006A9&quot;/&gt;&lt;wsp:rsid wsp:val=&quot;00700861&quot;/&gt;&lt;wsp:rsid wsp:val=&quot;00700D70&quot;/&gt;&lt;wsp:rsid wsp:val=&quot;00701553&quot;/&gt;&lt;wsp:rsid wsp:val=&quot;00701A03&quot;/&gt;&lt;wsp:rsid wsp:val=&quot;00701A52&quot;/&gt;&lt;wsp:rsid wsp:val=&quot;00702AB7&quot;/&gt;&lt;wsp:rsid wsp:val=&quot;00703047&quot;/&gt;&lt;wsp:rsid wsp:val=&quot;00703290&quot;/&gt;&lt;wsp:rsid wsp:val=&quot;007041A4&quot;/&gt;&lt;wsp:rsid wsp:val=&quot;00704B3E&quot;/&gt;&lt;wsp:rsid wsp:val=&quot;00704C3F&quot;/&gt;&lt;wsp:rsid wsp:val=&quot;00704D08&quot;/&gt;&lt;wsp:rsid wsp:val=&quot;0070502E&quot;/&gt;&lt;wsp:rsid wsp:val=&quot;00706355&quot;/&gt;&lt;wsp:rsid wsp:val=&quot;007109D2&quot;/&gt;&lt;wsp:rsid wsp:val=&quot;00711C50&quot;/&gt;&lt;wsp:rsid wsp:val=&quot;00711F4F&quot;/&gt;&lt;wsp:rsid wsp:val=&quot;007127D7&quot;/&gt;&lt;wsp:rsid wsp:val=&quot;00712E2D&quot;/&gt;&lt;wsp:rsid wsp:val=&quot;00712FF8&quot;/&gt;&lt;wsp:rsid wsp:val=&quot;00713731&quot;/&gt;&lt;wsp:rsid wsp:val=&quot;00713A56&quot;/&gt;&lt;wsp:rsid wsp:val=&quot;00715276&quot;/&gt;&lt;wsp:rsid wsp:val=&quot;007156FC&quot;/&gt;&lt;wsp:rsid wsp:val=&quot;00715D49&quot;/&gt;&lt;wsp:rsid wsp:val=&quot;007166AA&quot;/&gt;&lt;wsp:rsid wsp:val=&quot;007172CC&quot;/&gt;&lt;wsp:rsid wsp:val=&quot;0072039F&quot;/&gt;&lt;wsp:rsid wsp:val=&quot;007209D0&quot;/&gt;&lt;wsp:rsid wsp:val=&quot;00720AFC&quot;/&gt;&lt;wsp:rsid wsp:val=&quot;00721332&quot;/&gt;&lt;wsp:rsid wsp:val=&quot;00722100&quot;/&gt;&lt;wsp:rsid wsp:val=&quot;007225E8&quot;/&gt;&lt;wsp:rsid wsp:val=&quot;00722E2C&quot;/&gt;&lt;wsp:rsid wsp:val=&quot;00722E61&quot;/&gt;&lt;wsp:rsid wsp:val=&quot;00723C8C&quot;/&gt;&lt;wsp:rsid wsp:val=&quot;00723E43&quot;/&gt;&lt;wsp:rsid wsp:val=&quot;00724654&quot;/&gt;&lt;wsp:rsid wsp:val=&quot;00725770&quot;/&gt;&lt;wsp:rsid wsp:val=&quot;007260AF&quot;/&gt;&lt;wsp:rsid wsp:val=&quot;007273F4&quot;/&gt;&lt;wsp:rsid wsp:val=&quot;007275D4&quot;/&gt;&lt;wsp:rsid wsp:val=&quot;00730168&quot;/&gt;&lt;wsp:rsid wsp:val=&quot;00730A31&quot;/&gt;&lt;wsp:rsid wsp:val=&quot;00731999&quot;/&gt;&lt;wsp:rsid wsp:val=&quot;00731E4F&quot;/&gt;&lt;wsp:rsid wsp:val=&quot;00733A08&quot;/&gt;&lt;wsp:rsid wsp:val=&quot;00733C89&quot;/&gt;&lt;wsp:rsid wsp:val=&quot;007367A6&quot;/&gt;&lt;wsp:rsid wsp:val=&quot;00736D4A&quot;/&gt;&lt;wsp:rsid wsp:val=&quot;0073771B&quot;/&gt;&lt;wsp:rsid wsp:val=&quot;00737FF3&quot;/&gt;&lt;wsp:rsid wsp:val=&quot;00740091&quot;/&gt;&lt;wsp:rsid wsp:val=&quot;0074065A&quot;/&gt;&lt;wsp:rsid wsp:val=&quot;0074082B&quot;/&gt;&lt;wsp:rsid wsp:val=&quot;0074091A&quot;/&gt;&lt;wsp:rsid wsp:val=&quot;00740DFC&quot;/&gt;&lt;wsp:rsid wsp:val=&quot;00741621&quot;/&gt;&lt;wsp:rsid wsp:val=&quot;0074167C&quot;/&gt;&lt;wsp:rsid wsp:val=&quot;00741BC6&quot;/&gt;&lt;wsp:rsid wsp:val=&quot;00742D3A&quot;/&gt;&lt;wsp:rsid wsp:val=&quot;007435A2&quot;/&gt;&lt;wsp:rsid wsp:val=&quot;007439AD&quot;/&gt;&lt;wsp:rsid wsp:val=&quot;0074590C&quot;/&gt;&lt;wsp:rsid wsp:val=&quot;00745BD2&quot;/&gt;&lt;wsp:rsid wsp:val=&quot;0074670C&quot;/&gt;&lt;wsp:rsid wsp:val=&quot;00746EA6&quot;/&gt;&lt;wsp:rsid wsp:val=&quot;00747622&quot;/&gt;&lt;wsp:rsid wsp:val=&quot;007501A3&quot;/&gt;&lt;wsp:rsid wsp:val=&quot;00750899&quot;/&gt;&lt;wsp:rsid wsp:val=&quot;00751D56&quot;/&gt;&lt;wsp:rsid wsp:val=&quot;00752330&quot;/&gt;&lt;wsp:rsid wsp:val=&quot;007527D9&quot;/&gt;&lt;wsp:rsid wsp:val=&quot;007534CE&quot;/&gt;&lt;wsp:rsid wsp:val=&quot;007534F1&quot;/&gt;&lt;wsp:rsid wsp:val=&quot;00753618&quot;/&gt;&lt;wsp:rsid wsp:val=&quot;00754126&quot;/&gt;&lt;wsp:rsid wsp:val=&quot;00754B37&quot;/&gt;&lt;wsp:rsid wsp:val=&quot;007550C3&quot;/&gt;&lt;wsp:rsid wsp:val=&quot;0075520F&quot;/&gt;&lt;wsp:rsid wsp:val=&quot;00755647&quot;/&gt;&lt;wsp:rsid wsp:val=&quot;00755679&quot;/&gt;&lt;wsp:rsid wsp:val=&quot;00756284&quot;/&gt;&lt;wsp:rsid wsp:val=&quot;007563E9&quot;/&gt;&lt;wsp:rsid wsp:val=&quot;007567DA&quot;/&gt;&lt;wsp:rsid wsp:val=&quot;00756C30&quot;/&gt;&lt;wsp:rsid wsp:val=&quot;00757FBC&quot;/&gt;&lt;wsp:rsid wsp:val=&quot;00760894&quot;/&gt;&lt;wsp:rsid wsp:val=&quot;00760AC6&quot;/&gt;&lt;wsp:rsid wsp:val=&quot;007610A5&quot;/&gt;&lt;wsp:rsid wsp:val=&quot;00761309&quot;/&gt;&lt;wsp:rsid wsp:val=&quot;00761662&quot;/&gt;&lt;wsp:rsid wsp:val=&quot;00761811&quot;/&gt;&lt;wsp:rsid wsp:val=&quot;00761BC5&quot;/&gt;&lt;wsp:rsid wsp:val=&quot;00761F74&quot;/&gt;&lt;wsp:rsid wsp:val=&quot;00761F9C&quot;/&gt;&lt;wsp:rsid wsp:val=&quot;007623A4&quot;/&gt;&lt;wsp:rsid wsp:val=&quot;00762825&quot;/&gt;&lt;wsp:rsid wsp:val=&quot;00762D77&quot;/&gt;&lt;wsp:rsid wsp:val=&quot;00762F67&quot;/&gt;&lt;wsp:rsid wsp:val=&quot;00763177&quot;/&gt;&lt;wsp:rsid wsp:val=&quot;00763E5D&quot;/&gt;&lt;wsp:rsid wsp:val=&quot;0076431B&quot;/&gt;&lt;wsp:rsid wsp:val=&quot;007651B6&quot;/&gt;&lt;wsp:rsid wsp:val=&quot;007654E1&quot;/&gt;&lt;wsp:rsid wsp:val=&quot;00766455&quot;/&gt;&lt;wsp:rsid wsp:val=&quot;00767940&quot;/&gt;&lt;wsp:rsid wsp:val=&quot;00767E91&quot;/&gt;&lt;wsp:rsid wsp:val=&quot;00767EC5&quot;/&gt;&lt;wsp:rsid wsp:val=&quot;00770B8D&quot;/&gt;&lt;wsp:rsid wsp:val=&quot;00771152&quot;/&gt;&lt;wsp:rsid wsp:val=&quot;00771DB3&quot;/&gt;&lt;wsp:rsid wsp:val=&quot;007726C6&quot;/&gt;&lt;wsp:rsid wsp:val=&quot;00772975&quot;/&gt;&lt;wsp:rsid wsp:val=&quot;0077299A&quot;/&gt;&lt;wsp:rsid wsp:val=&quot;00772B6E&quot;/&gt;&lt;wsp:rsid wsp:val=&quot;00773000&quot;/&gt;&lt;wsp:rsid wsp:val=&quot;00774D5C&quot;/&gt;&lt;wsp:rsid wsp:val=&quot;00776066&quot;/&gt;&lt;wsp:rsid wsp:val=&quot;00776366&quot;/&gt;&lt;wsp:rsid wsp:val=&quot;007768E4&quot;/&gt;&lt;wsp:rsid wsp:val=&quot;00776B89&quot;/&gt;&lt;wsp:rsid wsp:val=&quot;0077716A&quot;/&gt;&lt;wsp:rsid wsp:val=&quot;007777E4&quot;/&gt;&lt;wsp:rsid wsp:val=&quot;007805B8&quot;/&gt;&lt;wsp:rsid wsp:val=&quot;00782080&quot;/&gt;&lt;wsp:rsid wsp:val=&quot;00782341&quot;/&gt;&lt;wsp:rsid wsp:val=&quot;00782948&quot;/&gt;&lt;wsp:rsid wsp:val=&quot;007833E3&quot;/&gt;&lt;wsp:rsid wsp:val=&quot;007834D0&quot;/&gt;&lt;wsp:rsid wsp:val=&quot;00783E81&quot;/&gt;&lt;wsp:rsid wsp:val=&quot;0078436D&quot;/&gt;&lt;wsp:rsid wsp:val=&quot;00784A89&quot;/&gt;&lt;wsp:rsid wsp:val=&quot;00784B16&quot;/&gt;&lt;wsp:rsid wsp:val=&quot;00786762&quot;/&gt;&lt;wsp:rsid wsp:val=&quot;00787558&quot;/&gt;&lt;wsp:rsid wsp:val=&quot;007907F0&quot;/&gt;&lt;wsp:rsid wsp:val=&quot;00791616&quot;/&gt;&lt;wsp:rsid wsp:val=&quot;00792636&quot;/&gt;&lt;wsp:rsid wsp:val=&quot;007928FF&quot;/&gt;&lt;wsp:rsid wsp:val=&quot;00792A32&quot;/&gt;&lt;wsp:rsid wsp:val=&quot;00793D20&quot;/&gt;&lt;wsp:rsid wsp:val=&quot;00794C56&quot;/&gt;&lt;wsp:rsid wsp:val=&quot;00795A01&quot;/&gt;&lt;wsp:rsid wsp:val=&quot;00795A88&quot;/&gt;&lt;wsp:rsid wsp:val=&quot;007960FD&quot;/&gt;&lt;wsp:rsid wsp:val=&quot;00796A1B&quot;/&gt;&lt;wsp:rsid wsp:val=&quot;00797271&quot;/&gt;&lt;wsp:rsid wsp:val=&quot;00797DF7&quot;/&gt;&lt;wsp:rsid wsp:val=&quot;007A0720&quot;/&gt;&lt;wsp:rsid wsp:val=&quot;007A19F1&quot;/&gt;&lt;wsp:rsid wsp:val=&quot;007A1D17&quot;/&gt;&lt;wsp:rsid wsp:val=&quot;007A30AB&quot;/&gt;&lt;wsp:rsid wsp:val=&quot;007A33C6&quot;/&gt;&lt;wsp:rsid wsp:val=&quot;007A3697&quot;/&gt;&lt;wsp:rsid wsp:val=&quot;007A445D&quot;/&gt;&lt;wsp:rsid wsp:val=&quot;007A5694&quot;/&gt;&lt;wsp:rsid wsp:val=&quot;007A67F7&quot;/&gt;&lt;wsp:rsid wsp:val=&quot;007A6D0F&quot;/&gt;&lt;wsp:rsid wsp:val=&quot;007A7B6E&quot;/&gt;&lt;wsp:rsid wsp:val=&quot;007A7FA6&quot;/&gt;&lt;wsp:rsid wsp:val=&quot;007B00BA&quot;/&gt;&lt;wsp:rsid wsp:val=&quot;007B05DD&quot;/&gt;&lt;wsp:rsid wsp:val=&quot;007B0B73&quot;/&gt;&lt;wsp:rsid wsp:val=&quot;007B19BA&quot;/&gt;&lt;wsp:rsid wsp:val=&quot;007B1F6A&quot;/&gt;&lt;wsp:rsid wsp:val=&quot;007B2097&quot;/&gt;&lt;wsp:rsid wsp:val=&quot;007B299B&quot;/&gt;&lt;wsp:rsid wsp:val=&quot;007B3F88&quot;/&gt;&lt;wsp:rsid wsp:val=&quot;007B3FD9&quot;/&gt;&lt;wsp:rsid wsp:val=&quot;007B609A&quot;/&gt;&lt;wsp:rsid wsp:val=&quot;007B6AD4&quot;/&gt;&lt;wsp:rsid wsp:val=&quot;007B6B1A&quot;/&gt;&lt;wsp:rsid wsp:val=&quot;007B7944&quot;/&gt;&lt;wsp:rsid wsp:val=&quot;007C1724&quot;/&gt;&lt;wsp:rsid wsp:val=&quot;007C1DA9&quot;/&gt;&lt;wsp:rsid wsp:val=&quot;007C2867&quot;/&gt;&lt;wsp:rsid wsp:val=&quot;007C3E1B&quot;/&gt;&lt;wsp:rsid wsp:val=&quot;007C41AC&quot;/&gt;&lt;wsp:rsid wsp:val=&quot;007C5DBF&quot;/&gt;&lt;wsp:rsid wsp:val=&quot;007C5DFF&quot;/&gt;&lt;wsp:rsid wsp:val=&quot;007C5EC2&quot;/&gt;&lt;wsp:rsid wsp:val=&quot;007C649B&quot;/&gt;&lt;wsp:rsid wsp:val=&quot;007C712D&quot;/&gt;&lt;wsp:rsid wsp:val=&quot;007C71FA&quot;/&gt;&lt;wsp:rsid wsp:val=&quot;007C78A2&quot;/&gt;&lt;wsp:rsid wsp:val=&quot;007D014B&quot;/&gt;&lt;wsp:rsid wsp:val=&quot;007D1233&quot;/&gt;&lt;wsp:rsid wsp:val=&quot;007D21D3&quot;/&gt;&lt;wsp:rsid wsp:val=&quot;007D24C4&quot;/&gt;&lt;wsp:rsid wsp:val=&quot;007D25E5&quot;/&gt;&lt;wsp:rsid wsp:val=&quot;007D58F0&quot;/&gt;&lt;wsp:rsid wsp:val=&quot;007D65FD&quot;/&gt;&lt;wsp:rsid wsp:val=&quot;007D6F52&quot;/&gt;&lt;wsp:rsid wsp:val=&quot;007D7841&quot;/&gt;&lt;wsp:rsid wsp:val=&quot;007E00A4&quot;/&gt;&lt;wsp:rsid wsp:val=&quot;007E0578&quot;/&gt;&lt;wsp:rsid wsp:val=&quot;007E0A0D&quot;/&gt;&lt;wsp:rsid wsp:val=&quot;007E0DB4&quot;/&gt;&lt;wsp:rsid wsp:val=&quot;007E132B&quot;/&gt;&lt;wsp:rsid wsp:val=&quot;007E289D&quot;/&gt;&lt;wsp:rsid wsp:val=&quot;007E29B8&quot;/&gt;&lt;wsp:rsid wsp:val=&quot;007E325F&quot;/&gt;&lt;wsp:rsid wsp:val=&quot;007E3965&quot;/&gt;&lt;wsp:rsid wsp:val=&quot;007E76E4&quot;/&gt;&lt;wsp:rsid wsp:val=&quot;007E7928&quot;/&gt;&lt;wsp:rsid wsp:val=&quot;007E7B60&quot;/&gt;&lt;wsp:rsid wsp:val=&quot;007F08CD&quot;/&gt;&lt;wsp:rsid wsp:val=&quot;007F0BD0&quot;/&gt;&lt;wsp:rsid wsp:val=&quot;007F148A&quot;/&gt;&lt;wsp:rsid wsp:val=&quot;007F16E4&quot;/&gt;&lt;wsp:rsid wsp:val=&quot;007F1EF5&quot;/&gt;&lt;wsp:rsid wsp:val=&quot;007F2164&quot;/&gt;&lt;wsp:rsid wsp:val=&quot;007F2663&quot;/&gt;&lt;wsp:rsid wsp:val=&quot;007F28FE&quot;/&gt;&lt;wsp:rsid wsp:val=&quot;007F32E1&quot;/&gt;&lt;wsp:rsid wsp:val=&quot;007F3AF2&quot;/&gt;&lt;wsp:rsid wsp:val=&quot;007F4751&quot;/&gt;&lt;wsp:rsid wsp:val=&quot;007F4DEB&quot;/&gt;&lt;wsp:rsid wsp:val=&quot;007F5273&quot;/&gt;&lt;wsp:rsid wsp:val=&quot;007F5861&quot;/&gt;&lt;wsp:rsid wsp:val=&quot;007F5A6C&quot;/&gt;&lt;wsp:rsid wsp:val=&quot;007F5F9A&quot;/&gt;&lt;wsp:rsid wsp:val=&quot;007F6085&quot;/&gt;&lt;wsp:rsid wsp:val=&quot;007F6A11&quot;/&gt;&lt;wsp:rsid wsp:val=&quot;007F6BF9&quot;/&gt;&lt;wsp:rsid wsp:val=&quot;007F6DA9&quot;/&gt;&lt;wsp:rsid wsp:val=&quot;007F7723&quot;/&gt;&lt;wsp:rsid wsp:val=&quot;007F7AC6&quot;/&gt;&lt;wsp:rsid wsp:val=&quot;008008F4&quot;/&gt;&lt;wsp:rsid wsp:val=&quot;008012A1&quot;/&gt;&lt;wsp:rsid wsp:val=&quot;008015E7&quot;/&gt;&lt;wsp:rsid wsp:val=&quot;008016E8&quot;/&gt;&lt;wsp:rsid wsp:val=&quot;00801FCE&quot;/&gt;&lt;wsp:rsid wsp:val=&quot;00802A27&quot;/&gt;&lt;wsp:rsid wsp:val=&quot;0080314F&quot;/&gt;&lt;wsp:rsid wsp:val=&quot;00803A8E&quot;/&gt;&lt;wsp:rsid wsp:val=&quot;00804F50&quot;/&gt;&lt;wsp:rsid wsp:val=&quot;0080530D&quot;/&gt;&lt;wsp:rsid wsp:val=&quot;008069FC&quot;/&gt;&lt;wsp:rsid wsp:val=&quot;00806FDE&quot;/&gt;&lt;wsp:rsid wsp:val=&quot;00807355&quot;/&gt;&lt;wsp:rsid wsp:val=&quot;00807A07&quot;/&gt;&lt;wsp:rsid wsp:val=&quot;00807A49&quot;/&gt;&lt;wsp:rsid wsp:val=&quot;00807CDB&quot;/&gt;&lt;wsp:rsid wsp:val=&quot;00807FD6&quot;/&gt;&lt;wsp:rsid wsp:val=&quot;00807FFD&quot;/&gt;&lt;wsp:rsid wsp:val=&quot;00811268&quot;/&gt;&lt;wsp:rsid wsp:val=&quot;00811480&quot;/&gt;&lt;wsp:rsid wsp:val=&quot;00812AF5&quot;/&gt;&lt;wsp:rsid wsp:val=&quot;00813964&quot;/&gt;&lt;wsp:rsid wsp:val=&quot;00813F7D&quot;/&gt;&lt;wsp:rsid wsp:val=&quot;00815302&quot;/&gt;&lt;wsp:rsid wsp:val=&quot;00815488&quot;/&gt;&lt;wsp:rsid wsp:val=&quot;00816D31&quot;/&gt;&lt;wsp:rsid wsp:val=&quot;00817A8B&quot;/&gt;&lt;wsp:rsid wsp:val=&quot;00817AA7&quot;/&gt;&lt;wsp:rsid wsp:val=&quot;00817C86&quot;/&gt;&lt;wsp:rsid wsp:val=&quot;00817ED0&quot;/&gt;&lt;wsp:rsid wsp:val=&quot;0082129B&quot;/&gt;&lt;wsp:rsid wsp:val=&quot;008212BD&quot;/&gt;&lt;wsp:rsid wsp:val=&quot;008217E2&quot;/&gt;&lt;wsp:rsid wsp:val=&quot;00821854&quot;/&gt;&lt;wsp:rsid wsp:val=&quot;0082189C&quot;/&gt;&lt;wsp:rsid wsp:val=&quot;00821DC8&quot;/&gt;&lt;wsp:rsid wsp:val=&quot;008220FE&quot;/&gt;&lt;wsp:rsid wsp:val=&quot;00822608&quot;/&gt;&lt;wsp:rsid wsp:val=&quot;00822FF9&quot;/&gt;&lt;wsp:rsid wsp:val=&quot;00824106&quot;/&gt;&lt;wsp:rsid wsp:val=&quot;0082484F&quot;/&gt;&lt;wsp:rsid wsp:val=&quot;00824D26&quot;/&gt;&lt;wsp:rsid wsp:val=&quot;00824D91&quot;/&gt;&lt;wsp:rsid wsp:val=&quot;00826B7C&quot;/&gt;&lt;wsp:rsid wsp:val=&quot;00826C90&quot;/&gt;&lt;wsp:rsid wsp:val=&quot;00827213&quot;/&gt;&lt;wsp:rsid wsp:val=&quot;008274C0&quot;/&gt;&lt;wsp:rsid wsp:val=&quot;008276E3&quot;/&gt;&lt;wsp:rsid wsp:val=&quot;008311B7&quot;/&gt;&lt;wsp:rsid wsp:val=&quot;00831AD3&quot;/&gt;&lt;wsp:rsid wsp:val=&quot;00831D8D&quot;/&gt;&lt;wsp:rsid wsp:val=&quot;008324BA&quot;/&gt;&lt;wsp:rsid wsp:val=&quot;0083253B&quot;/&gt;&lt;wsp:rsid wsp:val=&quot;008325BB&quot;/&gt;&lt;wsp:rsid wsp:val=&quot;008327A0&quot;/&gt;&lt;wsp:rsid wsp:val=&quot;008327E5&quot;/&gt;&lt;wsp:rsid wsp:val=&quot;00832884&quot;/&gt;&lt;wsp:rsid wsp:val=&quot;00833523&quot;/&gt;&lt;wsp:rsid wsp:val=&quot;00833A18&quot;/&gt;&lt;wsp:rsid wsp:val=&quot;00833E04&quot;/&gt;&lt;wsp:rsid wsp:val=&quot;00834273&quot;/&gt;&lt;wsp:rsid wsp:val=&quot;00834D02&quot;/&gt;&lt;wsp:rsid wsp:val=&quot;00834FA6&quot;/&gt;&lt;wsp:rsid wsp:val=&quot;00835118&quot;/&gt;&lt;wsp:rsid wsp:val=&quot;008359BD&quot;/&gt;&lt;wsp:rsid wsp:val=&quot;00836A33&quot;/&gt;&lt;wsp:rsid wsp:val=&quot;008371B9&quot;/&gt;&lt;wsp:rsid wsp:val=&quot;00840BC0&quot;/&gt;&lt;wsp:rsid wsp:val=&quot;00840F67&quot;/&gt;&lt;wsp:rsid wsp:val=&quot;00841D97&quot;/&gt;&lt;wsp:rsid wsp:val=&quot;008421C9&quot;/&gt;&lt;wsp:rsid wsp:val=&quot;00842B89&quot;/&gt;&lt;wsp:rsid wsp:val=&quot;008433AD&quot;/&gt;&lt;wsp:rsid wsp:val=&quot;00843B94&quot;/&gt;&lt;wsp:rsid wsp:val=&quot;00844099&quot;/&gt;&lt;wsp:rsid wsp:val=&quot;00844A62&quot;/&gt;&lt;wsp:rsid wsp:val=&quot;00844CC3&quot;/&gt;&lt;wsp:rsid wsp:val=&quot;00845A0C&quot;/&gt;&lt;wsp:rsid wsp:val=&quot;00845AFF&quot;/&gt;&lt;wsp:rsid wsp:val=&quot;00846130&quot;/&gt;&lt;wsp:rsid wsp:val=&quot;008473D9&quot;/&gt;&lt;wsp:rsid wsp:val=&quot;00847809&quot;/&gt;&lt;wsp:rsid wsp:val=&quot;00850103&quot;/&gt;&lt;wsp:rsid wsp:val=&quot;008509E9&quot;/&gt;&lt;wsp:rsid wsp:val=&quot;00850B35&quot;/&gt;&lt;wsp:rsid wsp:val=&quot;008513F0&quot;/&gt;&lt;wsp:rsid wsp:val=&quot;00853990&quot;/&gt;&lt;wsp:rsid wsp:val=&quot;008548B6&quot;/&gt;&lt;wsp:rsid wsp:val=&quot;00854920&quot;/&gt;&lt;wsp:rsid wsp:val=&quot;00854C50&quot;/&gt;&lt;wsp:rsid wsp:val=&quot;00855279&quot;/&gt;&lt;wsp:rsid wsp:val=&quot;00855670&quot;/&gt;&lt;wsp:rsid wsp:val=&quot;008559BD&quot;/&gt;&lt;wsp:rsid wsp:val=&quot;00855E91&quot;/&gt;&lt;wsp:rsid wsp:val=&quot;008561FC&quot;/&gt;&lt;wsp:rsid wsp:val=&quot;00856401&quot;/&gt;&lt;wsp:rsid wsp:val=&quot;00856583&quot;/&gt;&lt;wsp:rsid wsp:val=&quot;008577F6&quot;/&gt;&lt;wsp:rsid wsp:val=&quot;00857DB7&quot;/&gt;&lt;wsp:rsid wsp:val=&quot;00857FD3&quot;/&gt;&lt;wsp:rsid wsp:val=&quot;0086020F&quot;/&gt;&lt;wsp:rsid wsp:val=&quot;0086069A&quot;/&gt;&lt;wsp:rsid wsp:val=&quot;00860A8A&quot;/&gt;&lt;wsp:rsid wsp:val=&quot;00861A12&quot;/&gt;&lt;wsp:rsid wsp:val=&quot;00862BFB&quot;/&gt;&lt;wsp:rsid wsp:val=&quot;00862EAB&quot;/&gt;&lt;wsp:rsid wsp:val=&quot;008634BF&quot;/&gt;&lt;wsp:rsid wsp:val=&quot;0086364F&quot;/&gt;&lt;wsp:rsid wsp:val=&quot;00864111&quot;/&gt;&lt;wsp:rsid wsp:val=&quot;008647B0&quot;/&gt;&lt;wsp:rsid wsp:val=&quot;008650FB&quot;/&gt;&lt;wsp:rsid wsp:val=&quot;00865CFA&quot;/&gt;&lt;wsp:rsid wsp:val=&quot;0086623E&quot;/&gt;&lt;wsp:rsid wsp:val=&quot;00866360&quot;/&gt;&lt;wsp:rsid wsp:val=&quot;00866B20&quot;/&gt;&lt;wsp:rsid wsp:val=&quot;008678B5&quot;/&gt;&lt;wsp:rsid wsp:val=&quot;008701A3&quot;/&gt;&lt;wsp:rsid wsp:val=&quot;00871BB9&quot;/&gt;&lt;wsp:rsid wsp:val=&quot;00872B62&quot;/&gt;&lt;wsp:rsid wsp:val=&quot;00872C89&quot;/&gt;&lt;wsp:rsid wsp:val=&quot;00873750&quot;/&gt;&lt;wsp:rsid wsp:val=&quot;00873794&quot;/&gt;&lt;wsp:rsid wsp:val=&quot;00874024&quot;/&gt;&lt;wsp:rsid wsp:val=&quot;00874F26&quot;/&gt;&lt;wsp:rsid wsp:val=&quot;00875457&quot;/&gt;&lt;wsp:rsid wsp:val=&quot;008759B2&quot;/&gt;&lt;wsp:rsid wsp:val=&quot;00875C35&quot;/&gt;&lt;wsp:rsid wsp:val=&quot;00875D71&quot;/&gt;&lt;wsp:rsid wsp:val=&quot;00876904&quot;/&gt;&lt;wsp:rsid wsp:val=&quot;00876C9B&quot;/&gt;&lt;wsp:rsid wsp:val=&quot;00876D13&quot;/&gt;&lt;wsp:rsid wsp:val=&quot;0087739D&quot;/&gt;&lt;wsp:rsid wsp:val=&quot;00880235&quot;/&gt;&lt;wsp:rsid wsp:val=&quot;008807DB&quot;/&gt;&lt;wsp:rsid wsp:val=&quot;00880CB0&quot;/&gt;&lt;wsp:rsid wsp:val=&quot;0088237B&quot;/&gt;&lt;wsp:rsid wsp:val=&quot;00883DD6&quot;/&gt;&lt;wsp:rsid wsp:val=&quot;0088445F&quot;/&gt;&lt;wsp:rsid wsp:val=&quot;00884A28&quot;/&gt;&lt;wsp:rsid wsp:val=&quot;0088505A&quot;/&gt;&lt;wsp:rsid wsp:val=&quot;00887C1E&quot;/&gt;&lt;wsp:rsid wsp:val=&quot;00887D39&quot;/&gt;&lt;wsp:rsid wsp:val=&quot;00890508&quot;/&gt;&lt;wsp:rsid wsp:val=&quot;0089088A&quot;/&gt;&lt;wsp:rsid wsp:val=&quot;00890A83&quot;/&gt;&lt;wsp:rsid wsp:val=&quot;00890FC9&quot;/&gt;&lt;wsp:rsid wsp:val=&quot;00891DC5&quot;/&gt;&lt;wsp:rsid wsp:val=&quot;0089203F&quot;/&gt;&lt;wsp:rsid wsp:val=&quot;00892871&quot;/&gt;&lt;wsp:rsid wsp:val=&quot;0089301A&quot;/&gt;&lt;wsp:rsid wsp:val=&quot;008931E6&quot;/&gt;&lt;wsp:rsid wsp:val=&quot;008941E1&quot;/&gt;&lt;wsp:rsid wsp:val=&quot;008944C7&quot;/&gt;&lt;wsp:rsid wsp:val=&quot;008947B0&quot;/&gt;&lt;wsp:rsid wsp:val=&quot;0089593B&quot;/&gt;&lt;wsp:rsid wsp:val=&quot;00895B75&quot;/&gt;&lt;wsp:rsid wsp:val=&quot;00896BA2&quot;/&gt;&lt;wsp:rsid wsp:val=&quot;00897A0C&quot;/&gt;&lt;wsp:rsid wsp:val=&quot;008A0C09&quot;/&gt;&lt;wsp:rsid wsp:val=&quot;008A1026&quot;/&gt;&lt;wsp:rsid wsp:val=&quot;008A107E&quot;/&gt;&lt;wsp:rsid wsp:val=&quot;008A1543&quot;/&gt;&lt;wsp:rsid wsp:val=&quot;008A2C61&quot;/&gt;&lt;wsp:rsid wsp:val=&quot;008A3A2B&quot;/&gt;&lt;wsp:rsid wsp:val=&quot;008A47D5&quot;/&gt;&lt;wsp:rsid wsp:val=&quot;008A4AE4&quot;/&gt;&lt;wsp:rsid wsp:val=&quot;008A54C5&quot;/&gt;&lt;wsp:rsid wsp:val=&quot;008A5552&quot;/&gt;&lt;wsp:rsid wsp:val=&quot;008A6044&quot;/&gt;&lt;wsp:rsid wsp:val=&quot;008A60EB&quot;/&gt;&lt;wsp:rsid wsp:val=&quot;008A62C9&quot;/&gt;&lt;wsp:rsid wsp:val=&quot;008A63B3&quot;/&gt;&lt;wsp:rsid wsp:val=&quot;008A64FE&quot;/&gt;&lt;wsp:rsid wsp:val=&quot;008A6D4D&quot;/&gt;&lt;wsp:rsid wsp:val=&quot;008A6DFD&quot;/&gt;&lt;wsp:rsid wsp:val=&quot;008A7B1F&quot;/&gt;&lt;wsp:rsid wsp:val=&quot;008B05EF&quot;/&gt;&lt;wsp:rsid wsp:val=&quot;008B1006&quot;/&gt;&lt;wsp:rsid wsp:val=&quot;008B1C7B&quot;/&gt;&lt;wsp:rsid wsp:val=&quot;008B22AB&quot;/&gt;&lt;wsp:rsid wsp:val=&quot;008B2C3F&quot;/&gt;&lt;wsp:rsid wsp:val=&quot;008B2FCF&quot;/&gt;&lt;wsp:rsid wsp:val=&quot;008B32B7&quot;/&gt;&lt;wsp:rsid wsp:val=&quot;008B35FF&quot;/&gt;&lt;wsp:rsid wsp:val=&quot;008B36B3&quot;/&gt;&lt;wsp:rsid wsp:val=&quot;008B383A&quot;/&gt;&lt;wsp:rsid wsp:val=&quot;008B3CA4&quot;/&gt;&lt;wsp:rsid wsp:val=&quot;008B3F4C&quot;/&gt;&lt;wsp:rsid wsp:val=&quot;008B4EAC&quot;/&gt;&lt;wsp:rsid wsp:val=&quot;008B54A9&quot;/&gt;&lt;wsp:rsid wsp:val=&quot;008B5D1D&quot;/&gt;&lt;wsp:rsid wsp:val=&quot;008B62A0&quot;/&gt;&lt;wsp:rsid wsp:val=&quot;008B64BC&quot;/&gt;&lt;wsp:rsid wsp:val=&quot;008C0319&quot;/&gt;&lt;wsp:rsid wsp:val=&quot;008C0F03&quot;/&gt;&lt;wsp:rsid wsp:val=&quot;008C13C0&quot;/&gt;&lt;wsp:rsid wsp:val=&quot;008C142E&quot;/&gt;&lt;wsp:rsid wsp:val=&quot;008C1ED9&quot;/&gt;&lt;wsp:rsid wsp:val=&quot;008C2254&quot;/&gt;&lt;wsp:rsid wsp:val=&quot;008C335B&quot;/&gt;&lt;wsp:rsid wsp:val=&quot;008C339D&quot;/&gt;&lt;wsp:rsid wsp:val=&quot;008C372E&quot;/&gt;&lt;wsp:rsid wsp:val=&quot;008C3773&quot;/&gt;&lt;wsp:rsid wsp:val=&quot;008C3B19&quot;/&gt;&lt;wsp:rsid wsp:val=&quot;008C3E4F&quot;/&gt;&lt;wsp:rsid wsp:val=&quot;008C48EC&quot;/&gt;&lt;wsp:rsid wsp:val=&quot;008C4E60&quot;/&gt;&lt;wsp:rsid wsp:val=&quot;008C4F51&quot;/&gt;&lt;wsp:rsid wsp:val=&quot;008C501C&quot;/&gt;&lt;wsp:rsid wsp:val=&quot;008C5CA9&quot;/&gt;&lt;wsp:rsid wsp:val=&quot;008C6040&quot;/&gt;&lt;wsp:rsid wsp:val=&quot;008C61B3&quot;/&gt;&lt;wsp:rsid wsp:val=&quot;008C6324&quot;/&gt;&lt;wsp:rsid wsp:val=&quot;008C6C23&quot;/&gt;&lt;wsp:rsid wsp:val=&quot;008C78AB&quot;/&gt;&lt;wsp:rsid wsp:val=&quot;008C7AC0&quot;/&gt;&lt;wsp:rsid wsp:val=&quot;008C7DB3&quot;/&gt;&lt;wsp:rsid wsp:val=&quot;008D02B5&quot;/&gt;&lt;wsp:rsid wsp:val=&quot;008D0633&quot;/&gt;&lt;wsp:rsid wsp:val=&quot;008D1068&quot;/&gt;&lt;wsp:rsid wsp:val=&quot;008D1313&quot;/&gt;&lt;wsp:rsid wsp:val=&quot;008D1A8D&quot;/&gt;&lt;wsp:rsid wsp:val=&quot;008D1DEB&quot;/&gt;&lt;wsp:rsid wsp:val=&quot;008D20C8&quot;/&gt;&lt;wsp:rsid wsp:val=&quot;008D2A69&quot;/&gt;&lt;wsp:rsid wsp:val=&quot;008D38AF&quot;/&gt;&lt;wsp:rsid wsp:val=&quot;008D4449&quot;/&gt;&lt;wsp:rsid wsp:val=&quot;008D479E&quot;/&gt;&lt;wsp:rsid wsp:val=&quot;008D5E5E&quot;/&gt;&lt;wsp:rsid wsp:val=&quot;008D60F3&quot;/&gt;&lt;wsp:rsid wsp:val=&quot;008D7540&quot;/&gt;&lt;wsp:rsid wsp:val=&quot;008D7EE9&quot;/&gt;&lt;wsp:rsid wsp:val=&quot;008E13C7&quot;/&gt;&lt;wsp:rsid wsp:val=&quot;008E178F&quot;/&gt;&lt;wsp:rsid wsp:val=&quot;008E1928&quot;/&gt;&lt;wsp:rsid wsp:val=&quot;008E1A87&quot;/&gt;&lt;wsp:rsid wsp:val=&quot;008E1D0E&quot;/&gt;&lt;wsp:rsid wsp:val=&quot;008E224C&quot;/&gt;&lt;wsp:rsid wsp:val=&quot;008E2ADD&quot;/&gt;&lt;wsp:rsid wsp:val=&quot;008E2E8D&quot;/&gt;&lt;wsp:rsid wsp:val=&quot;008E3345&quot;/&gt;&lt;wsp:rsid wsp:val=&quot;008E411E&quot;/&gt;&lt;wsp:rsid wsp:val=&quot;008E48E4&quot;/&gt;&lt;wsp:rsid wsp:val=&quot;008E4A2B&quot;/&gt;&lt;wsp:rsid wsp:val=&quot;008E4DFB&quot;/&gt;&lt;wsp:rsid wsp:val=&quot;008E5CD1&quot;/&gt;&lt;wsp:rsid wsp:val=&quot;008E5D9D&quot;/&gt;&lt;wsp:rsid wsp:val=&quot;008E6005&quot;/&gt;&lt;wsp:rsid wsp:val=&quot;008E66A4&quot;/&gt;&lt;wsp:rsid wsp:val=&quot;008E6AFD&quot;/&gt;&lt;wsp:rsid wsp:val=&quot;008E6C6C&quot;/&gt;&lt;wsp:rsid wsp:val=&quot;008E75A7&quot;/&gt;&lt;wsp:rsid wsp:val=&quot;008E7B82&quot;/&gt;&lt;wsp:rsid wsp:val=&quot;008E7CF5&quot;/&gt;&lt;wsp:rsid wsp:val=&quot;008F03BB&quot;/&gt;&lt;wsp:rsid wsp:val=&quot;008F1220&quot;/&gt;&lt;wsp:rsid wsp:val=&quot;008F2009&quot;/&gt;&lt;wsp:rsid wsp:val=&quot;008F3B06&quot;/&gt;&lt;wsp:rsid wsp:val=&quot;008F4BFF&quot;/&gt;&lt;wsp:rsid wsp:val=&quot;008F5451&quot;/&gt;&lt;wsp:rsid wsp:val=&quot;008F55B7&quot;/&gt;&lt;wsp:rsid wsp:val=&quot;008F60BE&quot;/&gt;&lt;wsp:rsid wsp:val=&quot;008F610A&quot;/&gt;&lt;wsp:rsid wsp:val=&quot;008F635C&quot;/&gt;&lt;wsp:rsid wsp:val=&quot;008F657D&quot;/&gt;&lt;wsp:rsid wsp:val=&quot;008F663C&quot;/&gt;&lt;wsp:rsid wsp:val=&quot;008F706C&quot;/&gt;&lt;wsp:rsid wsp:val=&quot;008F7481&quot;/&gt;&lt;wsp:rsid wsp:val=&quot;008F769A&quot;/&gt;&lt;wsp:rsid wsp:val=&quot;008F7B3E&quot;/&gt;&lt;wsp:rsid wsp:val=&quot;008F7CF7&quot;/&gt;&lt;wsp:rsid wsp:val=&quot;00900D8C&quot;/&gt;&lt;wsp:rsid wsp:val=&quot;00900FD2&quot;/&gt;&lt;wsp:rsid wsp:val=&quot;0090190F&quot;/&gt;&lt;wsp:rsid wsp:val=&quot;00901B5F&quot;/&gt;&lt;wsp:rsid wsp:val=&quot;00902877&quot;/&gt;&lt;wsp:rsid wsp:val=&quot;00902B2F&quot;/&gt;&lt;wsp:rsid wsp:val=&quot;00903086&quot;/&gt;&lt;wsp:rsid wsp:val=&quot;00903189&quot;/&gt;&lt;wsp:rsid wsp:val=&quot;009046D1&quot;/&gt;&lt;wsp:rsid wsp:val=&quot;00905355&quot;/&gt;&lt;wsp:rsid wsp:val=&quot;00905E24&quot;/&gt;&lt;wsp:rsid wsp:val=&quot;00906815&quot;/&gt;&lt;wsp:rsid wsp:val=&quot;00906A91&quot;/&gt;&lt;wsp:rsid wsp:val=&quot;00910253&quot;/&gt;&lt;wsp:rsid wsp:val=&quot;00910791&quot;/&gt;&lt;wsp:rsid wsp:val=&quot;00911458&quot;/&gt;&lt;wsp:rsid wsp:val=&quot;00911B2F&quot;/&gt;&lt;wsp:rsid wsp:val=&quot;009126AC&quot;/&gt;&lt;wsp:rsid wsp:val=&quot;0091297B&quot;/&gt;&lt;wsp:rsid wsp:val=&quot;00912B8A&quot;/&gt;&lt;wsp:rsid wsp:val=&quot;00913725&quot;/&gt;&lt;wsp:rsid wsp:val=&quot;00913CD8&quot;/&gt;&lt;wsp:rsid wsp:val=&quot;009141AD&quot;/&gt;&lt;wsp:rsid wsp:val=&quot;00914231&quot;/&gt;&lt;wsp:rsid wsp:val=&quot;009143E5&quot;/&gt;&lt;wsp:rsid wsp:val=&quot;009146D6&quot;/&gt;&lt;wsp:rsid wsp:val=&quot;00915644&quot;/&gt;&lt;wsp:rsid wsp:val=&quot;00917BFC&quot;/&gt;&lt;wsp:rsid wsp:val=&quot;009212B4&quot;/&gt;&lt;wsp:rsid wsp:val=&quot;00921615&quot;/&gt;&lt;wsp:rsid wsp:val=&quot;00921C93&quot;/&gt;&lt;wsp:rsid wsp:val=&quot;00921D4C&quot;/&gt;&lt;wsp:rsid wsp:val=&quot;00922431&quot;/&gt;&lt;wsp:rsid wsp:val=&quot;00924F3A&quot;/&gt;&lt;wsp:rsid wsp:val=&quot;00925303&quot;/&gt;&lt;wsp:rsid wsp:val=&quot;00927615&quot;/&gt;&lt;wsp:rsid wsp:val=&quot;00927815&quot;/&gt;&lt;wsp:rsid wsp:val=&quot;00930127&quot;/&gt;&lt;wsp:rsid wsp:val=&quot;00930550&quot;/&gt;&lt;wsp:rsid wsp:val=&quot;00930D17&quot;/&gt;&lt;wsp:rsid wsp:val=&quot;009315A4&quot;/&gt;&lt;wsp:rsid wsp:val=&quot;00931771&quot;/&gt;&lt;wsp:rsid wsp:val=&quot;0093190F&quot;/&gt;&lt;wsp:rsid wsp:val=&quot;00931DD5&quot;/&gt;&lt;wsp:rsid wsp:val=&quot;00931E82&quot;/&gt;&lt;wsp:rsid wsp:val=&quot;009321E4&quot;/&gt;&lt;wsp:rsid wsp:val=&quot;009330E3&quot;/&gt;&lt;wsp:rsid wsp:val=&quot;009332D9&quot;/&gt;&lt;wsp:rsid wsp:val=&quot;0093392F&quot;/&gt;&lt;wsp:rsid wsp:val=&quot;00934385&quot;/&gt;&lt;wsp:rsid wsp:val=&quot;009343E1&quot;/&gt;&lt;wsp:rsid wsp:val=&quot;00934CBA&quot;/&gt;&lt;wsp:rsid wsp:val=&quot;0093545B&quot;/&gt;&lt;wsp:rsid wsp:val=&quot;00935AA4&quot;/&gt;&lt;wsp:rsid wsp:val=&quot;00936551&quot;/&gt;&lt;wsp:rsid wsp:val=&quot;00936C68&quot;/&gt;&lt;wsp:rsid wsp:val=&quot;00937DCC&quot;/&gt;&lt;wsp:rsid wsp:val=&quot;00940F7D&quot;/&gt;&lt;wsp:rsid wsp:val=&quot;0094181E&quot;/&gt;&lt;wsp:rsid wsp:val=&quot;00942074&quot;/&gt;&lt;wsp:rsid wsp:val=&quot;00942304&quot;/&gt;&lt;wsp:rsid wsp:val=&quot;00942D02&quot;/&gt;&lt;wsp:rsid wsp:val=&quot;009435CB&quot;/&gt;&lt;wsp:rsid wsp:val=&quot;00943908&quot;/&gt;&lt;wsp:rsid wsp:val=&quot;00944BC8&quot;/&gt;&lt;wsp:rsid wsp:val=&quot;009457DA&quot;/&gt;&lt;wsp:rsid wsp:val=&quot;00945BE9&quot;/&gt;&lt;wsp:rsid wsp:val=&quot;0094796C&quot;/&gt;&lt;wsp:rsid wsp:val=&quot;00947A5F&quot;/&gt;&lt;wsp:rsid wsp:val=&quot;00947FB4&quot;/&gt;&lt;wsp:rsid wsp:val=&quot;00950DF7&quot;/&gt;&lt;wsp:rsid wsp:val=&quot;0095133C&quot;/&gt;&lt;wsp:rsid wsp:val=&quot;0095151A&quot;/&gt;&lt;wsp:rsid wsp:val=&quot;0095154C&quot;/&gt;&lt;wsp:rsid wsp:val=&quot;009520B3&quot;/&gt;&lt;wsp:rsid wsp:val=&quot;009548B4&quot;/&gt;&lt;wsp:rsid wsp:val=&quot;00955744&quot;/&gt;&lt;wsp:rsid wsp:val=&quot;00955752&quot;/&gt;&lt;wsp:rsid wsp:val=&quot;009573CB&quot;/&gt;&lt;wsp:rsid wsp:val=&quot;00957741&quot;/&gt;&lt;wsp:rsid wsp:val=&quot;0096082E&quot;/&gt;&lt;wsp:rsid wsp:val=&quot;00960B5E&quot;/&gt;&lt;wsp:rsid wsp:val=&quot;00960EBA&quot;/&gt;&lt;wsp:rsid wsp:val=&quot;009612E5&quot;/&gt;&lt;wsp:rsid wsp:val=&quot;009622FB&quot;/&gt;&lt;wsp:rsid wsp:val=&quot;00962341&quot;/&gt;&lt;wsp:rsid wsp:val=&quot;00962536&quot;/&gt;&lt;wsp:rsid wsp:val=&quot;0096403B&quot;/&gt;&lt;wsp:rsid wsp:val=&quot;009645E4&quot;/&gt;&lt;wsp:rsid wsp:val=&quot;00964634&quot;/&gt;&lt;wsp:rsid wsp:val=&quot;00964F2A&quot;/&gt;&lt;wsp:rsid wsp:val=&quot;009652A7&quot;/&gt;&lt;wsp:rsid wsp:val=&quot;00965695&quot;/&gt;&lt;wsp:rsid wsp:val=&quot;009657CB&quot;/&gt;&lt;wsp:rsid wsp:val=&quot;0096657B&quot;/&gt;&lt;wsp:rsid wsp:val=&quot;00967157&quot;/&gt;&lt;wsp:rsid wsp:val=&quot;00967924&quot;/&gt;&lt;wsp:rsid wsp:val=&quot;009708FB&quot;/&gt;&lt;wsp:rsid wsp:val=&quot;00970DDD&quot;/&gt;&lt;wsp:rsid wsp:val=&quot;009713FC&quot;/&gt;&lt;wsp:rsid wsp:val=&quot;009714D8&quot;/&gt;&lt;wsp:rsid wsp:val=&quot;009742A9&quot;/&gt;&lt;wsp:rsid wsp:val=&quot;0097490A&quot;/&gt;&lt;wsp:rsid wsp:val=&quot;009754B0&quot;/&gt;&lt;wsp:rsid wsp:val=&quot;0097609B&quot;/&gt;&lt;wsp:rsid wsp:val=&quot;009763DB&quot;/&gt;&lt;wsp:rsid wsp:val=&quot;00976A47&quot;/&gt;&lt;wsp:rsid wsp:val=&quot;00980BFE&quot;/&gt;&lt;wsp:rsid wsp:val=&quot;00980CD5&quot;/&gt;&lt;wsp:rsid wsp:val=&quot;00981AED&quot;/&gt;&lt;wsp:rsid wsp:val=&quot;00981FDE&quot;/&gt;&lt;wsp:rsid wsp:val=&quot;00982D6F&quot;/&gt;&lt;wsp:rsid wsp:val=&quot;00983C09&quot;/&gt;&lt;wsp:rsid wsp:val=&quot;00983F55&quot;/&gt;&lt;wsp:rsid wsp:val=&quot;009848DE&quot;/&gt;&lt;wsp:rsid wsp:val=&quot;009854DA&quot;/&gt;&lt;wsp:rsid wsp:val=&quot;00986356&quot;/&gt;&lt;wsp:rsid wsp:val=&quot;00987295&quot;/&gt;&lt;wsp:rsid wsp:val=&quot;00987B16&quot;/&gt;&lt;wsp:rsid wsp:val=&quot;00990FAB&quot;/&gt;&lt;wsp:rsid wsp:val=&quot;009913C0&quot;/&gt;&lt;wsp:rsid wsp:val=&quot;0099186D&quot;/&gt;&lt;wsp:rsid wsp:val=&quot;00991C06&quot;/&gt;&lt;wsp:rsid wsp:val=&quot;00991C82&quot;/&gt;&lt;wsp:rsid wsp:val=&quot;00992522&quot;/&gt;&lt;wsp:rsid wsp:val=&quot;00992727&quot;/&gt;&lt;wsp:rsid wsp:val=&quot;009928CF&quot;/&gt;&lt;wsp:rsid wsp:val=&quot;00992AEC&quot;/&gt;&lt;wsp:rsid wsp:val=&quot;00993765&quot;/&gt;&lt;wsp:rsid wsp:val=&quot;009939F9&quot;/&gt;&lt;wsp:rsid wsp:val=&quot;00993BE7&quot;/&gt;&lt;wsp:rsid wsp:val=&quot;00995134&quot;/&gt;&lt;wsp:rsid wsp:val=&quot;009954BC&quot;/&gt;&lt;wsp:rsid wsp:val=&quot;00995F15&quot;/&gt;&lt;wsp:rsid wsp:val=&quot;00995F6C&quot;/&gt;&lt;wsp:rsid wsp:val=&quot;009978F6&quot;/&gt;&lt;wsp:rsid wsp:val=&quot;009A02C2&quot;/&gt;&lt;wsp:rsid wsp:val=&quot;009A12BE&quot;/&gt;&lt;wsp:rsid wsp:val=&quot;009A1408&quot;/&gt;&lt;wsp:rsid wsp:val=&quot;009A17B0&quot;/&gt;&lt;wsp:rsid wsp:val=&quot;009A18AE&quot;/&gt;&lt;wsp:rsid wsp:val=&quot;009A1D85&quot;/&gt;&lt;wsp:rsid wsp:val=&quot;009A1F56&quot;/&gt;&lt;wsp:rsid wsp:val=&quot;009A24CC&quot;/&gt;&lt;wsp:rsid wsp:val=&quot;009A3048&quot;/&gt;&lt;wsp:rsid wsp:val=&quot;009A3585&quot;/&gt;&lt;wsp:rsid wsp:val=&quot;009A3C11&quot;/&gt;&lt;wsp:rsid wsp:val=&quot;009A3D0C&quot;/&gt;&lt;wsp:rsid wsp:val=&quot;009A3D7A&quot;/&gt;&lt;wsp:rsid wsp:val=&quot;009A49C4&quot;/&gt;&lt;wsp:rsid wsp:val=&quot;009A5659&quot;/&gt;&lt;wsp:rsid wsp:val=&quot;009A6C89&quot;/&gt;&lt;wsp:rsid wsp:val=&quot;009B006F&quot;/&gt;&lt;wsp:rsid wsp:val=&quot;009B10FA&quot;/&gt;&lt;wsp:rsid wsp:val=&quot;009B112E&quot;/&gt;&lt;wsp:rsid wsp:val=&quot;009B13A0&quot;/&gt;&lt;wsp:rsid wsp:val=&quot;009B1A22&quot;/&gt;&lt;wsp:rsid wsp:val=&quot;009B1A7F&quot;/&gt;&lt;wsp:rsid wsp:val=&quot;009B1B89&quot;/&gt;&lt;wsp:rsid wsp:val=&quot;009B207A&quot;/&gt;&lt;wsp:rsid wsp:val=&quot;009B2F2D&quot;/&gt;&lt;wsp:rsid wsp:val=&quot;009B371C&quot;/&gt;&lt;wsp:rsid wsp:val=&quot;009B546E&quot;/&gt;&lt;wsp:rsid wsp:val=&quot;009B60B2&quot;/&gt;&lt;wsp:rsid wsp:val=&quot;009B62BE&quot;/&gt;&lt;wsp:rsid wsp:val=&quot;009B772D&quot;/&gt;&lt;wsp:rsid wsp:val=&quot;009C0E5F&quot;/&gt;&lt;wsp:rsid wsp:val=&quot;009C11BA&quot;/&gt;&lt;wsp:rsid wsp:val=&quot;009C2B2D&quot;/&gt;&lt;wsp:rsid wsp:val=&quot;009C43B6&quot;/&gt;&lt;wsp:rsid wsp:val=&quot;009C5103&quot;/&gt;&lt;wsp:rsid wsp:val=&quot;009C51C1&quot;/&gt;&lt;wsp:rsid wsp:val=&quot;009C56BD&quot;/&gt;&lt;wsp:rsid wsp:val=&quot;009C5BEA&quot;/&gt;&lt;wsp:rsid wsp:val=&quot;009C644E&quot;/&gt;&lt;wsp:rsid wsp:val=&quot;009C66A3&quot;/&gt;&lt;wsp:rsid wsp:val=&quot;009C68B5&quot;/&gt;&lt;wsp:rsid wsp:val=&quot;009C6C72&quot;/&gt;&lt;wsp:rsid wsp:val=&quot;009C7000&quot;/&gt;&lt;wsp:rsid wsp:val=&quot;009D0551&quot;/&gt;&lt;wsp:rsid wsp:val=&quot;009D1516&quot;/&gt;&lt;wsp:rsid wsp:val=&quot;009D1B6F&quot;/&gt;&lt;wsp:rsid wsp:val=&quot;009D2A0B&quot;/&gt;&lt;wsp:rsid wsp:val=&quot;009D2D0B&quot;/&gt;&lt;wsp:rsid wsp:val=&quot;009D3D24&quot;/&gt;&lt;wsp:rsid wsp:val=&quot;009D41AC&quot;/&gt;&lt;wsp:rsid wsp:val=&quot;009D47EA&quot;/&gt;&lt;wsp:rsid wsp:val=&quot;009D5381&quot;/&gt;&lt;wsp:rsid wsp:val=&quot;009D5A56&quot;/&gt;&lt;wsp:rsid wsp:val=&quot;009D6032&quot;/&gt;&lt;wsp:rsid wsp:val=&quot;009D690D&quot;/&gt;&lt;wsp:rsid wsp:val=&quot;009D7C5B&quot;/&gt;&lt;wsp:rsid wsp:val=&quot;009D7F7A&quot;/&gt;&lt;wsp:rsid wsp:val=&quot;009E0321&quot;/&gt;&lt;wsp:rsid wsp:val=&quot;009E1108&quot;/&gt;&lt;wsp:rsid wsp:val=&quot;009E15D7&quot;/&gt;&lt;wsp:rsid wsp:val=&quot;009E2546&quot;/&gt;&lt;wsp:rsid wsp:val=&quot;009E295A&quot;/&gt;&lt;wsp:rsid wsp:val=&quot;009E316B&quot;/&gt;&lt;wsp:rsid wsp:val=&quot;009E49EA&quot;/&gt;&lt;wsp:rsid wsp:val=&quot;009E5B3F&quot;/&gt;&lt;wsp:rsid wsp:val=&quot;009E649A&quot;/&gt;&lt;wsp:rsid wsp:val=&quot;009E6B6B&quot;/&gt;&lt;wsp:rsid wsp:val=&quot;009E73D9&quot;/&gt;&lt;wsp:rsid wsp:val=&quot;009E73E5&quot;/&gt;&lt;wsp:rsid wsp:val=&quot;009F01D8&quot;/&gt;&lt;wsp:rsid wsp:val=&quot;009F03E5&quot;/&gt;&lt;wsp:rsid wsp:val=&quot;009F120B&quot;/&gt;&lt;wsp:rsid wsp:val=&quot;009F1CC1&quot;/&gt;&lt;wsp:rsid wsp:val=&quot;009F374F&quot;/&gt;&lt;wsp:rsid wsp:val=&quot;009F3888&quot;/&gt;&lt;wsp:rsid wsp:val=&quot;009F3BFF&quot;/&gt;&lt;wsp:rsid wsp:val=&quot;009F45CD&quot;/&gt;&lt;wsp:rsid wsp:val=&quot;009F53BF&quot;/&gt;&lt;wsp:rsid wsp:val=&quot;009F53DA&quot;/&gt;&lt;wsp:rsid wsp:val=&quot;009F5ABA&quot;/&gt;&lt;wsp:rsid wsp:val=&quot;009F62A2&quot;/&gt;&lt;wsp:rsid wsp:val=&quot;009F69C8&quot;/&gt;&lt;wsp:rsid wsp:val=&quot;009F71C7&quot;/&gt;&lt;wsp:rsid wsp:val=&quot;009F77F2&quot;/&gt;&lt;wsp:rsid wsp:val=&quot;009F7E75&quot;/&gt;&lt;wsp:rsid wsp:val=&quot;00A01530&quot;/&gt;&lt;wsp:rsid wsp:val=&quot;00A0246D&quot;/&gt;&lt;wsp:rsid wsp:val=&quot;00A0263E&quot;/&gt;&lt;wsp:rsid wsp:val=&quot;00A02F9C&quot;/&gt;&lt;wsp:rsid wsp:val=&quot;00A0491C&quot;/&gt;&lt;wsp:rsid wsp:val=&quot;00A04E10&quot;/&gt;&lt;wsp:rsid wsp:val=&quot;00A0526B&quot;/&gt;&lt;wsp:rsid wsp:val=&quot;00A05DD5&quot;/&gt;&lt;wsp:rsid wsp:val=&quot;00A06A10&quot;/&gt;&lt;wsp:rsid wsp:val=&quot;00A07126&quot;/&gt;&lt;wsp:rsid wsp:val=&quot;00A0755C&quot;/&gt;&lt;wsp:rsid wsp:val=&quot;00A0792E&quot;/&gt;&lt;wsp:rsid wsp:val=&quot;00A07BBE&quot;/&gt;&lt;wsp:rsid wsp:val=&quot;00A104D4&quot;/&gt;&lt;wsp:rsid wsp:val=&quot;00A1065B&quot;/&gt;&lt;wsp:rsid wsp:val=&quot;00A11563&quot;/&gt;&lt;wsp:rsid wsp:val=&quot;00A1157B&quot;/&gt;&lt;wsp:rsid wsp:val=&quot;00A12FB2&quot;/&gt;&lt;wsp:rsid wsp:val=&quot;00A1368B&quot;/&gt;&lt;wsp:rsid wsp:val=&quot;00A14C3A&quot;/&gt;&lt;wsp:rsid wsp:val=&quot;00A14F45&quot;/&gt;&lt;wsp:rsid wsp:val=&quot;00A14F91&quot;/&gt;&lt;wsp:rsid wsp:val=&quot;00A160EC&quot;/&gt;&lt;wsp:rsid wsp:val=&quot;00A17074&quot;/&gt;&lt;wsp:rsid wsp:val=&quot;00A20823&quot;/&gt;&lt;wsp:rsid wsp:val=&quot;00A20DD8&quot;/&gt;&lt;wsp:rsid wsp:val=&quot;00A21130&quot;/&gt;&lt;wsp:rsid wsp:val=&quot;00A2150E&quot;/&gt;&lt;wsp:rsid wsp:val=&quot;00A21DD7&quot;/&gt;&lt;wsp:rsid wsp:val=&quot;00A2298E&quot;/&gt;&lt;wsp:rsid wsp:val=&quot;00A22AD7&quot;/&gt;&lt;wsp:rsid wsp:val=&quot;00A23126&quot;/&gt;&lt;wsp:rsid wsp:val=&quot;00A232D2&quot;/&gt;&lt;wsp:rsid wsp:val=&quot;00A23517&quot;/&gt;&lt;wsp:rsid wsp:val=&quot;00A23C19&quot;/&gt;&lt;wsp:rsid wsp:val=&quot;00A2403D&quot;/&gt;&lt;wsp:rsid wsp:val=&quot;00A24C09&quot;/&gt;&lt;wsp:rsid wsp:val=&quot;00A2503D&quot;/&gt;&lt;wsp:rsid wsp:val=&quot;00A2504A&quot;/&gt;&lt;wsp:rsid wsp:val=&quot;00A25199&quot;/&gt;&lt;wsp:rsid wsp:val=&quot;00A2528E&quot;/&gt;&lt;wsp:rsid wsp:val=&quot;00A263BF&quot;/&gt;&lt;wsp:rsid wsp:val=&quot;00A26CB4&quot;/&gt;&lt;wsp:rsid wsp:val=&quot;00A27C95&quot;/&gt;&lt;wsp:rsid wsp:val=&quot;00A30891&quot;/&gt;&lt;wsp:rsid wsp:val=&quot;00A30D37&quot;/&gt;&lt;wsp:rsid wsp:val=&quot;00A30F4B&quot;/&gt;&lt;wsp:rsid wsp:val=&quot;00A31558&quot;/&gt;&lt;wsp:rsid wsp:val=&quot;00A31DC1&quot;/&gt;&lt;wsp:rsid wsp:val=&quot;00A31E0D&quot;/&gt;&lt;wsp:rsid wsp:val=&quot;00A320BC&quot;/&gt;&lt;wsp:rsid wsp:val=&quot;00A323EF&quot;/&gt;&lt;wsp:rsid wsp:val=&quot;00A32DBD&quot;/&gt;&lt;wsp:rsid wsp:val=&quot;00A33387&quot;/&gt;&lt;wsp:rsid wsp:val=&quot;00A3399A&quot;/&gt;&lt;wsp:rsid wsp:val=&quot;00A33D2F&quot;/&gt;&lt;wsp:rsid wsp:val=&quot;00A34B0D&quot;/&gt;&lt;wsp:rsid wsp:val=&quot;00A364B0&quot;/&gt;&lt;wsp:rsid wsp:val=&quot;00A36974&quot;/&gt;&lt;wsp:rsid wsp:val=&quot;00A36CFF&quot;/&gt;&lt;wsp:rsid wsp:val=&quot;00A36E2B&quot;/&gt;&lt;wsp:rsid wsp:val=&quot;00A3722C&quot;/&gt;&lt;wsp:rsid wsp:val=&quot;00A3744C&quot;/&gt;&lt;wsp:rsid wsp:val=&quot;00A37E0D&quot;/&gt;&lt;wsp:rsid wsp:val=&quot;00A402E2&quot;/&gt;&lt;wsp:rsid wsp:val=&quot;00A40AEA&quot;/&gt;&lt;wsp:rsid wsp:val=&quot;00A40D24&quot;/&gt;&lt;wsp:rsid wsp:val=&quot;00A40FB9&quot;/&gt;&lt;wsp:rsid wsp:val=&quot;00A435D7&quot;/&gt;&lt;wsp:rsid wsp:val=&quot;00A43697&quot;/&gt;&lt;wsp:rsid wsp:val=&quot;00A43BAF&quot;/&gt;&lt;wsp:rsid wsp:val=&quot;00A45446&quot;/&gt;&lt;wsp:rsid wsp:val=&quot;00A46BB7&quot;/&gt;&lt;wsp:rsid wsp:val=&quot;00A5031D&quot;/&gt;&lt;wsp:rsid wsp:val=&quot;00A50405&quot;/&gt;&lt;wsp:rsid wsp:val=&quot;00A512E3&quot;/&gt;&lt;wsp:rsid wsp:val=&quot;00A51347&quot;/&gt;&lt;wsp:rsid wsp:val=&quot;00A51F70&quot;/&gt;&lt;wsp:rsid wsp:val=&quot;00A52905&quot;/&gt;&lt;wsp:rsid wsp:val=&quot;00A52E5C&quot;/&gt;&lt;wsp:rsid wsp:val=&quot;00A53B26&quot;/&gt;&lt;wsp:rsid wsp:val=&quot;00A542B6&quot;/&gt;&lt;wsp:rsid wsp:val=&quot;00A54413&quot;/&gt;&lt;wsp:rsid wsp:val=&quot;00A54987&quot;/&gt;&lt;wsp:rsid wsp:val=&quot;00A558DC&quot;/&gt;&lt;wsp:rsid wsp:val=&quot;00A55995&quot;/&gt;&lt;wsp:rsid wsp:val=&quot;00A55E58&quot;/&gt;&lt;wsp:rsid wsp:val=&quot;00A55E89&quot;/&gt;&lt;wsp:rsid wsp:val=&quot;00A608BD&quot;/&gt;&lt;wsp:rsid wsp:val=&quot;00A61E8E&quot;/&gt;&lt;wsp:rsid wsp:val=&quot;00A61F18&quot;/&gt;&lt;wsp:rsid wsp:val=&quot;00A62170&quot;/&gt;&lt;wsp:rsid wsp:val=&quot;00A625DE&quot;/&gt;&lt;wsp:rsid wsp:val=&quot;00A629E9&quot;/&gt;&lt;wsp:rsid wsp:val=&quot;00A62A2D&quot;/&gt;&lt;wsp:rsid wsp:val=&quot;00A63347&quot;/&gt;&lt;wsp:rsid wsp:val=&quot;00A638D1&quot;/&gt;&lt;wsp:rsid wsp:val=&quot;00A63B5C&quot;/&gt;&lt;wsp:rsid wsp:val=&quot;00A63BC4&quot;/&gt;&lt;wsp:rsid wsp:val=&quot;00A64B4A&quot;/&gt;&lt;wsp:rsid wsp:val=&quot;00A65415&quot;/&gt;&lt;wsp:rsid wsp:val=&quot;00A66850&quot;/&gt;&lt;wsp:rsid wsp:val=&quot;00A67363&quot;/&gt;&lt;wsp:rsid wsp:val=&quot;00A6786B&quot;/&gt;&lt;wsp:rsid wsp:val=&quot;00A70036&quot;/&gt;&lt;wsp:rsid wsp:val=&quot;00A70483&quot;/&gt;&lt;wsp:rsid wsp:val=&quot;00A70761&quot;/&gt;&lt;wsp:rsid wsp:val=&quot;00A70866&quot;/&gt;&lt;wsp:rsid wsp:val=&quot;00A70E10&quot;/&gt;&lt;wsp:rsid wsp:val=&quot;00A71262&quot;/&gt;&lt;wsp:rsid wsp:val=&quot;00A71349&quot;/&gt;&lt;wsp:rsid wsp:val=&quot;00A71EFB&quot;/&gt;&lt;wsp:rsid wsp:val=&quot;00A726CA&quot;/&gt;&lt;wsp:rsid wsp:val=&quot;00A727DB&quot;/&gt;&lt;wsp:rsid wsp:val=&quot;00A72802&quot;/&gt;&lt;wsp:rsid wsp:val=&quot;00A7474C&quot;/&gt;&lt;wsp:rsid wsp:val=&quot;00A74AD8&quot;/&gt;&lt;wsp:rsid wsp:val=&quot;00A74E5F&quot;/&gt;&lt;wsp:rsid wsp:val=&quot;00A753C3&quot;/&gt;&lt;wsp:rsid wsp:val=&quot;00A75806&quot;/&gt;&lt;wsp:rsid wsp:val=&quot;00A75DD0&quot;/&gt;&lt;wsp:rsid wsp:val=&quot;00A76E34&quot;/&gt;&lt;wsp:rsid wsp:val=&quot;00A77404&quot;/&gt;&lt;wsp:rsid wsp:val=&quot;00A775B8&quot;/&gt;&lt;wsp:rsid wsp:val=&quot;00A77682&quot;/&gt;&lt;wsp:rsid wsp:val=&quot;00A77BEC&quot;/&gt;&lt;wsp:rsid wsp:val=&quot;00A806E1&quot;/&gt;&lt;wsp:rsid wsp:val=&quot;00A81320&quot;/&gt;&lt;wsp:rsid wsp:val=&quot;00A82BA3&quot;/&gt;&lt;wsp:rsid wsp:val=&quot;00A83E14&quot;/&gt;&lt;wsp:rsid wsp:val=&quot;00A8440C&quot;/&gt;&lt;wsp:rsid wsp:val=&quot;00A85070&quot;/&gt;&lt;wsp:rsid wsp:val=&quot;00A850F3&quot;/&gt;&lt;wsp:rsid wsp:val=&quot;00A85341&quot;/&gt;&lt;wsp:rsid wsp:val=&quot;00A85367&quot;/&gt;&lt;wsp:rsid wsp:val=&quot;00A85A2F&quot;/&gt;&lt;wsp:rsid wsp:val=&quot;00A867C3&quot;/&gt;&lt;wsp:rsid wsp:val=&quot;00A868FD&quot;/&gt;&lt;wsp:rsid wsp:val=&quot;00A869DB&quot;/&gt;&lt;wsp:rsid wsp:val=&quot;00A872EC&quot;/&gt;&lt;wsp:rsid wsp:val=&quot;00A87BEA&quot;/&gt;&lt;wsp:rsid wsp:val=&quot;00A90EC5&quot;/&gt;&lt;wsp:rsid wsp:val=&quot;00A90EF8&quot;/&gt;&lt;wsp:rsid wsp:val=&quot;00A90FD1&quot;/&gt;&lt;wsp:rsid wsp:val=&quot;00A92C50&quot;/&gt;&lt;wsp:rsid wsp:val=&quot;00A93A94&quot;/&gt;&lt;wsp:rsid wsp:val=&quot;00A946B6&quot;/&gt;&lt;wsp:rsid wsp:val=&quot;00A9475C&quot;/&gt;&lt;wsp:rsid wsp:val=&quot;00A94D84&quot;/&gt;&lt;wsp:rsid wsp:val=&quot;00A95B8D&quot;/&gt;&lt;wsp:rsid wsp:val=&quot;00A965CC&quot;/&gt;&lt;wsp:rsid wsp:val=&quot;00A97435&quot;/&gt;&lt;wsp:rsid wsp:val=&quot;00A975B5&quot;/&gt;&lt;wsp:rsid wsp:val=&quot;00A9784F&quot;/&gt;&lt;wsp:rsid wsp:val=&quot;00A97EEF&quot;/&gt;&lt;wsp:rsid wsp:val=&quot;00AA00A0&quot;/&gt;&lt;wsp:rsid wsp:val=&quot;00AA0845&quot;/&gt;&lt;wsp:rsid wsp:val=&quot;00AA1F7C&quot;/&gt;&lt;wsp:rsid wsp:val=&quot;00AA2D68&quot;/&gt;&lt;wsp:rsid wsp:val=&quot;00AA30DB&quot;/&gt;&lt;wsp:rsid wsp:val=&quot;00AA396D&quot;/&gt;&lt;wsp:rsid wsp:val=&quot;00AA3B52&quot;/&gt;&lt;wsp:rsid wsp:val=&quot;00AA3F73&quot;/&gt;&lt;wsp:rsid wsp:val=&quot;00AA434E&quot;/&gt;&lt;wsp:rsid wsp:val=&quot;00AA5E1F&quot;/&gt;&lt;wsp:rsid wsp:val=&quot;00AA64A0&quot;/&gt;&lt;wsp:rsid wsp:val=&quot;00AA668D&quot;/&gt;&lt;wsp:rsid wsp:val=&quot;00AA7127&quot;/&gt;&lt;wsp:rsid wsp:val=&quot;00AA727A&quot;/&gt;&lt;wsp:rsid wsp:val=&quot;00AA73E7&quot;/&gt;&lt;wsp:rsid wsp:val=&quot;00AA76F4&quot;/&gt;&lt;wsp:rsid wsp:val=&quot;00AB0120&quot;/&gt;&lt;wsp:rsid wsp:val=&quot;00AB1275&quot;/&gt;&lt;wsp:rsid wsp:val=&quot;00AB2217&quot;/&gt;&lt;wsp:rsid wsp:val=&quot;00AB2337&quot;/&gt;&lt;wsp:rsid wsp:val=&quot;00AB2B1F&quot;/&gt;&lt;wsp:rsid wsp:val=&quot;00AB3EB9&quot;/&gt;&lt;wsp:rsid wsp:val=&quot;00AB4299&quot;/&gt;&lt;wsp:rsid wsp:val=&quot;00AB43EC&quot;/&gt;&lt;wsp:rsid wsp:val=&quot;00AB49FE&quot;/&gt;&lt;wsp:rsid wsp:val=&quot;00AB4DE4&quot;/&gt;&lt;wsp:rsid wsp:val=&quot;00AB59C9&quot;/&gt;&lt;wsp:rsid wsp:val=&quot;00AB66FE&quot;/&gt;&lt;wsp:rsid wsp:val=&quot;00AB6805&quot;/&gt;&lt;wsp:rsid wsp:val=&quot;00AB6D9B&quot;/&gt;&lt;wsp:rsid wsp:val=&quot;00AB6FA9&quot;/&gt;&lt;wsp:rsid wsp:val=&quot;00AB74C2&quot;/&gt;&lt;wsp:rsid wsp:val=&quot;00AC005D&quot;/&gt;&lt;wsp:rsid wsp:val=&quot;00AC0A9D&quot;/&gt;&lt;wsp:rsid wsp:val=&quot;00AC1571&quot;/&gt;&lt;wsp:rsid wsp:val=&quot;00AC1A26&quot;/&gt;&lt;wsp:rsid wsp:val=&quot;00AC1FD4&quot;/&gt;&lt;wsp:rsid wsp:val=&quot;00AC2175&quot;/&gt;&lt;wsp:rsid wsp:val=&quot;00AC36EB&quot;/&gt;&lt;wsp:rsid wsp:val=&quot;00AC38C2&quot;/&gt;&lt;wsp:rsid wsp:val=&quot;00AC3EC7&quot;/&gt;&lt;wsp:rsid wsp:val=&quot;00AC48A3&quot;/&gt;&lt;wsp:rsid wsp:val=&quot;00AC4B1E&quot;/&gt;&lt;wsp:rsid wsp:val=&quot;00AC5067&quot;/&gt;&lt;wsp:rsid wsp:val=&quot;00AC5331&quot;/&gt;&lt;wsp:rsid wsp:val=&quot;00AC5738&quot;/&gt;&lt;wsp:rsid wsp:val=&quot;00AC6328&quot;/&gt;&lt;wsp:rsid wsp:val=&quot;00AC6879&quot;/&gt;&lt;wsp:rsid wsp:val=&quot;00AC69E1&quot;/&gt;&lt;wsp:rsid wsp:val=&quot;00AC783A&quot;/&gt;&lt;wsp:rsid wsp:val=&quot;00AD17DB&quot;/&gt;&lt;wsp:rsid wsp:val=&quot;00AD3262&quot;/&gt;&lt;wsp:rsid wsp:val=&quot;00AD3439&quot;/&gt;&lt;wsp:rsid wsp:val=&quot;00AD3667&quot;/&gt;&lt;wsp:rsid wsp:val=&quot;00AD46EF&quot;/&gt;&lt;wsp:rsid wsp:val=&quot;00AD4B5C&quot;/&gt;&lt;wsp:rsid wsp:val=&quot;00AD5857&quot;/&gt;&lt;wsp:rsid wsp:val=&quot;00AD5894&quot;/&gt;&lt;wsp:rsid wsp:val=&quot;00AD59F4&quot;/&gt;&lt;wsp:rsid wsp:val=&quot;00AD5CFB&quot;/&gt;&lt;wsp:rsid wsp:val=&quot;00AD616B&quot;/&gt;&lt;wsp:rsid wsp:val=&quot;00AD669D&quot;/&gt;&lt;wsp:rsid wsp:val=&quot;00AD6C41&quot;/&gt;&lt;wsp:rsid wsp:val=&quot;00AD6F91&quot;/&gt;&lt;wsp:rsid wsp:val=&quot;00AD75C7&quot;/&gt;&lt;wsp:rsid wsp:val=&quot;00AD78AF&quot;/&gt;&lt;wsp:rsid wsp:val=&quot;00AE1B84&quot;/&gt;&lt;wsp:rsid wsp:val=&quot;00AE1C74&quot;/&gt;&lt;wsp:rsid wsp:val=&quot;00AE1E1C&quot;/&gt;&lt;wsp:rsid wsp:val=&quot;00AE268F&quot;/&gt;&lt;wsp:rsid wsp:val=&quot;00AE28E1&quot;/&gt;&lt;wsp:rsid wsp:val=&quot;00AE3366&quot;/&gt;&lt;wsp:rsid wsp:val=&quot;00AE5D93&quot;/&gt;&lt;wsp:rsid wsp:val=&quot;00AE64D3&quot;/&gt;&lt;wsp:rsid wsp:val=&quot;00AF297C&quot;/&gt;&lt;wsp:rsid wsp:val=&quot;00AF4213&quot;/&gt;&lt;wsp:rsid wsp:val=&quot;00AF443F&quot;/&gt;&lt;wsp:rsid wsp:val=&quot;00AF4496&quot;/&gt;&lt;wsp:rsid wsp:val=&quot;00AF4C78&quot;/&gt;&lt;wsp:rsid wsp:val=&quot;00AF5058&quot;/&gt;&lt;wsp:rsid wsp:val=&quot;00AF5359&quot;/&gt;&lt;wsp:rsid wsp:val=&quot;00AF5C9E&quot;/&gt;&lt;wsp:rsid wsp:val=&quot;00AF5F37&quot;/&gt;&lt;wsp:rsid wsp:val=&quot;00AF747A&quot;/&gt;&lt;wsp:rsid wsp:val=&quot;00AF7B58&quot;/&gt;&lt;wsp:rsid wsp:val=&quot;00B0085A&quot;/&gt;&lt;wsp:rsid wsp:val=&quot;00B0212E&quot;/&gt;&lt;wsp:rsid wsp:val=&quot;00B02574&quot;/&gt;&lt;wsp:rsid wsp:val=&quot;00B03308&quot;/&gt;&lt;wsp:rsid wsp:val=&quot;00B046CE&quot;/&gt;&lt;wsp:rsid wsp:val=&quot;00B047AC&quot;/&gt;&lt;wsp:rsid wsp:val=&quot;00B05FCB&quot;/&gt;&lt;wsp:rsid wsp:val=&quot;00B06873&quot;/&gt;&lt;wsp:rsid wsp:val=&quot;00B06D10&quot;/&gt;&lt;wsp:rsid wsp:val=&quot;00B07220&quot;/&gt;&lt;wsp:rsid wsp:val=&quot;00B074C6&quot;/&gt;&lt;wsp:rsid wsp:val=&quot;00B07EE7&quot;/&gt;&lt;wsp:rsid wsp:val=&quot;00B108C8&quot;/&gt;&lt;wsp:rsid wsp:val=&quot;00B10B6F&quot;/&gt;&lt;wsp:rsid wsp:val=&quot;00B113A2&quot;/&gt;&lt;wsp:rsid wsp:val=&quot;00B1185B&quot;/&gt;&lt;wsp:rsid wsp:val=&quot;00B11870&quot;/&gt;&lt;wsp:rsid wsp:val=&quot;00B12C58&quot;/&gt;&lt;wsp:rsid wsp:val=&quot;00B131F2&quot;/&gt;&lt;wsp:rsid wsp:val=&quot;00B1384B&quot;/&gt;&lt;wsp:rsid wsp:val=&quot;00B13E73&quot;/&gt;&lt;wsp:rsid wsp:val=&quot;00B141E0&quot;/&gt;&lt;wsp:rsid wsp:val=&quot;00B149D4&quot;/&gt;&lt;wsp:rsid wsp:val=&quot;00B16277&quot;/&gt;&lt;wsp:rsid wsp:val=&quot;00B162AD&quot;/&gt;&lt;wsp:rsid wsp:val=&quot;00B1671D&quot;/&gt;&lt;wsp:rsid wsp:val=&quot;00B16733&quot;/&gt;&lt;wsp:rsid wsp:val=&quot;00B16B08&quot;/&gt;&lt;wsp:rsid wsp:val=&quot;00B16F75&quot;/&gt;&lt;wsp:rsid wsp:val=&quot;00B16FBE&quot;/&gt;&lt;wsp:rsid wsp:val=&quot;00B17ABC&quot;/&gt;&lt;wsp:rsid wsp:val=&quot;00B20020&quot;/&gt;&lt;wsp:rsid wsp:val=&quot;00B2089F&quot;/&gt;&lt;wsp:rsid wsp:val=&quot;00B20974&quot;/&gt;&lt;wsp:rsid wsp:val=&quot;00B20DA2&quot;/&gt;&lt;wsp:rsid wsp:val=&quot;00B21002&quot;/&gt;&lt;wsp:rsid wsp:val=&quot;00B21950&quot;/&gt;&lt;wsp:rsid wsp:val=&quot;00B21973&quot;/&gt;&lt;wsp:rsid wsp:val=&quot;00B2242C&quot;/&gt;&lt;wsp:rsid wsp:val=&quot;00B22909&quot;/&gt;&lt;wsp:rsid wsp:val=&quot;00B22A56&quot;/&gt;&lt;wsp:rsid wsp:val=&quot;00B2324A&quot;/&gt;&lt;wsp:rsid wsp:val=&quot;00B239DC&quot;/&gt;&lt;wsp:rsid wsp:val=&quot;00B24835&quot;/&gt;&lt;wsp:rsid wsp:val=&quot;00B24B1B&quot;/&gt;&lt;wsp:rsid wsp:val=&quot;00B24BB6&quot;/&gt;&lt;wsp:rsid wsp:val=&quot;00B25770&quot;/&gt;&lt;wsp:rsid wsp:val=&quot;00B25F95&quot;/&gt;&lt;wsp:rsid wsp:val=&quot;00B2651B&quot;/&gt;&lt;wsp:rsid wsp:val=&quot;00B27359&quot;/&gt;&lt;wsp:rsid wsp:val=&quot;00B27AFA&quot;/&gt;&lt;wsp:rsid wsp:val=&quot;00B30CBC&quot;/&gt;&lt;wsp:rsid wsp:val=&quot;00B31E96&quot;/&gt;&lt;wsp:rsid wsp:val=&quot;00B324C4&quot;/&gt;&lt;wsp:rsid wsp:val=&quot;00B327B9&quot;/&gt;&lt;wsp:rsid wsp:val=&quot;00B32F28&quot;/&gt;&lt;wsp:rsid wsp:val=&quot;00B3306D&quot;/&gt;&lt;wsp:rsid wsp:val=&quot;00B33566&quot;/&gt;&lt;wsp:rsid wsp:val=&quot;00B341D8&quot;/&gt;&lt;wsp:rsid wsp:val=&quot;00B34417&quot;/&gt;&lt;wsp:rsid wsp:val=&quot;00B345CA&quot;/&gt;&lt;wsp:rsid wsp:val=&quot;00B34638&quot;/&gt;&lt;wsp:rsid wsp:val=&quot;00B346C5&quot;/&gt;&lt;wsp:rsid wsp:val=&quot;00B3470E&quot;/&gt;&lt;wsp:rsid wsp:val=&quot;00B35878&quot;/&gt;&lt;wsp:rsid wsp:val=&quot;00B369F0&quot;/&gt;&lt;wsp:rsid wsp:val=&quot;00B37BB4&quot;/&gt;&lt;wsp:rsid wsp:val=&quot;00B37D54&quot;/&gt;&lt;wsp:rsid wsp:val=&quot;00B40366&quot;/&gt;&lt;wsp:rsid wsp:val=&quot;00B40724&quot;/&gt;&lt;wsp:rsid wsp:val=&quot;00B41E7F&quot;/&gt;&lt;wsp:rsid wsp:val=&quot;00B42216&quot;/&gt;&lt;wsp:rsid wsp:val=&quot;00B43DB6&quot;/&gt;&lt;wsp:rsid wsp:val=&quot;00B4413F&quot;/&gt;&lt;wsp:rsid wsp:val=&quot;00B4415F&quot;/&gt;&lt;wsp:rsid wsp:val=&quot;00B44612&quot;/&gt;&lt;wsp:rsid wsp:val=&quot;00B446D3&quot;/&gt;&lt;wsp:rsid wsp:val=&quot;00B45233&quot;/&gt;&lt;wsp:rsid wsp:val=&quot;00B45F57&quot;/&gt;&lt;wsp:rsid wsp:val=&quot;00B46FB0&quot;/&gt;&lt;wsp:rsid wsp:val=&quot;00B471EA&quot;/&gt;&lt;wsp:rsid wsp:val=&quot;00B477EF&quot;/&gt;&lt;wsp:rsid wsp:val=&quot;00B47E3C&quot;/&gt;&lt;wsp:rsid wsp:val=&quot;00B502C8&quot;/&gt;&lt;wsp:rsid wsp:val=&quot;00B5042B&quot;/&gt;&lt;wsp:rsid wsp:val=&quot;00B50591&quot;/&gt;&lt;wsp:rsid wsp:val=&quot;00B5077D&quot;/&gt;&lt;wsp:rsid wsp:val=&quot;00B51B82&quot;/&gt;&lt;wsp:rsid wsp:val=&quot;00B51B9A&quot;/&gt;&lt;wsp:rsid wsp:val=&quot;00B51D8F&quot;/&gt;&lt;wsp:rsid wsp:val=&quot;00B52643&quot;/&gt;&lt;wsp:rsid wsp:val=&quot;00B537AA&quot;/&gt;&lt;wsp:rsid wsp:val=&quot;00B53BE5&quot;/&gt;&lt;wsp:rsid wsp:val=&quot;00B55535&quot;/&gt;&lt;wsp:rsid wsp:val=&quot;00B55D77&quot;/&gt;&lt;wsp:rsid wsp:val=&quot;00B5612B&quot;/&gt;&lt;wsp:rsid wsp:val=&quot;00B56838&quot;/&gt;&lt;wsp:rsid wsp:val=&quot;00B57463&quot;/&gt;&lt;wsp:rsid wsp:val=&quot;00B574D9&quot;/&gt;&lt;wsp:rsid wsp:val=&quot;00B60872&quot;/&gt;&lt;wsp:rsid wsp:val=&quot;00B60996&quot;/&gt;&lt;wsp:rsid wsp:val=&quot;00B612A1&quot;/&gt;&lt;wsp:rsid wsp:val=&quot;00B62C01&quot;/&gt;&lt;wsp:rsid wsp:val=&quot;00B63609&quot;/&gt;&lt;wsp:rsid wsp:val=&quot;00B642CF&quot;/&gt;&lt;wsp:rsid wsp:val=&quot;00B65844&quot;/&gt;&lt;wsp:rsid wsp:val=&quot;00B65B9C&quot;/&gt;&lt;wsp:rsid wsp:val=&quot;00B6707C&quot;/&gt;&lt;wsp:rsid wsp:val=&quot;00B67791&quot;/&gt;&lt;wsp:rsid wsp:val=&quot;00B67A73&quot;/&gt;&lt;wsp:rsid wsp:val=&quot;00B706FA&quot;/&gt;&lt;wsp:rsid wsp:val=&quot;00B70CD5&quot;/&gt;&lt;wsp:rsid wsp:val=&quot;00B71AEC&quot;/&gt;&lt;wsp:rsid wsp:val=&quot;00B71F71&quot;/&gt;&lt;wsp:rsid wsp:val=&quot;00B721F8&quot;/&gt;&lt;wsp:rsid wsp:val=&quot;00B722FC&quot;/&gt;&lt;wsp:rsid wsp:val=&quot;00B72517&quot;/&gt;&lt;wsp:rsid wsp:val=&quot;00B72591&quot;/&gt;&lt;wsp:rsid wsp:val=&quot;00B72761&quot;/&gt;&lt;wsp:rsid wsp:val=&quot;00B73B05&quot;/&gt;&lt;wsp:rsid wsp:val=&quot;00B74008&quot;/&gt;&lt;wsp:rsid wsp:val=&quot;00B740FA&quot;/&gt;&lt;wsp:rsid wsp:val=&quot;00B74E34&quot;/&gt;&lt;wsp:rsid wsp:val=&quot;00B754E7&quot;/&gt;&lt;wsp:rsid wsp:val=&quot;00B76A4D&quot;/&gt;&lt;wsp:rsid wsp:val=&quot;00B77574&quot;/&gt;&lt;wsp:rsid wsp:val=&quot;00B775F1&quot;/&gt;&lt;wsp:rsid wsp:val=&quot;00B77F9A&quot;/&gt;&lt;wsp:rsid wsp:val=&quot;00B80000&quot;/&gt;&lt;wsp:rsid wsp:val=&quot;00B802CD&quot;/&gt;&lt;wsp:rsid wsp:val=&quot;00B803CA&quot;/&gt;&lt;wsp:rsid wsp:val=&quot;00B814CD&quot;/&gt;&lt;wsp:rsid wsp:val=&quot;00B81E3D&quot;/&gt;&lt;wsp:rsid wsp:val=&quot;00B836C7&quot;/&gt;&lt;wsp:rsid wsp:val=&quot;00B8381B&quot;/&gt;&lt;wsp:rsid wsp:val=&quot;00B83A63&quot;/&gt;&lt;wsp:rsid wsp:val=&quot;00B83D1B&quot;/&gt;&lt;wsp:rsid wsp:val=&quot;00B83F03&quot;/&gt;&lt;wsp:rsid wsp:val=&quot;00B84439&quot;/&gt;&lt;wsp:rsid wsp:val=&quot;00B84E8E&quot;/&gt;&lt;wsp:rsid wsp:val=&quot;00B85E72&quot;/&gt;&lt;wsp:rsid wsp:val=&quot;00B85EC0&quot;/&gt;&lt;wsp:rsid wsp:val=&quot;00B861F5&quot;/&gt;&lt;wsp:rsid wsp:val=&quot;00B8689A&quot;/&gt;&lt;wsp:rsid wsp:val=&quot;00B86E55&quot;/&gt;&lt;wsp:rsid wsp:val=&quot;00B87DF0&quot;/&gt;&lt;wsp:rsid wsp:val=&quot;00B901F8&quot;/&gt;&lt;wsp:rsid wsp:val=&quot;00B92167&quot;/&gt;&lt;wsp:rsid wsp:val=&quot;00B92346&quot;/&gt;&lt;wsp:rsid wsp:val=&quot;00B92687&quot;/&gt;&lt;wsp:rsid wsp:val=&quot;00B92E71&quot;/&gt;&lt;wsp:rsid wsp:val=&quot;00B92F12&quot;/&gt;&lt;wsp:rsid wsp:val=&quot;00B93235&quot;/&gt;&lt;wsp:rsid wsp:val=&quot;00B936E0&quot;/&gt;&lt;wsp:rsid wsp:val=&quot;00B94C7B&quot;/&gt;&lt;wsp:rsid wsp:val=&quot;00B952B1&quot;/&gt;&lt;wsp:rsid wsp:val=&quot;00B95442&quot;/&gt;&lt;wsp:rsid wsp:val=&quot;00B95BA5&quot;/&gt;&lt;wsp:rsid wsp:val=&quot;00B95EB1&quot;/&gt;&lt;wsp:rsid wsp:val=&quot;00B9619A&quot;/&gt;&lt;wsp:rsid wsp:val=&quot;00B968B3&quot;/&gt;&lt;wsp:rsid wsp:val=&quot;00B972C9&quot;/&gt;&lt;wsp:rsid wsp:val=&quot;00B973E1&quot;/&gt;&lt;wsp:rsid wsp:val=&quot;00B97F52&quot;/&gt;&lt;wsp:rsid wsp:val=&quot;00BA0F53&quot;/&gt;&lt;wsp:rsid wsp:val=&quot;00BA14CD&quot;/&gt;&lt;wsp:rsid wsp:val=&quot;00BA212B&quot;/&gt;&lt;wsp:rsid wsp:val=&quot;00BA2638&quot;/&gt;&lt;wsp:rsid wsp:val=&quot;00BA27D5&quot;/&gt;&lt;wsp:rsid wsp:val=&quot;00BA404E&quot;/&gt;&lt;wsp:rsid wsp:val=&quot;00BA42FE&quot;/&gt;&lt;wsp:rsid wsp:val=&quot;00BA4A13&quot;/&gt;&lt;wsp:rsid wsp:val=&quot;00BA4E4B&quot;/&gt;&lt;wsp:rsid wsp:val=&quot;00BA4FFF&quot;/&gt;&lt;wsp:rsid wsp:val=&quot;00BA55DF&quot;/&gt;&lt;wsp:rsid wsp:val=&quot;00BA5AB6&quot;/&gt;&lt;wsp:rsid wsp:val=&quot;00BA5DA8&quot;/&gt;&lt;wsp:rsid wsp:val=&quot;00BA61DE&quot;/&gt;&lt;wsp:rsid wsp:val=&quot;00BA7B69&quot;/&gt;&lt;wsp:rsid wsp:val=&quot;00BB0427&quot;/&gt;&lt;wsp:rsid wsp:val=&quot;00BB0C29&quot;/&gt;&lt;wsp:rsid wsp:val=&quot;00BB20B5&quot;/&gt;&lt;wsp:rsid wsp:val=&quot;00BB2951&quot;/&gt;&lt;wsp:rsid wsp:val=&quot;00BB2DF2&quot;/&gt;&lt;wsp:rsid wsp:val=&quot;00BB33BF&quot;/&gt;&lt;wsp:rsid wsp:val=&quot;00BB3522&quot;/&gt;&lt;wsp:rsid wsp:val=&quot;00BB360C&quot;/&gt;&lt;wsp:rsid wsp:val=&quot;00BB4239&quot;/&gt;&lt;wsp:rsid wsp:val=&quot;00BB429E&quot;/&gt;&lt;wsp:rsid wsp:val=&quot;00BB53D1&quot;/&gt;&lt;wsp:rsid wsp:val=&quot;00BB634A&quot;/&gt;&lt;wsp:rsid wsp:val=&quot;00BB6E5D&quot;/&gt;&lt;wsp:rsid wsp:val=&quot;00BB707A&quot;/&gt;&lt;wsp:rsid wsp:val=&quot;00BB730E&quot;/&gt;&lt;wsp:rsid wsp:val=&quot;00BB7BE5&quot;/&gt;&lt;wsp:rsid wsp:val=&quot;00BC0011&quot;/&gt;&lt;wsp:rsid wsp:val=&quot;00BC0751&quot;/&gt;&lt;wsp:rsid wsp:val=&quot;00BC0F40&quot;/&gt;&lt;wsp:rsid wsp:val=&quot;00BC10FE&quot;/&gt;&lt;wsp:rsid wsp:val=&quot;00BC17EF&quot;/&gt;&lt;wsp:rsid wsp:val=&quot;00BC2912&quot;/&gt;&lt;wsp:rsid wsp:val=&quot;00BC2A75&quot;/&gt;&lt;wsp:rsid wsp:val=&quot;00BC32C2&quot;/&gt;&lt;wsp:rsid wsp:val=&quot;00BC37DB&quot;/&gt;&lt;wsp:rsid wsp:val=&quot;00BC42BF&quot;/&gt;&lt;wsp:rsid wsp:val=&quot;00BC45CA&quot;/&gt;&lt;wsp:rsid wsp:val=&quot;00BC476E&quot;/&gt;&lt;wsp:rsid wsp:val=&quot;00BC493D&quot;/&gt;&lt;wsp:rsid wsp:val=&quot;00BC5506&quot;/&gt;&lt;wsp:rsid wsp:val=&quot;00BC5C18&quot;/&gt;&lt;wsp:rsid wsp:val=&quot;00BC61DB&quot;/&gt;&lt;wsp:rsid wsp:val=&quot;00BC68E6&quot;/&gt;&lt;wsp:rsid wsp:val=&quot;00BC6958&quot;/&gt;&lt;wsp:rsid wsp:val=&quot;00BC6B84&quot;/&gt;&lt;wsp:rsid wsp:val=&quot;00BD0CD1&quot;/&gt;&lt;wsp:rsid wsp:val=&quot;00BD198F&quot;/&gt;&lt;wsp:rsid wsp:val=&quot;00BD2340&quot;/&gt;&lt;wsp:rsid wsp:val=&quot;00BD2872&quot;/&gt;&lt;wsp:rsid wsp:val=&quot;00BD2C58&quot;/&gt;&lt;wsp:rsid wsp:val=&quot;00BD2D77&quot;/&gt;&lt;wsp:rsid wsp:val=&quot;00BD2E1C&quot;/&gt;&lt;wsp:rsid wsp:val=&quot;00BD416E&quot;/&gt;&lt;wsp:rsid wsp:val=&quot;00BD46F7&quot;/&gt;&lt;wsp:rsid wsp:val=&quot;00BD5D2D&quot;/&gt;&lt;wsp:rsid wsp:val=&quot;00BD74D8&quot;/&gt;&lt;wsp:rsid wsp:val=&quot;00BD794D&quot;/&gt;&lt;wsp:rsid wsp:val=&quot;00BD7C04&quot;/&gt;&lt;wsp:rsid wsp:val=&quot;00BE04DE&quot;/&gt;&lt;wsp:rsid wsp:val=&quot;00BE1124&quot;/&gt;&lt;wsp:rsid wsp:val=&quot;00BE12EB&quot;/&gt;&lt;wsp:rsid wsp:val=&quot;00BE2E31&quot;/&gt;&lt;wsp:rsid wsp:val=&quot;00BE2EA7&quot;/&gt;&lt;wsp:rsid wsp:val=&quot;00BE46E8&quot;/&gt;&lt;wsp:rsid wsp:val=&quot;00BE49C3&quot;/&gt;&lt;wsp:rsid wsp:val=&quot;00BE49DD&quot;/&gt;&lt;wsp:rsid wsp:val=&quot;00BE62A1&quot;/&gt;&lt;wsp:rsid wsp:val=&quot;00BE69D4&quot;/&gt;&lt;wsp:rsid wsp:val=&quot;00BE7091&quot;/&gt;&lt;wsp:rsid wsp:val=&quot;00BE715A&quot;/&gt;&lt;wsp:rsid wsp:val=&quot;00BE734D&quot;/&gt;&lt;wsp:rsid wsp:val=&quot;00BE74CD&quot;/&gt;&lt;wsp:rsid wsp:val=&quot;00BE7AC4&quot;/&gt;&lt;wsp:rsid wsp:val=&quot;00BE7F99&quot;/&gt;&lt;wsp:rsid wsp:val=&quot;00BF00B7&quot;/&gt;&lt;wsp:rsid wsp:val=&quot;00BF0552&quot;/&gt;&lt;wsp:rsid wsp:val=&quot;00BF0BB1&quot;/&gt;&lt;wsp:rsid wsp:val=&quot;00BF0D32&quot;/&gt;&lt;wsp:rsid wsp:val=&quot;00BF146D&quot;/&gt;&lt;wsp:rsid wsp:val=&quot;00BF2F7C&quot;/&gt;&lt;wsp:rsid wsp:val=&quot;00BF36E2&quot;/&gt;&lt;wsp:rsid wsp:val=&quot;00BF3ED3&quot;/&gt;&lt;wsp:rsid wsp:val=&quot;00BF48A6&quot;/&gt;&lt;wsp:rsid wsp:val=&quot;00BF48CB&quot;/&gt;&lt;wsp:rsid wsp:val=&quot;00BF4B4C&quot;/&gt;&lt;wsp:rsid wsp:val=&quot;00BF5410&quot;/&gt;&lt;wsp:rsid wsp:val=&quot;00BF5521&quot;/&gt;&lt;wsp:rsid wsp:val=&quot;00BF5A0E&quot;/&gt;&lt;wsp:rsid wsp:val=&quot;00C01152&quot;/&gt;&lt;wsp:rsid wsp:val=&quot;00C02345&quot;/&gt;&lt;wsp:rsid wsp:val=&quot;00C0277C&quot;/&gt;&lt;wsp:rsid wsp:val=&quot;00C03747&quot;/&gt;&lt;wsp:rsid wsp:val=&quot;00C03F96&quot;/&gt;&lt;wsp:rsid wsp:val=&quot;00C0471F&quot;/&gt;&lt;wsp:rsid wsp:val=&quot;00C04D10&quot;/&gt;&lt;wsp:rsid wsp:val=&quot;00C04F48&quot;/&gt;&lt;wsp:rsid wsp:val=&quot;00C06E68&quot;/&gt;&lt;wsp:rsid wsp:val=&quot;00C079BA&quot;/&gt;&lt;wsp:rsid wsp:val=&quot;00C07D0A&quot;/&gt;&lt;wsp:rsid wsp:val=&quot;00C07D3A&quot;/&gt;&lt;wsp:rsid wsp:val=&quot;00C11E51&quot;/&gt;&lt;wsp:rsid wsp:val=&quot;00C12F87&quot;/&gt;&lt;wsp:rsid wsp:val=&quot;00C12FF1&quot;/&gt;&lt;wsp:rsid wsp:val=&quot;00C150FE&quot;/&gt;&lt;wsp:rsid wsp:val=&quot;00C156C0&quot;/&gt;&lt;wsp:rsid wsp:val=&quot;00C15C4E&quot;/&gt;&lt;wsp:rsid wsp:val=&quot;00C17741&quot;/&gt;&lt;wsp:rsid wsp:val=&quot;00C17BA6&quot;/&gt;&lt;wsp:rsid wsp:val=&quot;00C2097D&quot;/&gt;&lt;wsp:rsid wsp:val=&quot;00C21368&quot;/&gt;&lt;wsp:rsid wsp:val=&quot;00C21498&quot;/&gt;&lt;wsp:rsid wsp:val=&quot;00C21EC4&quot;/&gt;&lt;wsp:rsid wsp:val=&quot;00C21EDD&quot;/&gt;&lt;wsp:rsid wsp:val=&quot;00C22317&quot;/&gt;&lt;wsp:rsid wsp:val=&quot;00C22881&quot;/&gt;&lt;wsp:rsid wsp:val=&quot;00C22BB5&quot;/&gt;&lt;wsp:rsid wsp:val=&quot;00C2481F&quot;/&gt;&lt;wsp:rsid wsp:val=&quot;00C25715&quot;/&gt;&lt;wsp:rsid wsp:val=&quot;00C26027&quot;/&gt;&lt;wsp:rsid wsp:val=&quot;00C270ED&quot;/&gt;&lt;wsp:rsid wsp:val=&quot;00C277BA&quot;/&gt;&lt;wsp:rsid wsp:val=&quot;00C30056&quot;/&gt;&lt;wsp:rsid wsp:val=&quot;00C308C0&quot;/&gt;&lt;wsp:rsid wsp:val=&quot;00C30CF4&quot;/&gt;&lt;wsp:rsid wsp:val=&quot;00C31A5A&quot;/&gt;&lt;wsp:rsid wsp:val=&quot;00C31AC0&quot;/&gt;&lt;wsp:rsid wsp:val=&quot;00C32913&quot;/&gt;&lt;wsp:rsid wsp:val=&quot;00C33744&quot;/&gt;&lt;wsp:rsid wsp:val=&quot;00C342C7&quot;/&gt;&lt;wsp:rsid wsp:val=&quot;00C34989&quot;/&gt;&lt;wsp:rsid wsp:val=&quot;00C35362&quot;/&gt;&lt;wsp:rsid wsp:val=&quot;00C35C11&quot;/&gt;&lt;wsp:rsid wsp:val=&quot;00C35D8B&quot;/&gt;&lt;wsp:rsid wsp:val=&quot;00C35DD7&quot;/&gt;&lt;wsp:rsid wsp:val=&quot;00C36028&quot;/&gt;&lt;wsp:rsid wsp:val=&quot;00C36449&quot;/&gt;&lt;wsp:rsid wsp:val=&quot;00C370C5&quot;/&gt;&lt;wsp:rsid wsp:val=&quot;00C379AA&quot;/&gt;&lt;wsp:rsid wsp:val=&quot;00C37DDF&quot;/&gt;&lt;wsp:rsid wsp:val=&quot;00C40ACA&quot;/&gt;&lt;wsp:rsid wsp:val=&quot;00C40D11&quot;/&gt;&lt;wsp:rsid wsp:val=&quot;00C40FC8&quot;/&gt;&lt;wsp:rsid wsp:val=&quot;00C4196D&quot;/&gt;&lt;wsp:rsid wsp:val=&quot;00C41CBC&quot;/&gt;&lt;wsp:rsid wsp:val=&quot;00C43F59&quot;/&gt;&lt;wsp:rsid wsp:val=&quot;00C43FC7&quot;/&gt;&lt;wsp:rsid wsp:val=&quot;00C44362&quot;/&gt;&lt;wsp:rsid wsp:val=&quot;00C45134&quot;/&gt;&lt;wsp:rsid wsp:val=&quot;00C45CBC&quot;/&gt;&lt;wsp:rsid wsp:val=&quot;00C46052&quot;/&gt;&lt;wsp:rsid wsp:val=&quot;00C461E6&quot;/&gt;&lt;wsp:rsid wsp:val=&quot;00C46BCD&quot;/&gt;&lt;wsp:rsid wsp:val=&quot;00C47C4A&quot;/&gt;&lt;wsp:rsid wsp:val=&quot;00C5039E&quot;/&gt;&lt;wsp:rsid wsp:val=&quot;00C52896&quot;/&gt;&lt;wsp:rsid wsp:val=&quot;00C52FEA&quot;/&gt;&lt;wsp:rsid wsp:val=&quot;00C538D5&quot;/&gt;&lt;wsp:rsid wsp:val=&quot;00C53E51&quot;/&gt;&lt;wsp:rsid wsp:val=&quot;00C5404E&quot;/&gt;&lt;wsp:rsid wsp:val=&quot;00C54F13&quot;/&gt;&lt;wsp:rsid wsp:val=&quot;00C54FA4&quot;/&gt;&lt;wsp:rsid wsp:val=&quot;00C55FCE&quot;/&gt;&lt;wsp:rsid wsp:val=&quot;00C5620E&quot;/&gt;&lt;wsp:rsid wsp:val=&quot;00C56245&quot;/&gt;&lt;wsp:rsid wsp:val=&quot;00C5630B&quot;/&gt;&lt;wsp:rsid wsp:val=&quot;00C564B1&quot;/&gt;&lt;wsp:rsid wsp:val=&quot;00C567BB&quot;/&gt;&lt;wsp:rsid wsp:val=&quot;00C57513&quot;/&gt;&lt;wsp:rsid wsp:val=&quot;00C57CA0&quot;/&gt;&lt;wsp:rsid wsp:val=&quot;00C60EE8&quot;/&gt;&lt;wsp:rsid wsp:val=&quot;00C61792&quot;/&gt;&lt;wsp:rsid wsp:val=&quot;00C61DF9&quot;/&gt;&lt;wsp:rsid wsp:val=&quot;00C61FD8&quot;/&gt;&lt;wsp:rsid wsp:val=&quot;00C62A64&quot;/&gt;&lt;wsp:rsid wsp:val=&quot;00C62F70&quot;/&gt;&lt;wsp:rsid wsp:val=&quot;00C6300E&quot;/&gt;&lt;wsp:rsid wsp:val=&quot;00C63633&quot;/&gt;&lt;wsp:rsid wsp:val=&quot;00C63BC5&quot;/&gt;&lt;wsp:rsid wsp:val=&quot;00C63BCA&quot;/&gt;&lt;wsp:rsid wsp:val=&quot;00C64A0D&quot;/&gt;&lt;wsp:rsid wsp:val=&quot;00C65027&quot;/&gt;&lt;wsp:rsid wsp:val=&quot;00C657DF&quot;/&gt;&lt;wsp:rsid wsp:val=&quot;00C65869&quot;/&gt;&lt;wsp:rsid wsp:val=&quot;00C665EE&quot;/&gt;&lt;wsp:rsid wsp:val=&quot;00C6731E&quot;/&gt;&lt;wsp:rsid wsp:val=&quot;00C700AF&quot;/&gt;&lt;wsp:rsid wsp:val=&quot;00C71A0A&quot;/&gt;&lt;wsp:rsid wsp:val=&quot;00C724F8&quot;/&gt;&lt;wsp:rsid wsp:val=&quot;00C7297F&quot;/&gt;&lt;wsp:rsid wsp:val=&quot;00C73000&quot;/&gt;&lt;wsp:rsid wsp:val=&quot;00C74CC5&quot;/&gt;&lt;wsp:rsid wsp:val=&quot;00C74CD8&quot;/&gt;&lt;wsp:rsid wsp:val=&quot;00C7510F&quot;/&gt;&lt;wsp:rsid wsp:val=&quot;00C75689&quot;/&gt;&lt;wsp:rsid wsp:val=&quot;00C77639&quot;/&gt;&lt;wsp:rsid wsp:val=&quot;00C77B1E&quot;/&gt;&lt;wsp:rsid wsp:val=&quot;00C77D27&quot;/&gt;&lt;wsp:rsid wsp:val=&quot;00C8006B&quot;/&gt;&lt;wsp:rsid wsp:val=&quot;00C812C0&quot;/&gt;&lt;wsp:rsid wsp:val=&quot;00C81E94&quot;/&gt;&lt;wsp:rsid wsp:val=&quot;00C81F73&quot;/&gt;&lt;wsp:rsid wsp:val=&quot;00C81FD8&quot;/&gt;&lt;wsp:rsid wsp:val=&quot;00C8214A&quot;/&gt;&lt;wsp:rsid wsp:val=&quot;00C82F7C&quot;/&gt;&lt;wsp:rsid wsp:val=&quot;00C82FB4&quot;/&gt;&lt;wsp:rsid wsp:val=&quot;00C833F3&quot;/&gt;&lt;wsp:rsid wsp:val=&quot;00C837CF&quot;/&gt;&lt;wsp:rsid wsp:val=&quot;00C85412&quot;/&gt;&lt;wsp:rsid wsp:val=&quot;00C857BC&quot;/&gt;&lt;wsp:rsid wsp:val=&quot;00C85AE7&quot;/&gt;&lt;wsp:rsid wsp:val=&quot;00C86CC3&quot;/&gt;&lt;wsp:rsid wsp:val=&quot;00C87A88&quot;/&gt;&lt;wsp:rsid wsp:val=&quot;00C87F7C&quot;/&gt;&lt;wsp:rsid wsp:val=&quot;00C901C6&quot;/&gt;&lt;wsp:rsid wsp:val=&quot;00C9043E&quot;/&gt;&lt;wsp:rsid wsp:val=&quot;00C90738&quot;/&gt;&lt;wsp:rsid wsp:val=&quot;00C90A66&quot;/&gt;&lt;wsp:rsid wsp:val=&quot;00C92314&quot;/&gt;&lt;wsp:rsid wsp:val=&quot;00C92C8D&quot;/&gt;&lt;wsp:rsid wsp:val=&quot;00C92EE5&quot;/&gt;&lt;wsp:rsid wsp:val=&quot;00C93F3C&quot;/&gt;&lt;wsp:rsid wsp:val=&quot;00C94BBF&quot;/&gt;&lt;wsp:rsid wsp:val=&quot;00C9590D&quot;/&gt;&lt;wsp:rsid wsp:val=&quot;00C96622&quot;/&gt;&lt;wsp:rsid wsp:val=&quot;00CA122F&quot;/&gt;&lt;wsp:rsid wsp:val=&quot;00CA1C29&quot;/&gt;&lt;wsp:rsid wsp:val=&quot;00CA1C4D&quot;/&gt;&lt;wsp:rsid wsp:val=&quot;00CA2EEC&quot;/&gt;&lt;wsp:rsid wsp:val=&quot;00CA3A7C&quot;/&gt;&lt;wsp:rsid wsp:val=&quot;00CA3AAC&quot;/&gt;&lt;wsp:rsid wsp:val=&quot;00CA4E47&quot;/&gt;&lt;wsp:rsid wsp:val=&quot;00CA513F&quot;/&gt;&lt;wsp:rsid wsp:val=&quot;00CA5EAA&quot;/&gt;&lt;wsp:rsid wsp:val=&quot;00CA7E54&quot;/&gt;&lt;wsp:rsid wsp:val=&quot;00CB07CA&quot;/&gt;&lt;wsp:rsid wsp:val=&quot;00CB0963&quot;/&gt;&lt;wsp:rsid wsp:val=&quot;00CB13E0&quot;/&gt;&lt;wsp:rsid wsp:val=&quot;00CB2D1F&quot;/&gt;&lt;wsp:rsid wsp:val=&quot;00CB3ED8&quot;/&gt;&lt;wsp:rsid wsp:val=&quot;00CB3F87&quot;/&gt;&lt;wsp:rsid wsp:val=&quot;00CB4539&quot;/&gt;&lt;wsp:rsid wsp:val=&quot;00CB54D8&quot;/&gt;&lt;wsp:rsid wsp:val=&quot;00CB5A33&quot;/&gt;&lt;wsp:rsid wsp:val=&quot;00CB7E85&quot;/&gt;&lt;wsp:rsid wsp:val=&quot;00CC08A2&quot;/&gt;&lt;wsp:rsid wsp:val=&quot;00CC115D&quot;/&gt;&lt;wsp:rsid wsp:val=&quot;00CC30C6&quot;/&gt;&lt;wsp:rsid wsp:val=&quot;00CC468B&quot;/&gt;&lt;wsp:rsid wsp:val=&quot;00CC4ACC&quot;/&gt;&lt;wsp:rsid wsp:val=&quot;00CC4B30&quot;/&gt;&lt;wsp:rsid wsp:val=&quot;00CC6495&quot;/&gt;&lt;wsp:rsid wsp:val=&quot;00CC6DE7&quot;/&gt;&lt;wsp:rsid wsp:val=&quot;00CC766B&quot;/&gt;&lt;wsp:rsid wsp:val=&quot;00CD045C&quot;/&gt;&lt;wsp:rsid wsp:val=&quot;00CD180E&quot;/&gt;&lt;wsp:rsid wsp:val=&quot;00CD277E&quot;/&gt;&lt;wsp:rsid wsp:val=&quot;00CD2E96&quot;/&gt;&lt;wsp:rsid wsp:val=&quot;00CD3167&quot;/&gt;&lt;wsp:rsid wsp:val=&quot;00CD3B28&quot;/&gt;&lt;wsp:rsid wsp:val=&quot;00CD3EC1&quot;/&gt;&lt;wsp:rsid wsp:val=&quot;00CD4527&quot;/&gt;&lt;wsp:rsid wsp:val=&quot;00CD5E6C&quot;/&gt;&lt;wsp:rsid wsp:val=&quot;00CD6092&quot;/&gt;&lt;wsp:rsid wsp:val=&quot;00CD61C3&quot;/&gt;&lt;wsp:rsid wsp:val=&quot;00CD6736&quot;/&gt;&lt;wsp:rsid wsp:val=&quot;00CD68CB&quot;/&gt;&lt;wsp:rsid wsp:val=&quot;00CD6CF4&quot;/&gt;&lt;wsp:rsid wsp:val=&quot;00CD78E2&quot;/&gt;&lt;wsp:rsid wsp:val=&quot;00CE01D4&quot;/&gt;&lt;wsp:rsid wsp:val=&quot;00CE020A&quot;/&gt;&lt;wsp:rsid wsp:val=&quot;00CE15F9&quot;/&gt;&lt;wsp:rsid wsp:val=&quot;00CE17CA&quot;/&gt;&lt;wsp:rsid wsp:val=&quot;00CE1B19&quot;/&gt;&lt;wsp:rsid wsp:val=&quot;00CE2511&quot;/&gt;&lt;wsp:rsid wsp:val=&quot;00CE379C&quot;/&gt;&lt;wsp:rsid wsp:val=&quot;00CE3846&quot;/&gt;&lt;wsp:rsid wsp:val=&quot;00CE476D&quot;/&gt;&lt;wsp:rsid wsp:val=&quot;00CE5B57&quot;/&gt;&lt;wsp:rsid wsp:val=&quot;00CE5EC1&quot;/&gt;&lt;wsp:rsid wsp:val=&quot;00CE5EC7&quot;/&gt;&lt;wsp:rsid wsp:val=&quot;00CE71D0&quot;/&gt;&lt;wsp:rsid wsp:val=&quot;00CE728E&quot;/&gt;&lt;wsp:rsid wsp:val=&quot;00CE77A0&quot;/&gt;&lt;wsp:rsid wsp:val=&quot;00CF0F1B&quot;/&gt;&lt;wsp:rsid wsp:val=&quot;00CF1BA5&quot;/&gt;&lt;wsp:rsid wsp:val=&quot;00CF2CC0&quot;/&gt;&lt;wsp:rsid wsp:val=&quot;00CF2FBB&quot;/&gt;&lt;wsp:rsid wsp:val=&quot;00CF3ADF&quot;/&gt;&lt;wsp:rsid wsp:val=&quot;00CF3B6E&quot;/&gt;&lt;wsp:rsid wsp:val=&quot;00CF3C3D&quot;/&gt;&lt;wsp:rsid wsp:val=&quot;00CF54D2&quot;/&gt;&lt;wsp:rsid wsp:val=&quot;00CF69DE&quot;/&gt;&lt;wsp:rsid wsp:val=&quot;00CF6EEE&quot;/&gt;&lt;wsp:rsid wsp:val=&quot;00CF7DF7&quot;/&gt;&lt;wsp:rsid wsp:val=&quot;00CF7E09&quot;/&gt;&lt;wsp:rsid wsp:val=&quot;00D02180&quot;/&gt;&lt;wsp:rsid wsp:val=&quot;00D02790&quot;/&gt;&lt;wsp:rsid wsp:val=&quot;00D042B3&quot;/&gt;&lt;wsp:rsid wsp:val=&quot;00D051DC&quot;/&gt;&lt;wsp:rsid wsp:val=&quot;00D05220&quot;/&gt;&lt;wsp:rsid wsp:val=&quot;00D06288&quot;/&gt;&lt;wsp:rsid wsp:val=&quot;00D06323&quot;/&gt;&lt;wsp:rsid wsp:val=&quot;00D067EA&quot;/&gt;&lt;wsp:rsid wsp:val=&quot;00D06D96&quot;/&gt;&lt;wsp:rsid wsp:val=&quot;00D07621&quot;/&gt;&lt;wsp:rsid wsp:val=&quot;00D07BF3&quot;/&gt;&lt;wsp:rsid wsp:val=&quot;00D101ED&quot;/&gt;&lt;wsp:rsid wsp:val=&quot;00D104CF&quot;/&gt;&lt;wsp:rsid wsp:val=&quot;00D10EDA&quot;/&gt;&lt;wsp:rsid wsp:val=&quot;00D120C5&quot;/&gt;&lt;wsp:rsid wsp:val=&quot;00D1220A&quot;/&gt;&lt;wsp:rsid wsp:val=&quot;00D126BB&quot;/&gt;&lt;wsp:rsid wsp:val=&quot;00D127B0&quot;/&gt;&lt;wsp:rsid wsp:val=&quot;00D13AED&quot;/&gt;&lt;wsp:rsid wsp:val=&quot;00D13F9F&quot;/&gt;&lt;wsp:rsid wsp:val=&quot;00D140F1&quot;/&gt;&lt;wsp:rsid wsp:val=&quot;00D144A9&quot;/&gt;&lt;wsp:rsid wsp:val=&quot;00D14868&quot;/&gt;&lt;wsp:rsid wsp:val=&quot;00D15F18&quot;/&gt;&lt;wsp:rsid wsp:val=&quot;00D175F4&quot;/&gt;&lt;wsp:rsid wsp:val=&quot;00D17F6C&quot;/&gt;&lt;wsp:rsid wsp:val=&quot;00D20039&quot;/&gt;&lt;wsp:rsid wsp:val=&quot;00D20CA3&quot;/&gt;&lt;wsp:rsid wsp:val=&quot;00D216A7&quot;/&gt;&lt;wsp:rsid wsp:val=&quot;00D21A04&quot;/&gt;&lt;wsp:rsid wsp:val=&quot;00D22310&quot;/&gt;&lt;wsp:rsid wsp:val=&quot;00D22CB1&quot;/&gt;&lt;wsp:rsid wsp:val=&quot;00D235CE&quot;/&gt;&lt;wsp:rsid wsp:val=&quot;00D23EC1&quot;/&gt;&lt;wsp:rsid wsp:val=&quot;00D2459E&quot;/&gt;&lt;wsp:rsid wsp:val=&quot;00D24F87&quot;/&gt;&lt;wsp:rsid wsp:val=&quot;00D25358&quot;/&gt;&lt;wsp:rsid wsp:val=&quot;00D25536&quot;/&gt;&lt;wsp:rsid wsp:val=&quot;00D2631F&quot;/&gt;&lt;wsp:rsid wsp:val=&quot;00D302FE&quot;/&gt;&lt;wsp:rsid wsp:val=&quot;00D30C98&quot;/&gt;&lt;wsp:rsid wsp:val=&quot;00D31257&quot;/&gt;&lt;wsp:rsid wsp:val=&quot;00D31504&quot;/&gt;&lt;wsp:rsid wsp:val=&quot;00D32951&quot;/&gt;&lt;wsp:rsid wsp:val=&quot;00D32F1E&quot;/&gt;&lt;wsp:rsid wsp:val=&quot;00D3311D&quot;/&gt;&lt;wsp:rsid wsp:val=&quot;00D3312B&quot;/&gt;&lt;wsp:rsid wsp:val=&quot;00D342E2&quot;/&gt;&lt;wsp:rsid wsp:val=&quot;00D34538&quot;/&gt;&lt;wsp:rsid wsp:val=&quot;00D34FD1&quot;/&gt;&lt;wsp:rsid wsp:val=&quot;00D36109&quot;/&gt;&lt;wsp:rsid wsp:val=&quot;00D36666&quot;/&gt;&lt;wsp:rsid wsp:val=&quot;00D372D6&quot;/&gt;&lt;wsp:rsid wsp:val=&quot;00D37D72&quot;/&gt;&lt;wsp:rsid wsp:val=&quot;00D40163&quot;/&gt;&lt;wsp:rsid wsp:val=&quot;00D40DAD&quot;/&gt;&lt;wsp:rsid wsp:val=&quot;00D418C6&quot;/&gt;&lt;wsp:rsid wsp:val=&quot;00D41B26&quot;/&gt;&lt;wsp:rsid wsp:val=&quot;00D43010&quot;/&gt;&lt;wsp:rsid wsp:val=&quot;00D43C52&quot;/&gt;&lt;wsp:rsid wsp:val=&quot;00D43F66&quot;/&gt;&lt;wsp:rsid wsp:val=&quot;00D44625&quot;/&gt;&lt;wsp:rsid wsp:val=&quot;00D45BA3&quot;/&gt;&lt;wsp:rsid wsp:val=&quot;00D45D23&quot;/&gt;&lt;wsp:rsid wsp:val=&quot;00D46B54&quot;/&gt;&lt;wsp:rsid wsp:val=&quot;00D46DDA&quot;/&gt;&lt;wsp:rsid wsp:val=&quot;00D50640&quot;/&gt;&lt;wsp:rsid wsp:val=&quot;00D510AD&quot;/&gt;&lt;wsp:rsid wsp:val=&quot;00D5181C&quot;/&gt;&lt;wsp:rsid wsp:val=&quot;00D52915&quot;/&gt;&lt;wsp:rsid wsp:val=&quot;00D53561&quot;/&gt;&lt;wsp:rsid wsp:val=&quot;00D53835&quot;/&gt;&lt;wsp:rsid wsp:val=&quot;00D53AA2&quot;/&gt;&lt;wsp:rsid wsp:val=&quot;00D54263&quot;/&gt;&lt;wsp:rsid wsp:val=&quot;00D547BA&quot;/&gt;&lt;wsp:rsid wsp:val=&quot;00D56448&quot;/&gt;&lt;wsp:rsid wsp:val=&quot;00D56BBD&quot;/&gt;&lt;wsp:rsid wsp:val=&quot;00D56D91&quot;/&gt;&lt;wsp:rsid wsp:val=&quot;00D56DB9&quot;/&gt;&lt;wsp:rsid wsp:val=&quot;00D57824&quot;/&gt;&lt;wsp:rsid wsp:val=&quot;00D57A39&quot;/&gt;&lt;wsp:rsid wsp:val=&quot;00D57F30&quot;/&gt;&lt;wsp:rsid wsp:val=&quot;00D60606&quot;/&gt;&lt;wsp:rsid wsp:val=&quot;00D607FA&quot;/&gt;&lt;wsp:rsid wsp:val=&quot;00D60C99&quot;/&gt;&lt;wsp:rsid wsp:val=&quot;00D610F7&quot;/&gt;&lt;wsp:rsid wsp:val=&quot;00D6159C&quot;/&gt;&lt;wsp:rsid wsp:val=&quot;00D6170A&quot;/&gt;&lt;wsp:rsid wsp:val=&quot;00D61B24&quot;/&gt;&lt;wsp:rsid wsp:val=&quot;00D62204&quot;/&gt;&lt;wsp:rsid wsp:val=&quot;00D6230F&quot;/&gt;&lt;wsp:rsid wsp:val=&quot;00D62852&quot;/&gt;&lt;wsp:rsid wsp:val=&quot;00D63712&quot;/&gt;&lt;wsp:rsid wsp:val=&quot;00D638AE&quot;/&gt;&lt;wsp:rsid wsp:val=&quot;00D63E61&quot;/&gt;&lt;wsp:rsid wsp:val=&quot;00D64017&quot;/&gt;&lt;wsp:rsid wsp:val=&quot;00D6436E&quot;/&gt;&lt;wsp:rsid wsp:val=&quot;00D64A3E&quot;/&gt;&lt;wsp:rsid wsp:val=&quot;00D65BA7&quot;/&gt;&lt;wsp:rsid wsp:val=&quot;00D6667C&quot;/&gt;&lt;wsp:rsid wsp:val=&quot;00D67430&quot;/&gt;&lt;wsp:rsid wsp:val=&quot;00D67BC2&quot;/&gt;&lt;wsp:rsid wsp:val=&quot;00D710F3&quot;/&gt;&lt;wsp:rsid wsp:val=&quot;00D71302&quot;/&gt;&lt;wsp:rsid wsp:val=&quot;00D7135C&quot;/&gt;&lt;wsp:rsid wsp:val=&quot;00D742A8&quot;/&gt;&lt;wsp:rsid wsp:val=&quot;00D74311&quot;/&gt;&lt;wsp:rsid wsp:val=&quot;00D744D0&quot;/&gt;&lt;wsp:rsid wsp:val=&quot;00D746EB&quot;/&gt;&lt;wsp:rsid wsp:val=&quot;00D7689D&quot;/&gt;&lt;wsp:rsid wsp:val=&quot;00D8083B&quot;/&gt;&lt;wsp:rsid wsp:val=&quot;00D809E2&quot;/&gt;&lt;wsp:rsid wsp:val=&quot;00D81183&quot;/&gt;&lt;wsp:rsid wsp:val=&quot;00D81206&quot;/&gt;&lt;wsp:rsid wsp:val=&quot;00D817C5&quot;/&gt;&lt;wsp:rsid wsp:val=&quot;00D81A72&quot;/&gt;&lt;wsp:rsid wsp:val=&quot;00D81E97&quot;/&gt;&lt;wsp:rsid wsp:val=&quot;00D82322&quot;/&gt;&lt;wsp:rsid wsp:val=&quot;00D82914&quot;/&gt;&lt;wsp:rsid wsp:val=&quot;00D83028&quot;/&gt;&lt;wsp:rsid wsp:val=&quot;00D8342F&quot;/&gt;&lt;wsp:rsid wsp:val=&quot;00D83B0A&quot;/&gt;&lt;wsp:rsid wsp:val=&quot;00D8489E&quot;/&gt;&lt;wsp:rsid wsp:val=&quot;00D84A33&quot;/&gt;&lt;wsp:rsid wsp:val=&quot;00D85D43&quot;/&gt;&lt;wsp:rsid wsp:val=&quot;00D86471&quot;/&gt;&lt;wsp:rsid wsp:val=&quot;00D86F55&quot;/&gt;&lt;wsp:rsid wsp:val=&quot;00D87EE8&quot;/&gt;&lt;wsp:rsid wsp:val=&quot;00D90AD0&quot;/&gt;&lt;wsp:rsid wsp:val=&quot;00D90BE7&quot;/&gt;&lt;wsp:rsid wsp:val=&quot;00D91D6D&quot;/&gt;&lt;wsp:rsid wsp:val=&quot;00D91F9D&quot;/&gt;&lt;wsp:rsid wsp:val=&quot;00D93863&quot;/&gt;&lt;wsp:rsid wsp:val=&quot;00D9399E&quot;/&gt;&lt;wsp:rsid wsp:val=&quot;00D9419D&quot;/&gt;&lt;wsp:rsid wsp:val=&quot;00D950AD&quot;/&gt;&lt;wsp:rsid wsp:val=&quot;00D951A9&quot;/&gt;&lt;wsp:rsid wsp:val=&quot;00D956A9&quot;/&gt;&lt;wsp:rsid wsp:val=&quot;00D95D17&quot;/&gt;&lt;wsp:rsid wsp:val=&quot;00D96102&quot;/&gt;&lt;wsp:rsid wsp:val=&quot;00D9655B&quot;/&gt;&lt;wsp:rsid wsp:val=&quot;00D96DDD&quot;/&gt;&lt;wsp:rsid wsp:val=&quot;00D974E9&quot;/&gt;&lt;wsp:rsid wsp:val=&quot;00D97C92&quot;/&gt;&lt;wsp:rsid wsp:val=&quot;00D97D4E&quot;/&gt;&lt;wsp:rsid wsp:val=&quot;00DA07AE&quot;/&gt;&lt;wsp:rsid wsp:val=&quot;00DA0D27&quot;/&gt;&lt;wsp:rsid wsp:val=&quot;00DA1AF8&quot;/&gt;&lt;wsp:rsid wsp:val=&quot;00DA1C33&quot;/&gt;&lt;wsp:rsid wsp:val=&quot;00DA2364&quot;/&gt;&lt;wsp:rsid wsp:val=&quot;00DA3481&quot;/&gt;&lt;wsp:rsid wsp:val=&quot;00DA3A2C&quot;/&gt;&lt;wsp:rsid wsp:val=&quot;00DA3BD2&quot;/&gt;&lt;wsp:rsid wsp:val=&quot;00DA54A2&quot;/&gt;&lt;wsp:rsid wsp:val=&quot;00DA6E32&quot;/&gt;&lt;wsp:rsid wsp:val=&quot;00DA79AA&quot;/&gt;&lt;wsp:rsid wsp:val=&quot;00DB00FD&quot;/&gt;&lt;wsp:rsid wsp:val=&quot;00DB0977&quot;/&gt;&lt;wsp:rsid wsp:val=&quot;00DB1483&quot;/&gt;&lt;wsp:rsid wsp:val=&quot;00DB1CB1&quot;/&gt;&lt;wsp:rsid wsp:val=&quot;00DB215C&quot;/&gt;&lt;wsp:rsid wsp:val=&quot;00DB2864&quot;/&gt;&lt;wsp:rsid wsp:val=&quot;00DB2D9C&quot;/&gt;&lt;wsp:rsid wsp:val=&quot;00DB33A7&quot;/&gt;&lt;wsp:rsid wsp:val=&quot;00DB37CE&quot;/&gt;&lt;wsp:rsid wsp:val=&quot;00DB4346&quot;/&gt;&lt;wsp:rsid wsp:val=&quot;00DB52C8&quot;/&gt;&lt;wsp:rsid wsp:val=&quot;00DB535A&quot;/&gt;&lt;wsp:rsid wsp:val=&quot;00DB59E4&quot;/&gt;&lt;wsp:rsid wsp:val=&quot;00DB5B19&quot;/&gt;&lt;wsp:rsid wsp:val=&quot;00DB5FF1&quot;/&gt;&lt;wsp:rsid wsp:val=&quot;00DB63D3&quot;/&gt;&lt;wsp:rsid wsp:val=&quot;00DB6407&quot;/&gt;&lt;wsp:rsid wsp:val=&quot;00DC1336&quot;/&gt;&lt;wsp:rsid wsp:val=&quot;00DC165E&quot;/&gt;&lt;wsp:rsid wsp:val=&quot;00DC21F0&quot;/&gt;&lt;wsp:rsid wsp:val=&quot;00DC25FF&quot;/&gt;&lt;wsp:rsid wsp:val=&quot;00DC2A04&quot;/&gt;&lt;wsp:rsid wsp:val=&quot;00DC31BF&quot;/&gt;&lt;wsp:rsid wsp:val=&quot;00DC31F1&quot;/&gt;&lt;wsp:rsid wsp:val=&quot;00DC33CD&quot;/&gt;&lt;wsp:rsid wsp:val=&quot;00DC4044&quot;/&gt;&lt;wsp:rsid wsp:val=&quot;00DC49FC&quot;/&gt;&lt;wsp:rsid wsp:val=&quot;00DC60A0&quot;/&gt;&lt;wsp:rsid wsp:val=&quot;00DC6D0C&quot;/&gt;&lt;wsp:rsid wsp:val=&quot;00DC71AD&quot;/&gt;&lt;wsp:rsid wsp:val=&quot;00DC7818&quot;/&gt;&lt;wsp:rsid wsp:val=&quot;00DD1066&quot;/&gt;&lt;wsp:rsid wsp:val=&quot;00DD1A6F&quot;/&gt;&lt;wsp:rsid wsp:val=&quot;00DD1B66&quot;/&gt;&lt;wsp:rsid wsp:val=&quot;00DD1C6C&quot;/&gt;&lt;wsp:rsid wsp:val=&quot;00DD2264&quot;/&gt;&lt;wsp:rsid wsp:val=&quot;00DD253A&quot;/&gt;&lt;wsp:rsid wsp:val=&quot;00DD400A&quot;/&gt;&lt;wsp:rsid wsp:val=&quot;00DD4714&quot;/&gt;&lt;wsp:rsid wsp:val=&quot;00DD4EC4&quot;/&gt;&lt;wsp:rsid wsp:val=&quot;00DD677C&quot;/&gt;&lt;wsp:rsid wsp:val=&quot;00DD7956&quot;/&gt;&lt;wsp:rsid wsp:val=&quot;00DD79EF&quot;/&gt;&lt;wsp:rsid wsp:val=&quot;00DE03CF&quot;/&gt;&lt;wsp:rsid wsp:val=&quot;00DE1A90&quot;/&gt;&lt;wsp:rsid wsp:val=&quot;00DE2CC6&quot;/&gt;&lt;wsp:rsid wsp:val=&quot;00DE4580&quot;/&gt;&lt;wsp:rsid wsp:val=&quot;00DE50E5&quot;/&gt;&lt;wsp:rsid wsp:val=&quot;00DE5A95&quot;/&gt;&lt;wsp:rsid wsp:val=&quot;00DE5DB4&quot;/&gt;&lt;wsp:rsid wsp:val=&quot;00DE6017&quot;/&gt;&lt;wsp:rsid wsp:val=&quot;00DE6D58&quot;/&gt;&lt;wsp:rsid wsp:val=&quot;00DE74BF&quot;/&gt;&lt;wsp:rsid wsp:val=&quot;00DE78EF&quot;/&gt;&lt;wsp:rsid wsp:val=&quot;00DE7DE5&quot;/&gt;&lt;wsp:rsid wsp:val=&quot;00DE7EDF&quot;/&gt;&lt;wsp:rsid wsp:val=&quot;00DF00B8&quot;/&gt;&lt;wsp:rsid wsp:val=&quot;00DF0488&quot;/&gt;&lt;wsp:rsid wsp:val=&quot;00DF05D9&quot;/&gt;&lt;wsp:rsid wsp:val=&quot;00DF06A2&quot;/&gt;&lt;wsp:rsid wsp:val=&quot;00DF3066&quot;/&gt;&lt;wsp:rsid wsp:val=&quot;00DF34CF&quot;/&gt;&lt;wsp:rsid wsp:val=&quot;00DF35CC&quot;/&gt;&lt;wsp:rsid wsp:val=&quot;00DF4B2A&quot;/&gt;&lt;wsp:rsid wsp:val=&quot;00DF4CE0&quot;/&gt;&lt;wsp:rsid wsp:val=&quot;00DF5314&quot;/&gt;&lt;wsp:rsid wsp:val=&quot;00DF5333&quot;/&gt;&lt;wsp:rsid wsp:val=&quot;00DF5912&quot;/&gt;&lt;wsp:rsid wsp:val=&quot;00DF65BC&quot;/&gt;&lt;wsp:rsid wsp:val=&quot;00DF6647&quot;/&gt;&lt;wsp:rsid wsp:val=&quot;00DF6978&quot;/&gt;&lt;wsp:rsid wsp:val=&quot;00DF6B08&quot;/&gt;&lt;wsp:rsid wsp:val=&quot;00DF72E5&quot;/&gt;&lt;wsp:rsid wsp:val=&quot;00DF77ED&quot;/&gt;&lt;wsp:rsid wsp:val=&quot;00E0025D&quot;/&gt;&lt;wsp:rsid wsp:val=&quot;00E00543&quot;/&gt;&lt;wsp:rsid wsp:val=&quot;00E00A45&quot;/&gt;&lt;wsp:rsid wsp:val=&quot;00E00FEE&quot;/&gt;&lt;wsp:rsid wsp:val=&quot;00E0102D&quot;/&gt;&lt;wsp:rsid wsp:val=&quot;00E0139D&quot;/&gt;&lt;wsp:rsid wsp:val=&quot;00E02285&quot;/&gt;&lt;wsp:rsid wsp:val=&quot;00E0293E&quot;/&gt;&lt;wsp:rsid wsp:val=&quot;00E02FCE&quot;/&gt;&lt;wsp:rsid wsp:val=&quot;00E037B4&quot;/&gt;&lt;wsp:rsid wsp:val=&quot;00E03A20&quot;/&gt;&lt;wsp:rsid wsp:val=&quot;00E03D8B&quot;/&gt;&lt;wsp:rsid wsp:val=&quot;00E04042&quot;/&gt;&lt;wsp:rsid wsp:val=&quot;00E04ADE&quot;/&gt;&lt;wsp:rsid wsp:val=&quot;00E05CD3&quot;/&gt;&lt;wsp:rsid wsp:val=&quot;00E07704&quot;/&gt;&lt;wsp:rsid wsp:val=&quot;00E0790A&quot;/&gt;&lt;wsp:rsid wsp:val=&quot;00E07B3B&quot;/&gt;&lt;wsp:rsid wsp:val=&quot;00E11755&quot;/&gt;&lt;wsp:rsid wsp:val=&quot;00E11D36&quot;/&gt;&lt;wsp:rsid wsp:val=&quot;00E12B74&quot;/&gt;&lt;wsp:rsid wsp:val=&quot;00E154A8&quot;/&gt;&lt;wsp:rsid wsp:val=&quot;00E16067&quot;/&gt;&lt;wsp:rsid wsp:val=&quot;00E164F2&quot;/&gt;&lt;wsp:rsid wsp:val=&quot;00E17062&quot;/&gt;&lt;wsp:rsid wsp:val=&quot;00E202AC&quot;/&gt;&lt;wsp:rsid wsp:val=&quot;00E20967&quot;/&gt;&lt;wsp:rsid wsp:val=&quot;00E21088&quot;/&gt;&lt;wsp:rsid wsp:val=&quot;00E2134D&quot;/&gt;&lt;wsp:rsid wsp:val=&quot;00E2224C&quot;/&gt;&lt;wsp:rsid wsp:val=&quot;00E232E2&quot;/&gt;&lt;wsp:rsid wsp:val=&quot;00E23FF3&quot;/&gt;&lt;wsp:rsid wsp:val=&quot;00E2510A&quot;/&gt;&lt;wsp:rsid wsp:val=&quot;00E26340&quot;/&gt;&lt;wsp:rsid wsp:val=&quot;00E26ACE&quot;/&gt;&lt;wsp:rsid wsp:val=&quot;00E26CFB&quot;/&gt;&lt;wsp:rsid wsp:val=&quot;00E2711B&quot;/&gt;&lt;wsp:rsid wsp:val=&quot;00E27EE5&quot;/&gt;&lt;wsp:rsid wsp:val=&quot;00E308C8&quot;/&gt;&lt;wsp:rsid wsp:val=&quot;00E30B40&quot;/&gt;&lt;wsp:rsid wsp:val=&quot;00E3111A&quot;/&gt;&lt;wsp:rsid wsp:val=&quot;00E32496&quot;/&gt;&lt;wsp:rsid wsp:val=&quot;00E32B4D&quot;/&gt;&lt;wsp:rsid wsp:val=&quot;00E32C3B&quot;/&gt;&lt;wsp:rsid wsp:val=&quot;00E335ED&quot;/&gt;&lt;wsp:rsid wsp:val=&quot;00E33DBB&quot;/&gt;&lt;wsp:rsid wsp:val=&quot;00E346DD&quot;/&gt;&lt;wsp:rsid wsp:val=&quot;00E35775&quot;/&gt;&lt;wsp:rsid wsp:val=&quot;00E37AE4&quot;/&gt;&lt;wsp:rsid wsp:val=&quot;00E419A4&quot;/&gt;&lt;wsp:rsid wsp:val=&quot;00E4282A&quot;/&gt;&lt;wsp:rsid wsp:val=&quot;00E42994&quot;/&gt;&lt;wsp:rsid wsp:val=&quot;00E42ACE&quot;/&gt;&lt;wsp:rsid wsp:val=&quot;00E42BA7&quot;/&gt;&lt;wsp:rsid wsp:val=&quot;00E42BDB&quot;/&gt;&lt;wsp:rsid wsp:val=&quot;00E42C18&quot;/&gt;&lt;wsp:rsid wsp:val=&quot;00E43B69&quot;/&gt;&lt;wsp:rsid wsp:val=&quot;00E451FF&quot;/&gt;&lt;wsp:rsid wsp:val=&quot;00E45554&quot;/&gt;&lt;wsp:rsid wsp:val=&quot;00E4639A&quot;/&gt;&lt;wsp:rsid wsp:val=&quot;00E46A24&quot;/&gt;&lt;wsp:rsid wsp:val=&quot;00E46B62&quot;/&gt;&lt;wsp:rsid wsp:val=&quot;00E4713C&quot;/&gt;&lt;wsp:rsid wsp:val=&quot;00E475D9&quot;/&gt;&lt;wsp:rsid wsp:val=&quot;00E47D02&quot;/&gt;&lt;wsp:rsid wsp:val=&quot;00E50998&quot;/&gt;&lt;wsp:rsid wsp:val=&quot;00E51095&quot;/&gt;&lt;wsp:rsid wsp:val=&quot;00E51C27&quot;/&gt;&lt;wsp:rsid wsp:val=&quot;00E51D02&quot;/&gt;&lt;wsp:rsid wsp:val=&quot;00E53415&quot;/&gt;&lt;wsp:rsid wsp:val=&quot;00E537DA&quot;/&gt;&lt;wsp:rsid wsp:val=&quot;00E53E12&quot;/&gt;&lt;wsp:rsid wsp:val=&quot;00E53FD8&quot;/&gt;&lt;wsp:rsid wsp:val=&quot;00E54C1A&quot;/&gt;&lt;wsp:rsid wsp:val=&quot;00E54EF8&quot;/&gt;&lt;wsp:rsid wsp:val=&quot;00E550EE&quot;/&gt;&lt;wsp:rsid wsp:val=&quot;00E55D77&quot;/&gt;&lt;wsp:rsid wsp:val=&quot;00E56391&quot;/&gt;&lt;wsp:rsid wsp:val=&quot;00E56410&quot;/&gt;&lt;wsp:rsid wsp:val=&quot;00E570E1&quot;/&gt;&lt;wsp:rsid wsp:val=&quot;00E57150&quot;/&gt;&lt;wsp:rsid wsp:val=&quot;00E57B3E&quot;/&gt;&lt;wsp:rsid wsp:val=&quot;00E57C84&quot;/&gt;&lt;wsp:rsid wsp:val=&quot;00E6001C&quot;/&gt;&lt;wsp:rsid wsp:val=&quot;00E61061&quot;/&gt;&lt;wsp:rsid wsp:val=&quot;00E61511&quot;/&gt;&lt;wsp:rsid wsp:val=&quot;00E6242F&quot;/&gt;&lt;wsp:rsid wsp:val=&quot;00E627DD&quot;/&gt;&lt;wsp:rsid wsp:val=&quot;00E62903&quot;/&gt;&lt;wsp:rsid wsp:val=&quot;00E62BDC&quot;/&gt;&lt;wsp:rsid wsp:val=&quot;00E62F86&quot;/&gt;&lt;wsp:rsid wsp:val=&quot;00E63558&quot;/&gt;&lt;wsp:rsid wsp:val=&quot;00E63662&quot;/&gt;&lt;wsp:rsid wsp:val=&quot;00E63812&quot;/&gt;&lt;wsp:rsid wsp:val=&quot;00E640C2&quot;/&gt;&lt;wsp:rsid wsp:val=&quot;00E64DB6&quot;/&gt;&lt;wsp:rsid wsp:val=&quot;00E64F86&quot;/&gt;&lt;wsp:rsid wsp:val=&quot;00E653BD&quot;/&gt;&lt;wsp:rsid wsp:val=&quot;00E658C9&quot;/&gt;&lt;wsp:rsid wsp:val=&quot;00E659A6&quot;/&gt;&lt;wsp:rsid wsp:val=&quot;00E66507&quot;/&gt;&lt;wsp:rsid wsp:val=&quot;00E66AC3&quot;/&gt;&lt;wsp:rsid wsp:val=&quot;00E66DE7&quot;/&gt;&lt;wsp:rsid wsp:val=&quot;00E674C2&quot;/&gt;&lt;wsp:rsid wsp:val=&quot;00E67AF5&quot;/&gt;&lt;wsp:rsid wsp:val=&quot;00E70324&quot;/&gt;&lt;wsp:rsid wsp:val=&quot;00E70B12&quot;/&gt;&lt;wsp:rsid wsp:val=&quot;00E70CE8&quot;/&gt;&lt;wsp:rsid wsp:val=&quot;00E7156E&quot;/&gt;&lt;wsp:rsid wsp:val=&quot;00E7199E&quot;/&gt;&lt;wsp:rsid wsp:val=&quot;00E72723&quot;/&gt;&lt;wsp:rsid wsp:val=&quot;00E73523&quot;/&gt;&lt;wsp:rsid wsp:val=&quot;00E7362A&quot;/&gt;&lt;wsp:rsid wsp:val=&quot;00E739E5&quot;/&gt;&lt;wsp:rsid wsp:val=&quot;00E73AED&quot;/&gt;&lt;wsp:rsid wsp:val=&quot;00E73CE8&quot;/&gt;&lt;wsp:rsid wsp:val=&quot;00E73F73&quot;/&gt;&lt;wsp:rsid wsp:val=&quot;00E74250&quot;/&gt;&lt;wsp:rsid wsp:val=&quot;00E75132&quot;/&gt;&lt;wsp:rsid wsp:val=&quot;00E75373&quot;/&gt;&lt;wsp:rsid wsp:val=&quot;00E75B0D&quot;/&gt;&lt;wsp:rsid wsp:val=&quot;00E7631D&quot;/&gt;&lt;wsp:rsid wsp:val=&quot;00E77D4D&quot;/&gt;&lt;wsp:rsid wsp:val=&quot;00E77F13&quot;/&gt;&lt;wsp:rsid wsp:val=&quot;00E77F3C&quot;/&gt;&lt;wsp:rsid wsp:val=&quot;00E80251&quot;/&gt;&lt;wsp:rsid wsp:val=&quot;00E80535&quot;/&gt;&lt;wsp:rsid wsp:val=&quot;00E81680&quot;/&gt;&lt;wsp:rsid wsp:val=&quot;00E81D69&quot;/&gt;&lt;wsp:rsid wsp:val=&quot;00E837EC&quot;/&gt;&lt;wsp:rsid wsp:val=&quot;00E83FBA&quot;/&gt;&lt;wsp:rsid wsp:val=&quot;00E84240&quot;/&gt;&lt;wsp:rsid wsp:val=&quot;00E848BE&quot;/&gt;&lt;wsp:rsid wsp:val=&quot;00E84BBD&quot;/&gt;&lt;wsp:rsid wsp:val=&quot;00E84C96&quot;/&gt;&lt;wsp:rsid wsp:val=&quot;00E8544A&quot;/&gt;&lt;wsp:rsid wsp:val=&quot;00E85464&quot;/&gt;&lt;wsp:rsid wsp:val=&quot;00E85B6D&quot;/&gt;&lt;wsp:rsid wsp:val=&quot;00E85D74&quot;/&gt;&lt;wsp:rsid wsp:val=&quot;00E85F41&quot;/&gt;&lt;wsp:rsid wsp:val=&quot;00E86916&quot;/&gt;&lt;wsp:rsid wsp:val=&quot;00E869A0&quot;/&gt;&lt;wsp:rsid wsp:val=&quot;00E86A44&quot;/&gt;&lt;wsp:rsid wsp:val=&quot;00E90920&quot;/&gt;&lt;wsp:rsid wsp:val=&quot;00E910BB&quot;/&gt;&lt;wsp:rsid wsp:val=&quot;00E91246&quot;/&gt;&lt;wsp:rsid wsp:val=&quot;00E91322&quot;/&gt;&lt;wsp:rsid wsp:val=&quot;00E91883&quot;/&gt;&lt;wsp:rsid wsp:val=&quot;00E918F3&quot;/&gt;&lt;wsp:rsid wsp:val=&quot;00E91994&quot;/&gt;&lt;wsp:rsid wsp:val=&quot;00E93824&quot;/&gt;&lt;wsp:rsid wsp:val=&quot;00E93BAE&quot;/&gt;&lt;wsp:rsid wsp:val=&quot;00E94787&quot;/&gt;&lt;wsp:rsid wsp:val=&quot;00E94A27&quot;/&gt;&lt;wsp:rsid wsp:val=&quot;00E94B0A&quot;/&gt;&lt;wsp:rsid wsp:val=&quot;00E94D67&quot;/&gt;&lt;wsp:rsid wsp:val=&quot;00E94F32&quot;/&gt;&lt;wsp:rsid wsp:val=&quot;00E95906&quot;/&gt;&lt;wsp:rsid wsp:val=&quot;00E95BFC&quot;/&gt;&lt;wsp:rsid wsp:val=&quot;00E9635A&quot;/&gt;&lt;wsp:rsid wsp:val=&quot;00E964EE&quot;/&gt;&lt;wsp:rsid wsp:val=&quot;00E97690&quot;/&gt;&lt;wsp:rsid wsp:val=&quot;00EA0C5B&quot;/&gt;&lt;wsp:rsid wsp:val=&quot;00EA127F&quot;/&gt;&lt;wsp:rsid wsp:val=&quot;00EA1B3A&quot;/&gt;&lt;wsp:rsid wsp:val=&quot;00EA21FB&quot;/&gt;&lt;wsp:rsid wsp:val=&quot;00EA27C4&quot;/&gt;&lt;wsp:rsid wsp:val=&quot;00EA2818&quot;/&gt;&lt;wsp:rsid wsp:val=&quot;00EA4283&quot;/&gt;&lt;wsp:rsid wsp:val=&quot;00EA4A7A&quot;/&gt;&lt;wsp:rsid wsp:val=&quot;00EA5498&quot;/&gt;&lt;wsp:rsid wsp:val=&quot;00EA5581&quot;/&gt;&lt;wsp:rsid wsp:val=&quot;00EA58B7&quot;/&gt;&lt;wsp:rsid wsp:val=&quot;00EA7849&quot;/&gt;&lt;wsp:rsid wsp:val=&quot;00EA7CE7&quot;/&gt;&lt;wsp:rsid wsp:val=&quot;00EB0326&quot;/&gt;&lt;wsp:rsid wsp:val=&quot;00EB08C7&quot;/&gt;&lt;wsp:rsid wsp:val=&quot;00EB0DA5&quot;/&gt;&lt;wsp:rsid wsp:val=&quot;00EB1895&quot;/&gt;&lt;wsp:rsid wsp:val=&quot;00EB1EBA&quot;/&gt;&lt;wsp:rsid wsp:val=&quot;00EB3CFE&quot;/&gt;&lt;wsp:rsid wsp:val=&quot;00EB3D9A&quot;/&gt;&lt;wsp:rsid wsp:val=&quot;00EB3ED6&quot;/&gt;&lt;wsp:rsid wsp:val=&quot;00EB4E26&quot;/&gt;&lt;wsp:rsid wsp:val=&quot;00EB52D8&quot;/&gt;&lt;wsp:rsid wsp:val=&quot;00EB6540&quot;/&gt;&lt;wsp:rsid wsp:val=&quot;00EB6EB0&quot;/&gt;&lt;wsp:rsid wsp:val=&quot;00EB75C2&quot;/&gt;&lt;wsp:rsid wsp:val=&quot;00EB7953&quot;/&gt;&lt;wsp:rsid wsp:val=&quot;00EC2FA7&quot;/&gt;&lt;wsp:rsid wsp:val=&quot;00EC2FC2&quot;/&gt;&lt;wsp:rsid wsp:val=&quot;00EC3027&quot;/&gt;&lt;wsp:rsid wsp:val=&quot;00EC35F5&quot;/&gt;&lt;wsp:rsid wsp:val=&quot;00EC3644&quot;/&gt;&lt;wsp:rsid wsp:val=&quot;00EC3ABB&quot;/&gt;&lt;wsp:rsid wsp:val=&quot;00EC458C&quot;/&gt;&lt;wsp:rsid wsp:val=&quot;00EC4AF0&quot;/&gt;&lt;wsp:rsid wsp:val=&quot;00EC4D39&quot;/&gt;&lt;wsp:rsid wsp:val=&quot;00EC53D8&quot;/&gt;&lt;wsp:rsid wsp:val=&quot;00EC54FA&quot;/&gt;&lt;wsp:rsid wsp:val=&quot;00EC62EC&quot;/&gt;&lt;wsp:rsid wsp:val=&quot;00EC6463&quot;/&gt;&lt;wsp:rsid wsp:val=&quot;00EC6931&quot;/&gt;&lt;wsp:rsid wsp:val=&quot;00EC7C5C&quot;/&gt;&lt;wsp:rsid wsp:val=&quot;00EC7F3B&quot;/&gt;&lt;wsp:rsid wsp:val=&quot;00ED08A0&quot;/&gt;&lt;wsp:rsid wsp:val=&quot;00ED1D22&quot;/&gt;&lt;wsp:rsid wsp:val=&quot;00ED1ED0&quot;/&gt;&lt;wsp:rsid wsp:val=&quot;00ED2D46&quot;/&gt;&lt;wsp:rsid wsp:val=&quot;00ED4035&quot;/&gt;&lt;wsp:rsid wsp:val=&quot;00ED51D1&quot;/&gt;&lt;wsp:rsid wsp:val=&quot;00ED5209&quot;/&gt;&lt;wsp:rsid wsp:val=&quot;00ED5443&quot;/&gt;&lt;wsp:rsid wsp:val=&quot;00ED57FC&quot;/&gt;&lt;wsp:rsid wsp:val=&quot;00ED5E22&quot;/&gt;&lt;wsp:rsid wsp:val=&quot;00ED5F4D&quot;/&gt;&lt;wsp:rsid wsp:val=&quot;00ED6214&quot;/&gt;&lt;wsp:rsid wsp:val=&quot;00ED6321&quot;/&gt;&lt;wsp:rsid wsp:val=&quot;00ED63F8&quot;/&gt;&lt;wsp:rsid wsp:val=&quot;00EE005C&quot;/&gt;&lt;wsp:rsid wsp:val=&quot;00EE07EB&quot;/&gt;&lt;wsp:rsid wsp:val=&quot;00EE0EBA&quot;/&gt;&lt;wsp:rsid wsp:val=&quot;00EE16AC&quot;/&gt;&lt;wsp:rsid wsp:val=&quot;00EE184B&quot;/&gt;&lt;wsp:rsid wsp:val=&quot;00EE18EA&quot;/&gt;&lt;wsp:rsid wsp:val=&quot;00EE1F8B&quot;/&gt;&lt;wsp:rsid wsp:val=&quot;00EE2002&quot;/&gt;&lt;wsp:rsid wsp:val=&quot;00EE24C7&quot;/&gt;&lt;wsp:rsid wsp:val=&quot;00EE27DE&quot;/&gt;&lt;wsp:rsid wsp:val=&quot;00EE2B45&quot;/&gt;&lt;wsp:rsid wsp:val=&quot;00EE2D92&quot;/&gt;&lt;wsp:rsid wsp:val=&quot;00EE3902&quot;/&gt;&lt;wsp:rsid wsp:val=&quot;00EE3DEB&quot;/&gt;&lt;wsp:rsid wsp:val=&quot;00EE455D&quot;/&gt;&lt;wsp:rsid wsp:val=&quot;00EE4A40&quot;/&gt;&lt;wsp:rsid wsp:val=&quot;00EE4B78&quot;/&gt;&lt;wsp:rsid wsp:val=&quot;00EE4BD7&quot;/&gt;&lt;wsp:rsid wsp:val=&quot;00EE7057&quot;/&gt;&lt;wsp:rsid wsp:val=&quot;00EF04D8&quot;/&gt;&lt;wsp:rsid wsp:val=&quot;00EF0C49&quot;/&gt;&lt;wsp:rsid wsp:val=&quot;00EF154B&quot;/&gt;&lt;wsp:rsid wsp:val=&quot;00EF19C3&quot;/&gt;&lt;wsp:rsid wsp:val=&quot;00EF1B1C&quot;/&gt;&lt;wsp:rsid wsp:val=&quot;00EF1BB4&quot;/&gt;&lt;wsp:rsid wsp:val=&quot;00EF2A1D&quot;/&gt;&lt;wsp:rsid wsp:val=&quot;00EF2E4F&quot;/&gt;&lt;wsp:rsid wsp:val=&quot;00EF3013&quot;/&gt;&lt;wsp:rsid wsp:val=&quot;00EF3CF9&quot;/&gt;&lt;wsp:rsid wsp:val=&quot;00EF3E20&quot;/&gt;&lt;wsp:rsid wsp:val=&quot;00EF4B3B&quot;/&gt;&lt;wsp:rsid wsp:val=&quot;00EF4D7D&quot;/&gt;&lt;wsp:rsid wsp:val=&quot;00EF63CC&quot;/&gt;&lt;wsp:rsid wsp:val=&quot;00EF74F1&quot;/&gt;&lt;wsp:rsid wsp:val=&quot;00EF7AE6&quot;/&gt;&lt;wsp:rsid wsp:val=&quot;00F016FA&quot;/&gt;&lt;wsp:rsid wsp:val=&quot;00F01D5F&quot;/&gt;&lt;wsp:rsid wsp:val=&quot;00F01D7F&quot;/&gt;&lt;wsp:rsid wsp:val=&quot;00F025C4&quot;/&gt;&lt;wsp:rsid wsp:val=&quot;00F028D8&quot;/&gt;&lt;wsp:rsid wsp:val=&quot;00F02F87&quot;/&gt;&lt;wsp:rsid wsp:val=&quot;00F05381&quot;/&gt;&lt;wsp:rsid wsp:val=&quot;00F05AA8&quot;/&gt;&lt;wsp:rsid wsp:val=&quot;00F0738E&quot;/&gt;&lt;wsp:rsid wsp:val=&quot;00F076F1&quot;/&gt;&lt;wsp:rsid wsp:val=&quot;00F07817&quot;/&gt;&lt;wsp:rsid wsp:val=&quot;00F12A22&quot;/&gt;&lt;wsp:rsid wsp:val=&quot;00F14094&quot;/&gt;&lt;wsp:rsid wsp:val=&quot;00F15CD2&quot;/&gt;&lt;wsp:rsid wsp:val=&quot;00F16141&quot;/&gt;&lt;wsp:rsid wsp:val=&quot;00F165ED&quot;/&gt;&lt;wsp:rsid wsp:val=&quot;00F16BC0&quot;/&gt;&lt;wsp:rsid wsp:val=&quot;00F17120&quot;/&gt;&lt;wsp:rsid wsp:val=&quot;00F17219&quot;/&gt;&lt;wsp:rsid wsp:val=&quot;00F174A7&quot;/&gt;&lt;wsp:rsid wsp:val=&quot;00F177BD&quot;/&gt;&lt;wsp:rsid wsp:val=&quot;00F17C01&quot;/&gt;&lt;wsp:rsid wsp:val=&quot;00F2068C&quot;/&gt;&lt;wsp:rsid wsp:val=&quot;00F208BB&quot;/&gt;&lt;wsp:rsid wsp:val=&quot;00F20A1B&quot;/&gt;&lt;wsp:rsid wsp:val=&quot;00F20A5D&quot;/&gt;&lt;wsp:rsid wsp:val=&quot;00F213C6&quot;/&gt;&lt;wsp:rsid wsp:val=&quot;00F213F3&quot;/&gt;&lt;wsp:rsid wsp:val=&quot;00F21EB9&quot;/&gt;&lt;wsp:rsid wsp:val=&quot;00F22608&quot;/&gt;&lt;wsp:rsid wsp:val=&quot;00F22768&quot;/&gt;&lt;wsp:rsid wsp:val=&quot;00F22C1B&quot;/&gt;&lt;wsp:rsid wsp:val=&quot;00F2432B&quot;/&gt;&lt;wsp:rsid wsp:val=&quot;00F2475B&quot;/&gt;&lt;wsp:rsid wsp:val=&quot;00F26CB8&quot;/&gt;&lt;wsp:rsid wsp:val=&quot;00F2786F&quot;/&gt;&lt;wsp:rsid wsp:val=&quot;00F30CF7&quot;/&gt;&lt;wsp:rsid wsp:val=&quot;00F31E22&quot;/&gt;&lt;wsp:rsid wsp:val=&quot;00F332BD&quot;/&gt;&lt;wsp:rsid wsp:val=&quot;00F3338D&quot;/&gt;&lt;wsp:rsid wsp:val=&quot;00F33A86&quot;/&gt;&lt;wsp:rsid wsp:val=&quot;00F33C71&quot;/&gt;&lt;wsp:rsid wsp:val=&quot;00F340E0&quot;/&gt;&lt;wsp:rsid wsp:val=&quot;00F3420C&quot;/&gt;&lt;wsp:rsid wsp:val=&quot;00F34284&quot;/&gt;&lt;wsp:rsid wsp:val=&quot;00F3482F&quot;/&gt;&lt;wsp:rsid wsp:val=&quot;00F34901&quot;/&gt;&lt;wsp:rsid wsp:val=&quot;00F34EA3&quot;/&gt;&lt;wsp:rsid wsp:val=&quot;00F358AE&quot;/&gt;&lt;wsp:rsid wsp:val=&quot;00F35F33&quot;/&gt;&lt;wsp:rsid wsp:val=&quot;00F36F47&quot;/&gt;&lt;wsp:rsid wsp:val=&quot;00F36F49&quot;/&gt;&lt;wsp:rsid wsp:val=&quot;00F37DAE&quot;/&gt;&lt;wsp:rsid wsp:val=&quot;00F40AB3&quot;/&gt;&lt;wsp:rsid wsp:val=&quot;00F40D48&quot;/&gt;&lt;wsp:rsid wsp:val=&quot;00F40D53&quot;/&gt;&lt;wsp:rsid wsp:val=&quot;00F411E6&quot;/&gt;&lt;wsp:rsid wsp:val=&quot;00F41E7E&quot;/&gt;&lt;wsp:rsid wsp:val=&quot;00F4297D&quot;/&gt;&lt;wsp:rsid wsp:val=&quot;00F4330E&quot;/&gt;&lt;wsp:rsid wsp:val=&quot;00F43B1C&quot;/&gt;&lt;wsp:rsid wsp:val=&quot;00F43E0D&quot;/&gt;&lt;wsp:rsid wsp:val=&quot;00F4493C&quot;/&gt;&lt;wsp:rsid wsp:val=&quot;00F44F50&quot;/&gt;&lt;wsp:rsid wsp:val=&quot;00F4528D&quot;/&gt;&lt;wsp:rsid wsp:val=&quot;00F45649&quot;/&gt;&lt;wsp:rsid wsp:val=&quot;00F458D8&quot;/&gt;&lt;wsp:rsid wsp:val=&quot;00F46091&quot;/&gt;&lt;wsp:rsid wsp:val=&quot;00F4611E&quot;/&gt;&lt;wsp:rsid wsp:val=&quot;00F46D2A&quot;/&gt;&lt;wsp:rsid wsp:val=&quot;00F46F0E&quot;/&gt;&lt;wsp:rsid wsp:val=&quot;00F47547&quot;/&gt;&lt;wsp:rsid wsp:val=&quot;00F47A59&quot;/&gt;&lt;wsp:rsid wsp:val=&quot;00F50BB3&quot;/&gt;&lt;wsp:rsid wsp:val=&quot;00F514D2&quot;/&gt;&lt;wsp:rsid wsp:val=&quot;00F51777&quot;/&gt;&lt;wsp:rsid wsp:val=&quot;00F537CA&quot;/&gt;&lt;wsp:rsid wsp:val=&quot;00F53C0D&quot;/&gt;&lt;wsp:rsid wsp:val=&quot;00F54076&quot;/&gt;&lt;wsp:rsid wsp:val=&quot;00F5415C&quot;/&gt;&lt;wsp:rsid wsp:val=&quot;00F54BA3&quot;/&gt;&lt;wsp:rsid wsp:val=&quot;00F54C40&quot;/&gt;&lt;wsp:rsid wsp:val=&quot;00F550B1&quot;/&gt;&lt;wsp:rsid wsp:val=&quot;00F556BE&quot;/&gt;&lt;wsp:rsid wsp:val=&quot;00F5580F&quot;/&gt;&lt;wsp:rsid wsp:val=&quot;00F55C3F&quot;/&gt;&lt;wsp:rsid wsp:val=&quot;00F56624&quot;/&gt;&lt;wsp:rsid wsp:val=&quot;00F56C2F&quot;/&gt;&lt;wsp:rsid wsp:val=&quot;00F57BBF&quot;/&gt;&lt;wsp:rsid wsp:val=&quot;00F6070E&quot;/&gt;&lt;wsp:rsid wsp:val=&quot;00F61AFB&quot;/&gt;&lt;wsp:rsid wsp:val=&quot;00F620DE&quot;/&gt;&lt;wsp:rsid wsp:val=&quot;00F622D8&quot;/&gt;&lt;wsp:rsid wsp:val=&quot;00F63885&quot;/&gt;&lt;wsp:rsid wsp:val=&quot;00F63B70&quot;/&gt;&lt;wsp:rsid wsp:val=&quot;00F63EBA&quot;/&gt;&lt;wsp:rsid wsp:val=&quot;00F63EE4&quot;/&gt;&lt;wsp:rsid wsp:val=&quot;00F65811&quot;/&gt;&lt;wsp:rsid wsp:val=&quot;00F65DF1&quot;/&gt;&lt;wsp:rsid wsp:val=&quot;00F6628E&quot;/&gt;&lt;wsp:rsid wsp:val=&quot;00F66E8F&quot;/&gt;&lt;wsp:rsid wsp:val=&quot;00F67658&quot;/&gt;&lt;wsp:rsid wsp:val=&quot;00F67AA6&quot;/&gt;&lt;wsp:rsid wsp:val=&quot;00F67E2C&quot;/&gt;&lt;wsp:rsid wsp:val=&quot;00F700C6&quot;/&gt;&lt;wsp:rsid wsp:val=&quot;00F70168&quot;/&gt;&lt;wsp:rsid wsp:val=&quot;00F7017E&quot;/&gt;&lt;wsp:rsid wsp:val=&quot;00F70326&quot;/&gt;&lt;wsp:rsid wsp:val=&quot;00F70DEE&quot;/&gt;&lt;wsp:rsid wsp:val=&quot;00F713DC&quot;/&gt;&lt;wsp:rsid wsp:val=&quot;00F71891&quot;/&gt;&lt;wsp:rsid wsp:val=&quot;00F724A7&quot;/&gt;&lt;wsp:rsid wsp:val=&quot;00F72C01&quot;/&gt;&lt;wsp:rsid wsp:val=&quot;00F73F55&quot;/&gt;&lt;wsp:rsid wsp:val=&quot;00F74B7D&quot;/&gt;&lt;wsp:rsid wsp:val=&quot;00F751D4&quot;/&gt;&lt;wsp:rsid wsp:val=&quot;00F75456&quot;/&gt;&lt;wsp:rsid wsp:val=&quot;00F7554D&quot;/&gt;&lt;wsp:rsid wsp:val=&quot;00F75C89&quot;/&gt;&lt;wsp:rsid wsp:val=&quot;00F7679F&quot;/&gt;&lt;wsp:rsid wsp:val=&quot;00F77D64&quot;/&gt;&lt;wsp:rsid wsp:val=&quot;00F80B83&quot;/&gt;&lt;wsp:rsid wsp:val=&quot;00F8107F&quot;/&gt;&lt;wsp:rsid wsp:val=&quot;00F811BF&quot;/&gt;&lt;wsp:rsid wsp:val=&quot;00F8237C&quot;/&gt;&lt;wsp:rsid wsp:val=&quot;00F82E21&quot;/&gt;&lt;wsp:rsid wsp:val=&quot;00F831B4&quot;/&gt;&lt;wsp:rsid wsp:val=&quot;00F83DBA&quot;/&gt;&lt;wsp:rsid wsp:val=&quot;00F84499&quot;/&gt;&lt;wsp:rsid wsp:val=&quot;00F84E6D&quot;/&gt;&lt;wsp:rsid wsp:val=&quot;00F850F1&quot;/&gt;&lt;wsp:rsid wsp:val=&quot;00F85F6C&quot;/&gt;&lt;wsp:rsid wsp:val=&quot;00F90856&quot;/&gt;&lt;wsp:rsid wsp:val=&quot;00F90A2D&quot;/&gt;&lt;wsp:rsid wsp:val=&quot;00F90A7E&quot;/&gt;&lt;wsp:rsid wsp:val=&quot;00F918F2&quot;/&gt;&lt;wsp:rsid wsp:val=&quot;00F91EAA&quot;/&gt;&lt;wsp:rsid wsp:val=&quot;00F920D5&quot;/&gt;&lt;wsp:rsid wsp:val=&quot;00F921CE&quot;/&gt;&lt;wsp:rsid wsp:val=&quot;00F922C3&quot;/&gt;&lt;wsp:rsid wsp:val=&quot;00F925E7&quot;/&gt;&lt;wsp:rsid wsp:val=&quot;00F93070&quot;/&gt;&lt;wsp:rsid wsp:val=&quot;00F93412&quot;/&gt;&lt;wsp:rsid wsp:val=&quot;00F95BF7&quot;/&gt;&lt;wsp:rsid wsp:val=&quot;00F97EF4&quot;/&gt;&lt;wsp:rsid wsp:val=&quot;00FA01FD&quot;/&gt;&lt;wsp:rsid wsp:val=&quot;00FA1368&quot;/&gt;&lt;wsp:rsid wsp:val=&quot;00FA180C&quot;/&gt;&lt;wsp:rsid wsp:val=&quot;00FA2799&quot;/&gt;&lt;wsp:rsid wsp:val=&quot;00FA39CD&quot;/&gt;&lt;wsp:rsid wsp:val=&quot;00FA41C9&quot;/&gt;&lt;wsp:rsid wsp:val=&quot;00FA44A4&quot;/&gt;&lt;wsp:rsid wsp:val=&quot;00FA4F63&quot;/&gt;&lt;wsp:rsid wsp:val=&quot;00FA5634&quot;/&gt;&lt;wsp:rsid wsp:val=&quot;00FA56F3&quot;/&gt;&lt;wsp:rsid wsp:val=&quot;00FA5B9F&quot;/&gt;&lt;wsp:rsid wsp:val=&quot;00FA6082&quot;/&gt;&lt;wsp:rsid wsp:val=&quot;00FA65B1&quot;/&gt;&lt;wsp:rsid wsp:val=&quot;00FA66DC&quot;/&gt;&lt;wsp:rsid wsp:val=&quot;00FA6FB5&quot;/&gt;&lt;wsp:rsid wsp:val=&quot;00FA7235&quot;/&gt;&lt;wsp:rsid wsp:val=&quot;00FA78EA&quot;/&gt;&lt;wsp:rsid wsp:val=&quot;00FA7E49&quot;/&gt;&lt;wsp:rsid wsp:val=&quot;00FA7FAF&quot;/&gt;&lt;wsp:rsid wsp:val=&quot;00FB14D7&quot;/&gt;&lt;wsp:rsid wsp:val=&quot;00FB23DA&quot;/&gt;&lt;wsp:rsid wsp:val=&quot;00FB2B76&quot;/&gt;&lt;wsp:rsid wsp:val=&quot;00FB30D1&quot;/&gt;&lt;wsp:rsid wsp:val=&quot;00FB3B2D&quot;/&gt;&lt;wsp:rsid wsp:val=&quot;00FB3BE1&quot;/&gt;&lt;wsp:rsid wsp:val=&quot;00FB3EBA&quot;/&gt;&lt;wsp:rsid wsp:val=&quot;00FB4EB9&quot;/&gt;&lt;wsp:rsid wsp:val=&quot;00FB5F15&quot;/&gt;&lt;wsp:rsid wsp:val=&quot;00FB614E&quot;/&gt;&lt;wsp:rsid wsp:val=&quot;00FB6434&quot;/&gt;&lt;wsp:rsid wsp:val=&quot;00FB6D84&quot;/&gt;&lt;wsp:rsid wsp:val=&quot;00FB6E79&quot;/&gt;&lt;wsp:rsid wsp:val=&quot;00FB6F78&quot;/&gt;&lt;wsp:rsid wsp:val=&quot;00FB7603&quot;/&gt;&lt;wsp:rsid wsp:val=&quot;00FB7728&quot;/&gt;&lt;wsp:rsid wsp:val=&quot;00FC00AD&quot;/&gt;&lt;wsp:rsid wsp:val=&quot;00FC0298&quot;/&gt;&lt;wsp:rsid wsp:val=&quot;00FC037C&quot;/&gt;&lt;wsp:rsid wsp:val=&quot;00FC1726&quot;/&gt;&lt;wsp:rsid wsp:val=&quot;00FC1BC2&quot;/&gt;&lt;wsp:rsid wsp:val=&quot;00FC255B&quot;/&gt;&lt;wsp:rsid wsp:val=&quot;00FC29BF&quot;/&gt;&lt;wsp:rsid wsp:val=&quot;00FC2B58&quot;/&gt;&lt;wsp:rsid wsp:val=&quot;00FC2F67&quot;/&gt;&lt;wsp:rsid wsp:val=&quot;00FC36E7&quot;/&gt;&lt;wsp:rsid wsp:val=&quot;00FC5D4E&quot;/&gt;&lt;wsp:rsid wsp:val=&quot;00FC6864&quot;/&gt;&lt;wsp:rsid wsp:val=&quot;00FC6FD4&quot;/&gt;&lt;wsp:rsid wsp:val=&quot;00FC7432&quot;/&gt;&lt;wsp:rsid wsp:val=&quot;00FC7BD9&quot;/&gt;&lt;wsp:rsid wsp:val=&quot;00FC7EF5&quot;/&gt;&lt;wsp:rsid wsp:val=&quot;00FD0072&quot;/&gt;&lt;wsp:rsid wsp:val=&quot;00FD09A4&quot;/&gt;&lt;wsp:rsid wsp:val=&quot;00FD1835&quot;/&gt;&lt;wsp:rsid wsp:val=&quot;00FD1D92&quot;/&gt;&lt;wsp:rsid wsp:val=&quot;00FD3510&quot;/&gt;&lt;wsp:rsid wsp:val=&quot;00FD3DF2&quot;/&gt;&lt;wsp:rsid wsp:val=&quot;00FD4050&quot;/&gt;&lt;wsp:rsid wsp:val=&quot;00FD5113&quot;/&gt;&lt;wsp:rsid wsp:val=&quot;00FD59A9&quot;/&gt;&lt;wsp:rsid wsp:val=&quot;00FD5E63&quot;/&gt;&lt;wsp:rsid wsp:val=&quot;00FD62B1&quot;/&gt;&lt;wsp:rsid wsp:val=&quot;00FD66D8&quot;/&gt;&lt;wsp:rsid wsp:val=&quot;00FD771C&quot;/&gt;&lt;wsp:rsid wsp:val=&quot;00FD7991&quot;/&gt;&lt;wsp:rsid wsp:val=&quot;00FE01B4&quot;/&gt;&lt;wsp:rsid wsp:val=&quot;00FE0903&quot;/&gt;&lt;wsp:rsid wsp:val=&quot;00FE0B78&quot;/&gt;&lt;wsp:rsid wsp:val=&quot;00FE2BF2&quot;/&gt;&lt;wsp:rsid wsp:val=&quot;00FE2D4F&quot;/&gt;&lt;wsp:rsid wsp:val=&quot;00FE3437&quot;/&gt;&lt;wsp:rsid wsp:val=&quot;00FE37DF&quot;/&gt;&lt;wsp:rsid wsp:val=&quot;00FE48D1&quot;/&gt;&lt;wsp:rsid wsp:val=&quot;00FE5CBC&quot;/&gt;&lt;wsp:rsid wsp:val=&quot;00FE674D&quot;/&gt;&lt;wsp:rsid wsp:val=&quot;00FE6E85&quot;/&gt;&lt;wsp:rsid wsp:val=&quot;00FF313E&quot;/&gt;&lt;wsp:rsid wsp:val=&quot;00FF319E&quot;/&gt;&lt;wsp:rsid wsp:val=&quot;00FF53AC&quot;/&gt;&lt;wsp:rsid wsp:val=&quot;00FF5558&quot;/&gt;&lt;wsp:rsid wsp:val=&quot;00FF7352&quot;/&gt;&lt;wsp:rsid wsp:val=&quot;00FF7793&quot;/&gt;&lt;wsp:rsid wsp:val=&quot;168E458F&quot;/&gt;&lt;wsp:rsid wsp:val=&quot;5CD76573&quot;/&gt;&lt;wsp:rsid wsp:val=&quot;62B81204&quot;/&gt;&lt;/wsp:rsids&gt;&lt;/w:docPr&gt;&lt;w:body&gt;&lt;w:p wsp:rsidR=&quot;00000000&quot; wsp:rsidRDefault=&quot;002B1DA4&quot;&gt;&lt;m:oMathPara&gt;&lt;m:oMath&gt;&lt;m:r&gt;&lt;m:rPr&gt;&lt;m:sty m:val=&quot;p&quot;/&gt;&lt;/m:rPr&gt;&lt;w:rPr&gt;&lt;w:rFonts w:ascii=&quot;Cambria Math&quot;/&gt;&lt;w:sz w:val=&quot;24&quot;/&gt;&lt;/w:rPr&gt;&lt;m:t&gt;×&lt;/m:t&gt;&lt;/m:r&gt;&lt;/m:oMath&gt;&lt;/m:oMathPara&gt;&lt;/w:p&gt;&lt;w:sectPr wsp:rsidR=&quot;00000000&quot;&gt;&lt;w:pgSz w:w=&quot;12240&quot; w:h=&quot;15840&quot;/&gt;&lt;w:pgMar w:top=&quot;1440&quot; ttttttttttttttttttttttttttw:Pright=&quot;1800&quot; w:bottom=&quot;1440&quot; w:left=&quot;1800&quot; w:header=&quot;720&quot; w:footer=&quot;720&quot; w:gutter=&quot;0&quot;/&gt;&lt;w:cols w:space=&quot;720&quot;/&gt;&lt;/w:sectPr&gt;&lt;/w:body&gt;&lt;/w:wordDocument&gt;">
                  <v:path/>
                  <v:fill on="f" focussize="0,0"/>
                  <v:stroke/>
                  <v:imagedata r:id="rId33" chromakey="#FFFFFF" o:title=""/>
                  <o:lock v:ext="edit" aspectratio="t"/>
                  <w10:wrap type="none"/>
                  <w10:anchorlock/>
                </v:shape>
              </w:pict>
            </w:r>
            <w:r>
              <w:rPr>
                <w:rFonts w:hint="default" w:ascii="Times New Roman" w:hAnsi="Times New Roman" w:cs="Times New Roman"/>
                <w:b w:val="0"/>
                <w:bCs w:val="0"/>
                <w:color w:val="auto"/>
                <w:sz w:val="24"/>
                <w:szCs w:val="24"/>
                <w:highlight w:val="none"/>
              </w:rPr>
              <w:fldChar w:fldCharType="end"/>
            </w:r>
            <w:r>
              <w:rPr>
                <w:rFonts w:hint="default" w:ascii="Times New Roman" w:hAnsi="Times New Roman" w:cs="Times New Roman"/>
                <w:b w:val="0"/>
                <w:bCs w:val="0"/>
                <w:color w:val="auto"/>
                <w:sz w:val="24"/>
                <w:szCs w:val="24"/>
                <w:highlight w:val="none"/>
              </w:rPr>
              <w:t xml:space="preserve">（ </w:t>
            </w:r>
            <m:oMath>
              <m:f>
                <m:fPr>
                  <m:ctrlPr>
                    <w:rPr>
                      <w:rFonts w:hint="default" w:ascii="Cambria Math" w:hAnsi="Cambria Math" w:cs="Times New Roman"/>
                      <w:b w:val="0"/>
                      <w:bCs w:val="0"/>
                      <w:color w:val="auto"/>
                      <w:sz w:val="24"/>
                      <w:szCs w:val="24"/>
                      <w:highlight w:val="none"/>
                    </w:rPr>
                  </m:ctrlPr>
                </m:fPr>
                <m:num>
                  <m:sSub>
                    <m:sSubPr>
                      <m:ctrlPr>
                        <w:rPr>
                          <w:rFonts w:hint="default" w:ascii="Cambria Math" w:hAnsi="Cambria Math" w:cs="Times New Roman"/>
                          <w:b w:val="0"/>
                          <w:bCs w:val="0"/>
                          <w:color w:val="auto"/>
                          <w:sz w:val="24"/>
                          <w:szCs w:val="24"/>
                          <w:highlight w:val="none"/>
                        </w:rPr>
                      </m:ctrlPr>
                    </m:sSubPr>
                    <m:e>
                      <m:r>
                        <m:rPr>
                          <m:sty m:val="p"/>
                        </m:rPr>
                        <w:rPr>
                          <w:rFonts w:hint="default" w:ascii="Cambria Math" w:hAnsi="Cambria Math" w:cs="Times New Roman"/>
                          <w:color w:val="auto"/>
                          <w:sz w:val="24"/>
                          <w:szCs w:val="24"/>
                          <w:highlight w:val="none"/>
                        </w:rPr>
                        <m:t>A</m:t>
                      </m:r>
                      <m:ctrlPr>
                        <w:rPr>
                          <w:rFonts w:hint="default" w:ascii="Cambria Math" w:hAnsi="Cambria Math" w:cs="Times New Roman"/>
                          <w:b w:val="0"/>
                          <w:bCs w:val="0"/>
                          <w:color w:val="auto"/>
                          <w:sz w:val="24"/>
                          <w:szCs w:val="24"/>
                          <w:highlight w:val="none"/>
                        </w:rPr>
                      </m:ctrlPr>
                    </m:e>
                    <m:sub>
                      <m:r>
                        <m:rPr>
                          <m:sty m:val="p"/>
                        </m:rPr>
                        <w:rPr>
                          <w:rFonts w:hint="default" w:ascii="Cambria Math" w:hAnsi="Cambria Math" w:cs="Times New Roman"/>
                          <w:color w:val="auto"/>
                          <w:sz w:val="24"/>
                          <w:szCs w:val="24"/>
                          <w:highlight w:val="none"/>
                        </w:rPr>
                        <m:t>ar</m:t>
                      </m:r>
                      <m:ctrlPr>
                        <w:rPr>
                          <w:rFonts w:hint="default" w:ascii="Cambria Math" w:hAnsi="Cambria Math" w:cs="Times New Roman"/>
                          <w:b w:val="0"/>
                          <w:bCs w:val="0"/>
                          <w:color w:val="auto"/>
                          <w:sz w:val="24"/>
                          <w:szCs w:val="24"/>
                          <w:highlight w:val="none"/>
                        </w:rPr>
                      </m:ctrlPr>
                    </m:sub>
                  </m:sSub>
                  <m:ctrlPr>
                    <w:rPr>
                      <w:rFonts w:hint="default" w:ascii="Cambria Math" w:hAnsi="Cambria Math" w:cs="Times New Roman"/>
                      <w:b w:val="0"/>
                      <w:bCs w:val="0"/>
                      <w:color w:val="auto"/>
                      <w:sz w:val="24"/>
                      <w:szCs w:val="24"/>
                      <w:highlight w:val="none"/>
                    </w:rPr>
                  </m:ctrlPr>
                </m:num>
                <m:den>
                  <m:r>
                    <m:rPr>
                      <m:sty m:val="p"/>
                    </m:rPr>
                    <w:rPr>
                      <w:rFonts w:hint="default" w:ascii="Cambria Math" w:hAnsi="Cambria Math" w:cs="Times New Roman"/>
                      <w:color w:val="auto"/>
                      <w:sz w:val="24"/>
                      <w:szCs w:val="24"/>
                      <w:highlight w:val="none"/>
                    </w:rPr>
                    <m:t>100</m:t>
                  </m:r>
                  <m:ctrlPr>
                    <w:rPr>
                      <w:rFonts w:hint="default" w:ascii="Cambria Math" w:hAnsi="Cambria Math" w:cs="Times New Roman"/>
                      <w:b w:val="0"/>
                      <w:bCs w:val="0"/>
                      <w:color w:val="auto"/>
                      <w:sz w:val="24"/>
                      <w:szCs w:val="24"/>
                      <w:highlight w:val="none"/>
                    </w:rPr>
                  </m:ctrlPr>
                </m:den>
              </m:f>
            </m:oMath>
            <w:r>
              <w:rPr>
                <w:rFonts w:hint="default" w:ascii="Times New Roman" w:hAnsi="Times New Roman" w:cs="Times New Roman"/>
                <w:b w:val="0"/>
                <w:bCs w:val="0"/>
                <w:color w:val="auto"/>
                <w:sz w:val="24"/>
                <w:szCs w:val="24"/>
                <w:highlight w:val="none"/>
              </w:rPr>
              <w:t xml:space="preserve"> +</w:t>
            </w:r>
            <w:r>
              <w:rPr>
                <w:rFonts w:hint="default" w:ascii="Times New Roman" w:hAnsi="Times New Roman" w:cs="Times New Roman"/>
                <w:b w:val="0"/>
                <w:bCs w:val="0"/>
                <w:color w:val="auto"/>
                <w:sz w:val="24"/>
                <w:szCs w:val="24"/>
                <w:highlight w:val="none"/>
              </w:rPr>
              <w:fldChar w:fldCharType="begin"/>
            </w:r>
            <w:r>
              <w:rPr>
                <w:rFonts w:hint="default" w:ascii="Times New Roman" w:hAnsi="Times New Roman" w:cs="Times New Roman"/>
                <w:b w:val="0"/>
                <w:bCs w:val="0"/>
                <w:color w:val="auto"/>
                <w:sz w:val="24"/>
                <w:szCs w:val="24"/>
                <w:highlight w:val="none"/>
              </w:rPr>
              <w:instrText xml:space="preserve"> QUOTE </w:instrText>
            </w:r>
            <w:r>
              <w:rPr>
                <w:rFonts w:hint="default" w:ascii="Times New Roman" w:hAnsi="Times New Roman" w:cs="Times New Roman"/>
                <w:b w:val="0"/>
                <w:bCs w:val="0"/>
                <w:color w:val="auto"/>
                <w:position w:val="-17"/>
                <w:sz w:val="24"/>
                <w:szCs w:val="24"/>
                <w:highlight w:val="none"/>
              </w:rPr>
              <w:pict>
                <v:shape id="_x0000_i1035" o:spt="75" type="#_x0000_t75" style="height:31.45pt;width:57.3pt;" filled="f" coordsize="21600,2160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bordersDontSurroundHeader/&gt;&lt;w:bordersDontSurroundFooter/&gt;&lt;w:gutterAtTop/&gt;&lt;w:hideSpellingErrors/&gt;&lt;w:stylePaneFormatFilter w:val=&quot;3F01&quot;/&gt;&lt;w:defaultTabStop w:val=&quot;0&quot;/&gt;&lt;w:drawingGridHorizontalSpacing w:val=&quot;105&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allowPNG/&gt;&lt;w:targetScreenSz w:val=&quot;1024x768&quot;/&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ulTrailSpace/&gt;&lt;w:doNotExpandShiftReturn/&gt;&lt;w:adjustLineHeightInTable/&gt;&lt;w:snapToGridInCell/&gt;&lt;w:useFELayout/&gt;&lt;/w:compat&gt;&lt;wsp:rsids&gt;&lt;wsp:rsidRoot wsp:val=&quot;00A3744C&quot;/&gt;&lt;wsp:rsid wsp:val=&quot;000005FE&quot;/&gt;&lt;wsp:rsid wsp:val=&quot;00000E72&quot;/&gt;&lt;wsp:rsid wsp:val=&quot;00001AD6&quot;/&gt;&lt;wsp:rsid wsp:val=&quot;0000238C&quot;/&gt;&lt;wsp:rsid wsp:val=&quot;00002F9B&quot;/&gt;&lt;wsp:rsid wsp:val=&quot;00003CF2&quot;/&gt;&lt;wsp:rsid wsp:val=&quot;00004E62&quot;/&gt;&lt;wsp:rsid wsp:val=&quot;000054C3&quot;/&gt;&lt;wsp:rsid wsp:val=&quot;00005DAB&quot;/&gt;&lt;wsp:rsid wsp:val=&quot;00005DC5&quot;/&gt;&lt;wsp:rsid wsp:val=&quot;000061D4&quot;/&gt;&lt;wsp:rsid wsp:val=&quot;00006363&quot;/&gt;&lt;wsp:rsid wsp:val=&quot;00006BB0&quot;/&gt;&lt;wsp:rsid wsp:val=&quot;00006ED1&quot;/&gt;&lt;wsp:rsid wsp:val=&quot;00007CCA&quot;/&gt;&lt;wsp:rsid wsp:val=&quot;00007D3B&quot;/&gt;&lt;wsp:rsid wsp:val=&quot;00010019&quot;/&gt;&lt;wsp:rsid wsp:val=&quot;00010051&quot;/&gt;&lt;wsp:rsid wsp:val=&quot;00010161&quot;/&gt;&lt;wsp:rsid wsp:val=&quot;000101E6&quot;/&gt;&lt;wsp:rsid wsp:val=&quot;000105AD&quot;/&gt;&lt;wsp:rsid wsp:val=&quot;00010C4C&quot;/&gt;&lt;wsp:rsid wsp:val=&quot;00010E8B&quot;/&gt;&lt;wsp:rsid wsp:val=&quot;0001176D&quot;/&gt;&lt;wsp:rsid wsp:val=&quot;00011FEC&quot;/&gt;&lt;wsp:rsid wsp:val=&quot;00012D59&quot;/&gt;&lt;wsp:rsid wsp:val=&quot;0001434C&quot;/&gt;&lt;wsp:rsid wsp:val=&quot;000145CC&quot;/&gt;&lt;wsp:rsid wsp:val=&quot;0001464F&quot;/&gt;&lt;wsp:rsid wsp:val=&quot;00014735&quot;/&gt;&lt;wsp:rsid wsp:val=&quot;00014CF9&quot;/&gt;&lt;wsp:rsid wsp:val=&quot;00015214&quot;/&gt;&lt;wsp:rsid wsp:val=&quot;0001589A&quot;/&gt;&lt;wsp:rsid wsp:val=&quot;0001644F&quot;/&gt;&lt;wsp:rsid wsp:val=&quot;00020179&quot;/&gt;&lt;wsp:rsid wsp:val=&quot;00021CD2&quot;/&gt;&lt;wsp:rsid wsp:val=&quot;00021E3C&quot;/&gt;&lt;wsp:rsid wsp:val=&quot;00022B15&quot;/&gt;&lt;wsp:rsid wsp:val=&quot;00022C49&quot;/&gt;&lt;wsp:rsid wsp:val=&quot;00022C9B&quot;/&gt;&lt;wsp:rsid wsp:val=&quot;00023214&quot;/&gt;&lt;wsp:rsid wsp:val=&quot;000241B2&quot;/&gt;&lt;wsp:rsid wsp:val=&quot;0002460F&quot;/&gt;&lt;wsp:rsid wsp:val=&quot;00024E09&quot;/&gt;&lt;wsp:rsid wsp:val=&quot;000250B4&quot;/&gt;&lt;wsp:rsid wsp:val=&quot;000257F1&quot;/&gt;&lt;wsp:rsid wsp:val=&quot;00025C9B&quot;/&gt;&lt;wsp:rsid wsp:val=&quot;00025E7B&quot;/&gt;&lt;wsp:rsid wsp:val=&quot;00026F3C&quot;/&gt;&lt;wsp:rsid wsp:val=&quot;00030480&quot;/&gt;&lt;wsp:rsid wsp:val=&quot;000307F8&quot;/&gt;&lt;wsp:rsid wsp:val=&quot;000326C6&quot;/&gt;&lt;wsp:rsid wsp:val=&quot;00033048&quot;/&gt;&lt;wsp:rsid wsp:val=&quot;00034F02&quot;/&gt;&lt;wsp:rsid wsp:val=&quot;000369AE&quot;/&gt;&lt;wsp:rsid wsp:val=&quot;00037CED&quot;/&gt;&lt;wsp:rsid wsp:val=&quot;00041212&quot;/&gt;&lt;wsp:rsid wsp:val=&quot;000416AD&quot;/&gt;&lt;wsp:rsid wsp:val=&quot;00042775&quot;/&gt;&lt;wsp:rsid wsp:val=&quot;00043FB9&quot;/&gt;&lt;wsp:rsid wsp:val=&quot;000445AA&quot;/&gt;&lt;wsp:rsid wsp:val=&quot;0004474B&quot;/&gt;&lt;wsp:rsid wsp:val=&quot;00044E87&quot;/&gt;&lt;wsp:rsid wsp:val=&quot;00045517&quot;/&gt;&lt;wsp:rsid wsp:val=&quot;00045EBA&quot;/&gt;&lt;wsp:rsid wsp:val=&quot;0004626E&quot;/&gt;&lt;wsp:rsid wsp:val=&quot;00047571&quot;/&gt;&lt;wsp:rsid wsp:val=&quot;00047ED2&quot;/&gt;&lt;wsp:rsid wsp:val=&quot;000506D4&quot;/&gt;&lt;wsp:rsid wsp:val=&quot;00052135&quot;/&gt;&lt;wsp:rsid wsp:val=&quot;00053BB8&quot;/&gt;&lt;wsp:rsid wsp:val=&quot;00053D74&quot;/&gt;&lt;wsp:rsid wsp:val=&quot;00054AF1&quot;/&gt;&lt;wsp:rsid wsp:val=&quot;00054EF2&quot;/&gt;&lt;wsp:rsid wsp:val=&quot;00055196&quot;/&gt;&lt;wsp:rsid wsp:val=&quot;00055371&quot;/&gt;&lt;wsp:rsid wsp:val=&quot;00055768&quot;/&gt;&lt;wsp:rsid wsp:val=&quot;000557FB&quot;/&gt;&lt;wsp:rsid wsp:val=&quot;000566EB&quot;/&gt;&lt;wsp:rsid wsp:val=&quot;00056F23&quot;/&gt;&lt;wsp:rsid wsp:val=&quot;00057183&quot;/&gt;&lt;wsp:rsid wsp:val=&quot;000573D6&quot;/&gt;&lt;wsp:rsid wsp:val=&quot;00057AA2&quot;/&gt;&lt;wsp:rsid wsp:val=&quot;00057D9B&quot;/&gt;&lt;wsp:rsid wsp:val=&quot;0006019A&quot;/&gt;&lt;wsp:rsid wsp:val=&quot;000603D9&quot;/&gt;&lt;wsp:rsid wsp:val=&quot;00060527&quot;/&gt;&lt;wsp:rsid wsp:val=&quot;00061118&quot;/&gt;&lt;wsp:rsid wsp:val=&quot;0006183B&quot;/&gt;&lt;wsp:rsid wsp:val=&quot;0006184C&quot;/&gt;&lt;wsp:rsid wsp:val=&quot;0006216B&quot;/&gt;&lt;wsp:rsid wsp:val=&quot;0006306B&quot;/&gt;&lt;wsp:rsid wsp:val=&quot;000630A5&quot;/&gt;&lt;wsp:rsid wsp:val=&quot;00063B02&quot;/&gt;&lt;wsp:rsid wsp:val=&quot;00064451&quot;/&gt;&lt;wsp:rsid wsp:val=&quot;000644D2&quot;/&gt;&lt;wsp:rsid wsp:val=&quot;00064B1A&quot;/&gt;&lt;wsp:rsid wsp:val=&quot;00064C42&quot;/&gt;&lt;wsp:rsid wsp:val=&quot;0006521D&quot;/&gt;&lt;wsp:rsid wsp:val=&quot;000665A1&quot;/&gt;&lt;wsp:rsid wsp:val=&quot;00066734&quot;/&gt;&lt;wsp:rsid wsp:val=&quot;00066FEC&quot;/&gt;&lt;wsp:rsid wsp:val=&quot;00067428&quot;/&gt;&lt;wsp:rsid wsp:val=&quot;0007023A&quot;/&gt;&lt;wsp:rsid wsp:val=&quot;00070538&quot;/&gt;&lt;wsp:rsid wsp:val=&quot;00070999&quot;/&gt;&lt;wsp:rsid wsp:val=&quot;00070BFF&quot;/&gt;&lt;wsp:rsid wsp:val=&quot;00071103&quot;/&gt;&lt;wsp:rsid wsp:val=&quot;000711D8&quot;/&gt;&lt;wsp:rsid wsp:val=&quot;000714ED&quot;/&gt;&lt;wsp:rsid wsp:val=&quot;000720E9&quot;/&gt;&lt;wsp:rsid wsp:val=&quot;000720F7&quot;/&gt;&lt;wsp:rsid wsp:val=&quot;00072498&quot;/&gt;&lt;wsp:rsid wsp:val=&quot;0007305D&quot;/&gt;&lt;wsp:rsid wsp:val=&quot;00073614&quot;/&gt;&lt;wsp:rsid wsp:val=&quot;0007485D&quot;/&gt;&lt;wsp:rsid wsp:val=&quot;00074880&quot;/&gt;&lt;wsp:rsid wsp:val=&quot;00074AC2&quot;/&gt;&lt;wsp:rsid wsp:val=&quot;00074C9E&quot;/&gt;&lt;wsp:rsid wsp:val=&quot;00075029&quot;/&gt;&lt;wsp:rsid wsp:val=&quot;00075295&quot;/&gt;&lt;wsp:rsid wsp:val=&quot;00076130&quot;/&gt;&lt;wsp:rsid wsp:val=&quot;00076453&quot;/&gt;&lt;wsp:rsid wsp:val=&quot;000776E1&quot;/&gt;&lt;wsp:rsid wsp:val=&quot;000801BD&quot;/&gt;&lt;wsp:rsid wsp:val=&quot;00081134&quot;/&gt;&lt;wsp:rsid wsp:val=&quot;00081A20&quot;/&gt;&lt;wsp:rsid wsp:val=&quot;00081B37&quot;/&gt;&lt;wsp:rsid wsp:val=&quot;00082DD0&quot;/&gt;&lt;wsp:rsid wsp:val=&quot;00082DD2&quot;/&gt;&lt;wsp:rsid wsp:val=&quot;0008329A&quot;/&gt;&lt;wsp:rsid wsp:val=&quot;000838EB&quot;/&gt;&lt;wsp:rsid wsp:val=&quot;00083977&quot;/&gt;&lt;wsp:rsid wsp:val=&quot;00083F53&quot;/&gt;&lt;wsp:rsid wsp:val=&quot;00084E86&quot;/&gt;&lt;wsp:rsid wsp:val=&quot;00085C15&quot;/&gt;&lt;wsp:rsid wsp:val=&quot;00085DC6&quot;/&gt;&lt;wsp:rsid wsp:val=&quot;00087C03&quot;/&gt;&lt;wsp:rsid wsp:val=&quot;00091321&quot;/&gt;&lt;wsp:rsid wsp:val=&quot;000929D0&quot;/&gt;&lt;wsp:rsid wsp:val=&quot;00094001&quot;/&gt;&lt;wsp:rsid wsp:val=&quot;00094DA2&quot;/&gt;&lt;wsp:rsid wsp:val=&quot;00094DA5&quot;/&gt;&lt;wsp:rsid wsp:val=&quot;00095E21&quot;/&gt;&lt;wsp:rsid wsp:val=&quot;0009637C&quot;/&gt;&lt;wsp:rsid wsp:val=&quot;0009695D&quot;/&gt;&lt;wsp:rsid wsp:val=&quot;00096D8C&quot;/&gt;&lt;wsp:rsid wsp:val=&quot;00096E3D&quot;/&gt;&lt;wsp:rsid wsp:val=&quot;00097935&quot;/&gt;&lt;wsp:rsid wsp:val=&quot;00097B10&quot;/&gt;&lt;wsp:rsid wsp:val=&quot;000A0A5F&quot;/&gt;&lt;wsp:rsid wsp:val=&quot;000A2A63&quot;/&gt;&lt;wsp:rsid wsp:val=&quot;000A3732&quot;/&gt;&lt;wsp:rsid wsp:val=&quot;000A3EA4&quot;/&gt;&lt;wsp:rsid wsp:val=&quot;000A5F7D&quot;/&gt;&lt;wsp:rsid wsp:val=&quot;000A667E&quot;/&gt;&lt;wsp:rsid wsp:val=&quot;000A6FFB&quot;/&gt;&lt;wsp:rsid wsp:val=&quot;000A7A6C&quot;/&gt;&lt;wsp:rsid wsp:val=&quot;000A7F9D&quot;/&gt;&lt;wsp:rsid wsp:val=&quot;000B0561&quot;/&gt;&lt;wsp:rsid wsp:val=&quot;000B1589&quot;/&gt;&lt;wsp:rsid wsp:val=&quot;000B16B8&quot;/&gt;&lt;wsp:rsid wsp:val=&quot;000B1721&quot;/&gt;&lt;wsp:rsid wsp:val=&quot;000B18A3&quot;/&gt;&lt;wsp:rsid wsp:val=&quot;000B1F5B&quot;/&gt;&lt;wsp:rsid wsp:val=&quot;000B34EC&quot;/&gt;&lt;wsp:rsid wsp:val=&quot;000B429D&quot;/&gt;&lt;wsp:rsid wsp:val=&quot;000B4C1C&quot;/&gt;&lt;wsp:rsid wsp:val=&quot;000B4CF3&quot;/&gt;&lt;wsp:rsid wsp:val=&quot;000B51C5&quot;/&gt;&lt;wsp:rsid wsp:val=&quot;000B589D&quot;/&gt;&lt;wsp:rsid wsp:val=&quot;000B5C1F&quot;/&gt;&lt;wsp:rsid wsp:val=&quot;000B6160&quot;/&gt;&lt;wsp:rsid wsp:val=&quot;000B7313&quot;/&gt;&lt;wsp:rsid wsp:val=&quot;000B7D84&quot;/&gt;&lt;wsp:rsid wsp:val=&quot;000C08EA&quot;/&gt;&lt;wsp:rsid wsp:val=&quot;000C0C7A&quot;/&gt;&lt;wsp:rsid wsp:val=&quot;000C213C&quot;/&gt;&lt;wsp:rsid wsp:val=&quot;000C2350&quot;/&gt;&lt;wsp:rsid wsp:val=&quot;000C2847&quot;/&gt;&lt;wsp:rsid wsp:val=&quot;000C2D5A&quot;/&gt;&lt;wsp:rsid wsp:val=&quot;000C3670&quot;/&gt;&lt;wsp:rsid wsp:val=&quot;000C3DA6&quot;/&gt;&lt;wsp:rsid wsp:val=&quot;000C4336&quot;/&gt;&lt;wsp:rsid wsp:val=&quot;000C4F7C&quot;/&gt;&lt;wsp:rsid wsp:val=&quot;000C523B&quot;/&gt;&lt;wsp:rsid wsp:val=&quot;000C5BC3&quot;/&gt;&lt;wsp:rsid wsp:val=&quot;000C64DD&quot;/&gt;&lt;wsp:rsid wsp:val=&quot;000C65B7&quot;/&gt;&lt;wsp:rsid wsp:val=&quot;000C6CD0&quot;/&gt;&lt;wsp:rsid wsp:val=&quot;000C753D&quot;/&gt;&lt;wsp:rsid wsp:val=&quot;000C794D&quot;/&gt;&lt;wsp:rsid wsp:val=&quot;000C7A13&quot;/&gt;&lt;wsp:rsid wsp:val=&quot;000D09FC&quot;/&gt;&lt;wsp:rsid wsp:val=&quot;000D1626&quot;/&gt;&lt;wsp:rsid wsp:val=&quot;000D1BD3&quot;/&gt;&lt;wsp:rsid wsp:val=&quot;000D226B&quot;/&gt;&lt;wsp:rsid wsp:val=&quot;000D2BB4&quot;/&gt;&lt;wsp:rsid wsp:val=&quot;000D441F&quot;/&gt;&lt;wsp:rsid wsp:val=&quot;000D47BB&quot;/&gt;&lt;wsp:rsid wsp:val=&quot;000D58FD&quot;/&gt;&lt;wsp:rsid wsp:val=&quot;000D61F8&quot;/&gt;&lt;wsp:rsid wsp:val=&quot;000D66A0&quot;/&gt;&lt;wsp:rsid wsp:val=&quot;000D789E&quot;/&gt;&lt;wsp:rsid wsp:val=&quot;000D7D61&quot;/&gt;&lt;wsp:rsid wsp:val=&quot;000E1AB5&quot;/&gt;&lt;wsp:rsid wsp:val=&quot;000E30DD&quot;/&gt;&lt;wsp:rsid wsp:val=&quot;000E3306&quot;/&gt;&lt;wsp:rsid wsp:val=&quot;000E3557&quot;/&gt;&lt;wsp:rsid wsp:val=&quot;000E356F&quot;/&gt;&lt;wsp:rsid wsp:val=&quot;000E376A&quot;/&gt;&lt;wsp:rsid wsp:val=&quot;000E3B80&quot;/&gt;&lt;wsp:rsid wsp:val=&quot;000E3D27&quot;/&gt;&lt;wsp:rsid wsp:val=&quot;000E4F41&quot;/&gt;&lt;wsp:rsid wsp:val=&quot;000E52C9&quot;/&gt;&lt;wsp:rsid wsp:val=&quot;000E5C21&quot;/&gt;&lt;wsp:rsid wsp:val=&quot;000E5F9A&quot;/&gt;&lt;wsp:rsid wsp:val=&quot;000E610F&quot;/&gt;&lt;wsp:rsid wsp:val=&quot;000E6287&quot;/&gt;&lt;wsp:rsid wsp:val=&quot;000E660C&quot;/&gt;&lt;wsp:rsid wsp:val=&quot;000E673F&quot;/&gt;&lt;wsp:rsid wsp:val=&quot;000E6CAB&quot;/&gt;&lt;wsp:rsid wsp:val=&quot;000E73BF&quot;/&gt;&lt;wsp:rsid wsp:val=&quot;000F06DC&quot;/&gt;&lt;wsp:rsid wsp:val=&quot;000F074B&quot;/&gt;&lt;wsp:rsid wsp:val=&quot;000F0E5D&quot;/&gt;&lt;wsp:rsid wsp:val=&quot;000F1FE4&quot;/&gt;&lt;wsp:rsid wsp:val=&quot;000F2685&quot;/&gt;&lt;wsp:rsid wsp:val=&quot;000F40B9&quot;/&gt;&lt;wsp:rsid wsp:val=&quot;000F512D&quot;/&gt;&lt;wsp:rsid wsp:val=&quot;000F57A9&quot;/&gt;&lt;wsp:rsid wsp:val=&quot;000F59BD&quot;/&gt;&lt;wsp:rsid wsp:val=&quot;000F6042&quot;/&gt;&lt;wsp:rsid wsp:val=&quot;000F605B&quot;/&gt;&lt;wsp:rsid wsp:val=&quot;000F71D5&quot;/&gt;&lt;wsp:rsid wsp:val=&quot;000F7927&quot;/&gt;&lt;wsp:rsid wsp:val=&quot;000F7A34&quot;/&gt;&lt;wsp:rsid wsp:val=&quot;000F7A6B&quot;/&gt;&lt;wsp:rsid wsp:val=&quot;000F7F5A&quot;/&gt;&lt;wsp:rsid wsp:val=&quot;00101351&quot;/&gt;&lt;wsp:rsid wsp:val=&quot;001016F2&quot;/&gt;&lt;wsp:rsid wsp:val=&quot;00101C9F&quot;/&gt;&lt;wsp:rsid wsp:val=&quot;00103352&quot;/&gt;&lt;wsp:rsid wsp:val=&quot;00103729&quot;/&gt;&lt;wsp:rsid wsp:val=&quot;00103C34&quot;/&gt;&lt;wsp:rsid wsp:val=&quot;0010409A&quot;/&gt;&lt;wsp:rsid wsp:val=&quot;001048F1&quot;/&gt;&lt;wsp:rsid wsp:val=&quot;00104ED2&quot;/&gt;&lt;wsp:rsid wsp:val=&quot;0010575C&quot;/&gt;&lt;wsp:rsid wsp:val=&quot;0010579F&quot;/&gt;&lt;wsp:rsid wsp:val=&quot;00105DC3&quot;/&gt;&lt;wsp:rsid wsp:val=&quot;00105E2F&quot;/&gt;&lt;wsp:rsid wsp:val=&quot;00106B2D&quot;/&gt;&lt;wsp:rsid wsp:val=&quot;00106FD5&quot;/&gt;&lt;wsp:rsid wsp:val=&quot;00110180&quot;/&gt;&lt;wsp:rsid wsp:val=&quot;001111ED&quot;/&gt;&lt;wsp:rsid wsp:val=&quot;0011135C&quot;/&gt;&lt;wsp:rsid wsp:val=&quot;00111DAE&quot;/&gt;&lt;wsp:rsid wsp:val=&quot;0011258B&quot;/&gt;&lt;wsp:rsid wsp:val=&quot;0011280A&quot;/&gt;&lt;wsp:rsid wsp:val=&quot;0011282A&quot;/&gt;&lt;wsp:rsid wsp:val=&quot;00114389&quot;/&gt;&lt;wsp:rsid wsp:val=&quot;00114583&quot;/&gt;&lt;wsp:rsid wsp:val=&quot;00114BBA&quot;/&gt;&lt;wsp:rsid wsp:val=&quot;00115336&quot;/&gt;&lt;wsp:rsid wsp:val=&quot;00115590&quot;/&gt;&lt;wsp:rsid wsp:val=&quot;00115D22&quot;/&gt;&lt;wsp:rsid wsp:val=&quot;0011626F&quot;/&gt;&lt;wsp:rsid wsp:val=&quot;00116A1C&quot;/&gt;&lt;wsp:rsid wsp:val=&quot;00117F7A&quot;/&gt;&lt;wsp:rsid wsp:val=&quot;00120305&quot;/&gt;&lt;wsp:rsid wsp:val=&quot;00120596&quot;/&gt;&lt;wsp:rsid wsp:val=&quot;001212BE&quot;/&gt;&lt;wsp:rsid wsp:val=&quot;00121AEE&quot;/&gt;&lt;wsp:rsid wsp:val=&quot;00121B71&quot;/&gt;&lt;wsp:rsid wsp:val=&quot;00122599&quot;/&gt;&lt;wsp:rsid wsp:val=&quot;00123A45&quot;/&gt;&lt;wsp:rsid wsp:val=&quot;00123CD6&quot;/&gt;&lt;wsp:rsid wsp:val=&quot;00124692&quot;/&gt;&lt;wsp:rsid wsp:val=&quot;0012473C&quot;/&gt;&lt;wsp:rsid wsp:val=&quot;00125AC4&quot;/&gt;&lt;wsp:rsid wsp:val=&quot;00126F28&quot;/&gt;&lt;wsp:rsid wsp:val=&quot;00127091&quot;/&gt;&lt;wsp:rsid wsp:val=&quot;001303C2&quot;/&gt;&lt;wsp:rsid wsp:val=&quot;001312BA&quot;/&gt;&lt;wsp:rsid wsp:val=&quot;00131B33&quot;/&gt;&lt;wsp:rsid wsp:val=&quot;00132028&quot;/&gt;&lt;wsp:rsid wsp:val=&quot;00132666&quot;/&gt;&lt;wsp:rsid wsp:val=&quot;00133238&quot;/&gt;&lt;wsp:rsid wsp:val=&quot;00134C71&quot;/&gt;&lt;wsp:rsid wsp:val=&quot;00135A2C&quot;/&gt;&lt;wsp:rsid wsp:val=&quot;00135AA0&quot;/&gt;&lt;wsp:rsid wsp:val=&quot;00136FBD&quot;/&gt;&lt;wsp:rsid wsp:val=&quot;00137EFB&quot;/&gt;&lt;wsp:rsid wsp:val=&quot;001404FE&quot;/&gt;&lt;wsp:rsid wsp:val=&quot;00140C8D&quot;/&gt;&lt;wsp:rsid wsp:val=&quot;00141304&quot;/&gt;&lt;wsp:rsid wsp:val=&quot;0014144C&quot;/&gt;&lt;wsp:rsid wsp:val=&quot;0014185B&quot;/&gt;&lt;wsp:rsid wsp:val=&quot;0014190C&quot;/&gt;&lt;wsp:rsid wsp:val=&quot;001426B0&quot;/&gt;&lt;wsp:rsid wsp:val=&quot;001428CA&quot;/&gt;&lt;wsp:rsid wsp:val=&quot;0014310D&quot;/&gt;&lt;wsp:rsid wsp:val=&quot;00143AF5&quot;/&gt;&lt;wsp:rsid wsp:val=&quot;00143ED0&quot;/&gt;&lt;wsp:rsid wsp:val=&quot;00143FAB&quot;/&gt;&lt;wsp:rsid wsp:val=&quot;00144721&quot;/&gt;&lt;wsp:rsid wsp:val=&quot;0014596E&quot;/&gt;&lt;wsp:rsid wsp:val=&quot;00145CD3&quot;/&gt;&lt;wsp:rsid wsp:val=&quot;001474E2&quot;/&gt;&lt;wsp:rsid wsp:val=&quot;00147C82&quot;/&gt;&lt;wsp:rsid wsp:val=&quot;001517F2&quot;/&gt;&lt;wsp:rsid wsp:val=&quot;00154D07&quot;/&gt;&lt;wsp:rsid wsp:val=&quot;0015562B&quot;/&gt;&lt;wsp:rsid wsp:val=&quot;001569BE&quot;/&gt;&lt;wsp:rsid wsp:val=&quot;00156B90&quot;/&gt;&lt;wsp:rsid wsp:val=&quot;00156DB1&quot;/&gt;&lt;wsp:rsid wsp:val=&quot;00157332&quot;/&gt;&lt;wsp:rsid wsp:val=&quot;00157DB6&quot;/&gt;&lt;wsp:rsid wsp:val=&quot;001607D7&quot;/&gt;&lt;wsp:rsid wsp:val=&quot;00160B4E&quot;/&gt;&lt;wsp:rsid wsp:val=&quot;00160B64&quot;/&gt;&lt;wsp:rsid wsp:val=&quot;00160C12&quot;/&gt;&lt;wsp:rsid wsp:val=&quot;00161A77&quot;/&gt;&lt;wsp:rsid wsp:val=&quot;0016225D&quot;/&gt;&lt;wsp:rsid wsp:val=&quot;00162840&quot;/&gt;&lt;wsp:rsid wsp:val=&quot;00162EF8&quot;/&gt;&lt;wsp:rsid wsp:val=&quot;00163267&quot;/&gt;&lt;wsp:rsid wsp:val=&quot;00163FEB&quot;/&gt;&lt;wsp:rsid wsp:val=&quot;001640BF&quot;/&gt;&lt;wsp:rsid wsp:val=&quot;0016410F&quot;/&gt;&lt;wsp:rsid wsp:val=&quot;0016460D&quot;/&gt;&lt;wsp:rsid wsp:val=&quot;00164A2D&quot;/&gt;&lt;wsp:rsid wsp:val=&quot;00164C5E&quot;/&gt;&lt;wsp:rsid wsp:val=&quot;00165146&quot;/&gt;&lt;wsp:rsid wsp:val=&quot;00166E97&quot;/&gt;&lt;wsp:rsid wsp:val=&quot;00166F24&quot;/&gt;&lt;wsp:rsid wsp:val=&quot;00167A30&quot;/&gt;&lt;wsp:rsid wsp:val=&quot;00167C7B&quot;/&gt;&lt;wsp:rsid wsp:val=&quot;00167E15&quot;/&gt;&lt;wsp:rsid wsp:val=&quot;00170211&quot;/&gt;&lt;wsp:rsid wsp:val=&quot;00170230&quot;/&gt;&lt;wsp:rsid wsp:val=&quot;00170595&quot;/&gt;&lt;wsp:rsid wsp:val=&quot;00171149&quot;/&gt;&lt;wsp:rsid wsp:val=&quot;001712EF&quot;/&gt;&lt;wsp:rsid wsp:val=&quot;00171970&quot;/&gt;&lt;wsp:rsid wsp:val=&quot;00171F9C&quot;/&gt;&lt;wsp:rsid wsp:val=&quot;00172125&quot;/&gt;&lt;wsp:rsid wsp:val=&quot;00172235&quot;/&gt;&lt;wsp:rsid wsp:val=&quot;00172632&quot;/&gt;&lt;wsp:rsid wsp:val=&quot;00173021&quot;/&gt;&lt;wsp:rsid wsp:val=&quot;00174676&quot;/&gt;&lt;wsp:rsid wsp:val=&quot;00174ACB&quot;/&gt;&lt;wsp:rsid wsp:val=&quot;00175C0C&quot;/&gt;&lt;wsp:rsid wsp:val=&quot;00175D8B&quot;/&gt;&lt;wsp:rsid wsp:val=&quot;0017670E&quot;/&gt;&lt;wsp:rsid wsp:val=&quot;00176765&quot;/&gt;&lt;wsp:rsid wsp:val=&quot;001772D0&quot;/&gt;&lt;wsp:rsid wsp:val=&quot;00177C24&quot;/&gt;&lt;wsp:rsid wsp:val=&quot;00177C4F&quot;/&gt;&lt;wsp:rsid wsp:val=&quot;00177E5C&quot;/&gt;&lt;wsp:rsid wsp:val=&quot;00180353&quot;/&gt;&lt;wsp:rsid wsp:val=&quot;00181305&quot;/&gt;&lt;wsp:rsid wsp:val=&quot;00181435&quot;/&gt;&lt;wsp:rsid wsp:val=&quot;001823A4&quot;/&gt;&lt;wsp:rsid wsp:val=&quot;00182614&quot;/&gt;&lt;wsp:rsid wsp:val=&quot;00183587&quot;/&gt;&lt;wsp:rsid wsp:val=&quot;00184E4F&quot;/&gt;&lt;wsp:rsid wsp:val=&quot;00185B77&quot;/&gt;&lt;wsp:rsid wsp:val=&quot;00186290&quot;/&gt;&lt;wsp:rsid wsp:val=&quot;00186605&quot;/&gt;&lt;wsp:rsid wsp:val=&quot;00186AFE&quot;/&gt;&lt;wsp:rsid wsp:val=&quot;00187401&quot;/&gt;&lt;wsp:rsid wsp:val=&quot;00187822&quot;/&gt;&lt;wsp:rsid wsp:val=&quot;00191487&quot;/&gt;&lt;wsp:rsid wsp:val=&quot;001915F0&quot;/&gt;&lt;wsp:rsid wsp:val=&quot;0019223E&quot;/&gt;&lt;wsp:rsid wsp:val=&quot;0019278B&quot;/&gt;&lt;wsp:rsid wsp:val=&quot;00192ACD&quot;/&gt;&lt;wsp:rsid wsp:val=&quot;00193636&quot;/&gt;&lt;wsp:rsid wsp:val=&quot;00193BA7&quot;/&gt;&lt;wsp:rsid wsp:val=&quot;001942C2&quot;/&gt;&lt;wsp:rsid wsp:val=&quot;0019453D&quot;/&gt;&lt;wsp:rsid wsp:val=&quot;00194FB9&quot;/&gt;&lt;wsp:rsid wsp:val=&quot;00195356&quot;/&gt;&lt;wsp:rsid wsp:val=&quot;0019546E&quot;/&gt;&lt;wsp:rsid wsp:val=&quot;0019632A&quot;/&gt;&lt;wsp:rsid wsp:val=&quot;001977A3&quot;/&gt;&lt;wsp:rsid wsp:val=&quot;00197EA6&quot;/&gt;&lt;wsp:rsid wsp:val=&quot;001A044C&quot;/&gt;&lt;wsp:rsid wsp:val=&quot;001A12AE&quot;/&gt;&lt;wsp:rsid wsp:val=&quot;001A1633&quot;/&gt;&lt;wsp:rsid wsp:val=&quot;001A2DD8&quot;/&gt;&lt;wsp:rsid wsp:val=&quot;001A2E5A&quot;/&gt;&lt;wsp:rsid wsp:val=&quot;001A3D0C&quot;/&gt;&lt;wsp:rsid wsp:val=&quot;001A40C1&quot;/&gt;&lt;wsp:rsid wsp:val=&quot;001A49B4&quot;/&gt;&lt;wsp:rsid wsp:val=&quot;001A4BFA&quot;/&gt;&lt;wsp:rsid wsp:val=&quot;001A5312&quot;/&gt;&lt;wsp:rsid wsp:val=&quot;001A675C&quot;/&gt;&lt;wsp:rsid wsp:val=&quot;001A6956&quot;/&gt;&lt;wsp:rsid wsp:val=&quot;001A7852&quot;/&gt;&lt;wsp:rsid wsp:val=&quot;001A7CB2&quot;/&gt;&lt;wsp:rsid wsp:val=&quot;001B09D1&quot;/&gt;&lt;wsp:rsid wsp:val=&quot;001B20A7&quot;/&gt;&lt;wsp:rsid wsp:val=&quot;001B2916&quot;/&gt;&lt;wsp:rsid wsp:val=&quot;001B4A37&quot;/&gt;&lt;wsp:rsid wsp:val=&quot;001B5489&quot;/&gt;&lt;wsp:rsid wsp:val=&quot;001B5F0A&quot;/&gt;&lt;wsp:rsid wsp:val=&quot;001B6163&quot;/&gt;&lt;wsp:rsid wsp:val=&quot;001B6E49&quot;/&gt;&lt;wsp:rsid wsp:val=&quot;001B71B0&quot;/&gt;&lt;wsp:rsid wsp:val=&quot;001B7664&quot;/&gt;&lt;wsp:rsid wsp:val=&quot;001B7B3B&quot;/&gt;&lt;wsp:rsid wsp:val=&quot;001B7E72&quot;/&gt;&lt;wsp:rsid wsp:val=&quot;001C07E9&quot;/&gt;&lt;wsp:rsid wsp:val=&quot;001C134C&quot;/&gt;&lt;wsp:rsid wsp:val=&quot;001C22D7&quot;/&gt;&lt;wsp:rsid wsp:val=&quot;001C2E99&quot;/&gt;&lt;wsp:rsid wsp:val=&quot;001C3559&quot;/&gt;&lt;wsp:rsid wsp:val=&quot;001C35BF&quot;/&gt;&lt;wsp:rsid wsp:val=&quot;001C5883&quot;/&gt;&lt;wsp:rsid wsp:val=&quot;001C5FF2&quot;/&gt;&lt;wsp:rsid wsp:val=&quot;001C7BE9&quot;/&gt;&lt;wsp:rsid wsp:val=&quot;001D0CA2&quot;/&gt;&lt;wsp:rsid wsp:val=&quot;001D124A&quot;/&gt;&lt;wsp:rsid wsp:val=&quot;001D1BE6&quot;/&gt;&lt;wsp:rsid wsp:val=&quot;001D292D&quot;/&gt;&lt;wsp:rsid wsp:val=&quot;001D2C30&quot;/&gt;&lt;wsp:rsid wsp:val=&quot;001D3327&quot;/&gt;&lt;wsp:rsid wsp:val=&quot;001D3A36&quot;/&gt;&lt;wsp:rsid wsp:val=&quot;001D43BA&quot;/&gt;&lt;wsp:rsid wsp:val=&quot;001D4EBB&quot;/&gt;&lt;wsp:rsid wsp:val=&quot;001D55F9&quot;/&gt;&lt;wsp:rsid wsp:val=&quot;001D65E1&quot;/&gt;&lt;wsp:rsid wsp:val=&quot;001D6BEB&quot;/&gt;&lt;wsp:rsid wsp:val=&quot;001D7AE7&quot;/&gt;&lt;wsp:rsid wsp:val=&quot;001E1A52&quot;/&gt;&lt;wsp:rsid wsp:val=&quot;001E1D62&quot;/&gt;&lt;wsp:rsid wsp:val=&quot;001E2878&quot;/&gt;&lt;wsp:rsid wsp:val=&quot;001E2D13&quot;/&gt;&lt;wsp:rsid wsp:val=&quot;001E2FFE&quot;/&gt;&lt;wsp:rsid wsp:val=&quot;001E317E&quot;/&gt;&lt;wsp:rsid wsp:val=&quot;001E5BF3&quot;/&gt;&lt;wsp:rsid wsp:val=&quot;001E5F84&quot;/&gt;&lt;wsp:rsid wsp:val=&quot;001E5FAB&quot;/&gt;&lt;wsp:rsid wsp:val=&quot;001E6005&quot;/&gt;&lt;wsp:rsid wsp:val=&quot;001E67AE&quot;/&gt;&lt;wsp:rsid wsp:val=&quot;001E6A81&quot;/&gt;&lt;wsp:rsid wsp:val=&quot;001E77AE&quot;/&gt;&lt;wsp:rsid wsp:val=&quot;001F136A&quot;/&gt;&lt;wsp:rsid wsp:val=&quot;001F1557&quot;/&gt;&lt;wsp:rsid wsp:val=&quot;001F22FC&quot;/&gt;&lt;wsp:rsid wsp:val=&quot;001F3203&quot;/&gt;&lt;wsp:rsid wsp:val=&quot;001F4A60&quot;/&gt;&lt;wsp:rsid wsp:val=&quot;001F7451&quot;/&gt;&lt;wsp:rsid wsp:val=&quot;002016B4&quot;/&gt;&lt;wsp:rsid wsp:val=&quot;00201E79&quot;/&gt;&lt;wsp:rsid wsp:val=&quot;00201F3C&quot;/&gt;&lt;wsp:rsid wsp:val=&quot;00202FBF&quot;/&gt;&lt;wsp:rsid wsp:val=&quot;00203B78&quot;/&gt;&lt;wsp:rsid wsp:val=&quot;00203FE2&quot;/&gt;&lt;wsp:rsid wsp:val=&quot;00204921&quot;/&gt;&lt;wsp:rsid wsp:val=&quot;00204EEF&quot;/&gt;&lt;wsp:rsid wsp:val=&quot;00205656&quot;/&gt;&lt;wsp:rsid wsp:val=&quot;00205701&quot;/&gt;&lt;wsp:rsid wsp:val=&quot;00205A39&quot;/&gt;&lt;wsp:rsid wsp:val=&quot;00206086&quot;/&gt;&lt;wsp:rsid wsp:val=&quot;002064D5&quot;/&gt;&lt;wsp:rsid wsp:val=&quot;002069C0&quot;/&gt;&lt;wsp:rsid wsp:val=&quot;002075CC&quot;/&gt;&lt;wsp:rsid wsp:val=&quot;00207B4C&quot;/&gt;&lt;wsp:rsid wsp:val=&quot;00210327&quot;/&gt;&lt;wsp:rsid wsp:val=&quot;00211303&quot;/&gt;&lt;wsp:rsid wsp:val=&quot;002120D1&quot;/&gt;&lt;wsp:rsid wsp:val=&quot;00213167&quot;/&gt;&lt;wsp:rsid wsp:val=&quot;00213297&quot;/&gt;&lt;wsp:rsid wsp:val=&quot;00213559&quot;/&gt;&lt;wsp:rsid wsp:val=&quot;00213630&quot;/&gt;&lt;wsp:rsid wsp:val=&quot;002136FA&quot;/&gt;&lt;wsp:rsid wsp:val=&quot;00213FE1&quot;/&gt;&lt;wsp:rsid wsp:val=&quot;002147D6&quot;/&gt;&lt;wsp:rsid wsp:val=&quot;00214C21&quot;/&gt;&lt;wsp:rsid wsp:val=&quot;002155B1&quot;/&gt;&lt;wsp:rsid wsp:val=&quot;00215710&quot;/&gt;&lt;wsp:rsid wsp:val=&quot;00216F4C&quot;/&gt;&lt;wsp:rsid wsp:val=&quot;00217532&quot;/&gt;&lt;wsp:rsid wsp:val=&quot;00217BCB&quot;/&gt;&lt;wsp:rsid wsp:val=&quot;002205FF&quot;/&gt;&lt;wsp:rsid wsp:val=&quot;00220660&quot;/&gt;&lt;wsp:rsid wsp:val=&quot;002208BF&quot;/&gt;&lt;wsp:rsid wsp:val=&quot;00221387&quot;/&gt;&lt;wsp:rsid wsp:val=&quot;0022145A&quot;/&gt;&lt;wsp:rsid wsp:val=&quot;00223DB1&quot;/&gt;&lt;wsp:rsid wsp:val=&quot;002247E9&quot;/&gt;&lt;wsp:rsid wsp:val=&quot;002250E7&quot;/&gt;&lt;wsp:rsid wsp:val=&quot;002254F3&quot;/&gt;&lt;wsp:rsid wsp:val=&quot;00225E14&quot;/&gt;&lt;wsp:rsid wsp:val=&quot;002262D3&quot;/&gt;&lt;wsp:rsid wsp:val=&quot;00226BB7&quot;/&gt;&lt;wsp:rsid wsp:val=&quot;00226C3F&quot;/&gt;&lt;wsp:rsid wsp:val=&quot;00227BE6&quot;/&gt;&lt;wsp:rsid wsp:val=&quot;00227C67&quot;/&gt;&lt;wsp:rsid wsp:val=&quot;00227FD9&quot;/&gt;&lt;wsp:rsid wsp:val=&quot;00230124&quot;/&gt;&lt;wsp:rsid wsp:val=&quot;00230D37&quot;/&gt;&lt;wsp:rsid wsp:val=&quot;00231375&quot;/&gt;&lt;wsp:rsid wsp:val=&quot;00231FD6&quot;/&gt;&lt;wsp:rsid wsp:val=&quot;00232652&quot;/&gt;&lt;wsp:rsid wsp:val=&quot;00235701&quot;/&gt;&lt;wsp:rsid wsp:val=&quot;00235B29&quot;/&gt;&lt;wsp:rsid wsp:val=&quot;00235E51&quot;/&gt;&lt;wsp:rsid wsp:val=&quot;002360B0&quot;/&gt;&lt;wsp:rsid wsp:val=&quot;002364DC&quot;/&gt;&lt;wsp:rsid wsp:val=&quot;002367CA&quot;/&gt;&lt;wsp:rsid wsp:val=&quot;00236CD1&quot;/&gt;&lt;wsp:rsid wsp:val=&quot;00236EFE&quot;/&gt;&lt;wsp:rsid wsp:val=&quot;00237E89&quot;/&gt;&lt;wsp:rsid wsp:val=&quot;0024047F&quot;/&gt;&lt;wsp:rsid wsp:val=&quot;002404F8&quot;/&gt;&lt;wsp:rsid wsp:val=&quot;0024097F&quot;/&gt;&lt;wsp:rsid wsp:val=&quot;00240A25&quot;/&gt;&lt;wsp:rsid wsp:val=&quot;00240D22&quot;/&gt;&lt;wsp:rsid wsp:val=&quot;002411CD&quot;/&gt;&lt;wsp:rsid wsp:val=&quot;00241C81&quot;/&gt;&lt;wsp:rsid wsp:val=&quot;0024220B&quot;/&gt;&lt;wsp:rsid wsp:val=&quot;002431E0&quot;/&gt;&lt;wsp:rsid wsp:val=&quot;00243B04&quot;/&gt;&lt;wsp:rsid wsp:val=&quot;00243DD4&quot;/&gt;&lt;wsp:rsid wsp:val=&quot;00244EFC&quot;/&gt;&lt;wsp:rsid wsp:val=&quot;002459E0&quot;/&gt;&lt;wsp:rsid wsp:val=&quot;00245BCF&quot;/&gt;&lt;wsp:rsid wsp:val=&quot;00245D2A&quot;/&gt;&lt;wsp:rsid wsp:val=&quot;002460B1&quot;/&gt;&lt;wsp:rsid wsp:val=&quot;002479B9&quot;/&gt;&lt;wsp:rsid wsp:val=&quot;00250301&quot;/&gt;&lt;wsp:rsid wsp:val=&quot;002505DE&quot;/&gt;&lt;wsp:rsid wsp:val=&quot;00250F1C&quot;/&gt;&lt;wsp:rsid wsp:val=&quot;00251009&quot;/&gt;&lt;wsp:rsid wsp:val=&quot;00251CEC&quot;/&gt;&lt;wsp:rsid wsp:val=&quot;002529DD&quot;/&gt;&lt;wsp:rsid wsp:val=&quot;00252B40&quot;/&gt;&lt;wsp:rsid wsp:val=&quot;00254369&quot;/&gt;&lt;wsp:rsid wsp:val=&quot;00254A94&quot;/&gt;&lt;wsp:rsid wsp:val=&quot;002550EA&quot;/&gt;&lt;wsp:rsid wsp:val=&quot;002551B5&quot;/&gt;&lt;wsp:rsid wsp:val=&quot;00255AC4&quot;/&gt;&lt;wsp:rsid wsp:val=&quot;0025728C&quot;/&gt;&lt;wsp:rsid wsp:val=&quot;00260674&quot;/&gt;&lt;wsp:rsid wsp:val=&quot;0026198F&quot;/&gt;&lt;wsp:rsid wsp:val=&quot;0026259D&quot;/&gt;&lt;wsp:rsid wsp:val=&quot;0026362A&quot;/&gt;&lt;wsp:rsid wsp:val=&quot;00264408&quot;/&gt;&lt;wsp:rsid wsp:val=&quot;00264838&quot;/&gt;&lt;wsp:rsid wsp:val=&quot;00264C34&quot;/&gt;&lt;wsp:rsid wsp:val=&quot;0026503E&quot;/&gt;&lt;wsp:rsid wsp:val=&quot;0026564C&quot;/&gt;&lt;wsp:rsid wsp:val=&quot;00265D7A&quot;/&gt;&lt;wsp:rsid wsp:val=&quot;00265E26&quot;/&gt;&lt;wsp:rsid wsp:val=&quot;00266952&quot;/&gt;&lt;wsp:rsid wsp:val=&quot;002669CB&quot;/&gt;&lt;wsp:rsid wsp:val=&quot;00267D7C&quot;/&gt;&lt;wsp:rsid wsp:val=&quot;00267E54&quot;/&gt;&lt;wsp:rsid wsp:val=&quot;00271288&quot;/&gt;&lt;wsp:rsid wsp:val=&quot;00271B26&quot;/&gt;&lt;wsp:rsid wsp:val=&quot;00272277&quot;/&gt;&lt;wsp:rsid wsp:val=&quot;00273364&quot;/&gt;&lt;wsp:rsid wsp:val=&quot;002733CD&quot;/&gt;&lt;wsp:rsid wsp:val=&quot;0027395C&quot;/&gt;&lt;wsp:rsid wsp:val=&quot;00273AA2&quot;/&gt;&lt;wsp:rsid wsp:val=&quot;002758D7&quot;/&gt;&lt;wsp:rsid wsp:val=&quot;0027650D&quot;/&gt;&lt;wsp:rsid wsp:val=&quot;00276903&quot;/&gt;&lt;wsp:rsid wsp:val=&quot;00276BA2&quot;/&gt;&lt;wsp:rsid wsp:val=&quot;002777F6&quot;/&gt;&lt;wsp:rsid wsp:val=&quot;002800C6&quot;/&gt;&lt;wsp:rsid wsp:val=&quot;0028043C&quot;/&gt;&lt;wsp:rsid wsp:val=&quot;002804E0&quot;/&gt;&lt;wsp:rsid wsp:val=&quot;00280AB0&quot;/&gt;&lt;wsp:rsid wsp:val=&quot;00280B29&quot;/&gt;&lt;wsp:rsid wsp:val=&quot;00281281&quot;/&gt;&lt;wsp:rsid wsp:val=&quot;00281688&quot;/&gt;&lt;wsp:rsid wsp:val=&quot;002824A2&quot;/&gt;&lt;wsp:rsid wsp:val=&quot;002824B5&quot;/&gt;&lt;wsp:rsid wsp:val=&quot;0028292D&quot;/&gt;&lt;wsp:rsid wsp:val=&quot;00282ECF&quot;/&gt;&lt;wsp:rsid wsp:val=&quot;00282F01&quot;/&gt;&lt;wsp:rsid wsp:val=&quot;00283C20&quot;/&gt;&lt;wsp:rsid wsp:val=&quot;00284118&quot;/&gt;&lt;wsp:rsid wsp:val=&quot;002855C4&quot;/&gt;&lt;wsp:rsid wsp:val=&quot;00285A21&quot;/&gt;&lt;wsp:rsid wsp:val=&quot;00285FFE&quot;/&gt;&lt;wsp:rsid wsp:val=&quot;002861BA&quot;/&gt;&lt;wsp:rsid wsp:val=&quot;0028641E&quot;/&gt;&lt;wsp:rsid wsp:val=&quot;00286483&quot;/&gt;&lt;wsp:rsid wsp:val=&quot;002869D8&quot;/&gt;&lt;wsp:rsid wsp:val=&quot;00286D61&quot;/&gt;&lt;wsp:rsid wsp:val=&quot;0028746E&quot;/&gt;&lt;wsp:rsid wsp:val=&quot;0029036C&quot;/&gt;&lt;wsp:rsid wsp:val=&quot;00290A58&quot;/&gt;&lt;wsp:rsid wsp:val=&quot;00290B24&quot;/&gt;&lt;wsp:rsid wsp:val=&quot;00290C35&quot;/&gt;&lt;wsp:rsid wsp:val=&quot;00291703&quot;/&gt;&lt;wsp:rsid wsp:val=&quot;00292674&quot;/&gt;&lt;wsp:rsid wsp:val=&quot;002927E8&quot;/&gt;&lt;wsp:rsid wsp:val=&quot;00292B77&quot;/&gt;&lt;wsp:rsid wsp:val=&quot;00295651&quot;/&gt;&lt;wsp:rsid wsp:val=&quot;00295AEC&quot;/&gt;&lt;wsp:rsid wsp:val=&quot;00295F37&quot;/&gt;&lt;wsp:rsid wsp:val=&quot;0029607C&quot;/&gt;&lt;wsp:rsid wsp:val=&quot;00296B71&quot;/&gt;&lt;wsp:rsid wsp:val=&quot;00296DB3&quot;/&gt;&lt;wsp:rsid wsp:val=&quot;002975ED&quot;/&gt;&lt;wsp:rsid wsp:val=&quot;002A0715&quot;/&gt;&lt;wsp:rsid wsp:val=&quot;002A10BD&quot;/&gt;&lt;wsp:rsid wsp:val=&quot;002A1435&quot;/&gt;&lt;wsp:rsid wsp:val=&quot;002A1663&quot;/&gt;&lt;wsp:rsid wsp:val=&quot;002A2230&quot;/&gt;&lt;wsp:rsid wsp:val=&quot;002A2592&quot;/&gt;&lt;wsp:rsid wsp:val=&quot;002A2767&quot;/&gt;&lt;wsp:rsid wsp:val=&quot;002A302A&quot;/&gt;&lt;wsp:rsid wsp:val=&quot;002A37FE&quot;/&gt;&lt;wsp:rsid wsp:val=&quot;002A3F26&quot;/&gt;&lt;wsp:rsid wsp:val=&quot;002A66AB&quot;/&gt;&lt;wsp:rsid wsp:val=&quot;002A7335&quot;/&gt;&lt;wsp:rsid wsp:val=&quot;002A77C1&quot;/&gt;&lt;wsp:rsid wsp:val=&quot;002A79A3&quot;/&gt;&lt;wsp:rsid wsp:val=&quot;002A7A37&quot;/&gt;&lt;wsp:rsid wsp:val=&quot;002B092B&quot;/&gt;&lt;wsp:rsid wsp:val=&quot;002B136A&quot;/&gt;&lt;wsp:rsid wsp:val=&quot;002B1547&quot;/&gt;&lt;wsp:rsid wsp:val=&quot;002B1F53&quot;/&gt;&lt;wsp:rsid wsp:val=&quot;002B20A2&quot;/&gt;&lt;wsp:rsid wsp:val=&quot;002B2BF5&quot;/&gt;&lt;wsp:rsid wsp:val=&quot;002B3C26&quot;/&gt;&lt;wsp:rsid wsp:val=&quot;002B430E&quot;/&gt;&lt;wsp:rsid wsp:val=&quot;002B4424&quot;/&gt;&lt;wsp:rsid wsp:val=&quot;002B5E01&quot;/&gt;&lt;wsp:rsid wsp:val=&quot;002B703F&quot;/&gt;&lt;wsp:rsid wsp:val=&quot;002B718D&quot;/&gt;&lt;wsp:rsid wsp:val=&quot;002B7195&quot;/&gt;&lt;wsp:rsid wsp:val=&quot;002B7A36&quot;/&gt;&lt;wsp:rsid wsp:val=&quot;002C1026&quot;/&gt;&lt;wsp:rsid wsp:val=&quot;002C2767&quot;/&gt;&lt;wsp:rsid wsp:val=&quot;002C3429&quot;/&gt;&lt;wsp:rsid wsp:val=&quot;002C4C62&quot;/&gt;&lt;wsp:rsid wsp:val=&quot;002C4CB7&quot;/&gt;&lt;wsp:rsid wsp:val=&quot;002C551E&quot;/&gt;&lt;wsp:rsid wsp:val=&quot;002C5E0E&quot;/&gt;&lt;wsp:rsid wsp:val=&quot;002C617C&quot;/&gt;&lt;wsp:rsid wsp:val=&quot;002C69EF&quot;/&gt;&lt;wsp:rsid wsp:val=&quot;002C6A32&quot;/&gt;&lt;wsp:rsid wsp:val=&quot;002C6C47&quot;/&gt;&lt;wsp:rsid wsp:val=&quot;002D1CFD&quot;/&gt;&lt;wsp:rsid wsp:val=&quot;002D24FA&quot;/&gt;&lt;wsp:rsid wsp:val=&quot;002D2659&quot;/&gt;&lt;wsp:rsid wsp:val=&quot;002D33BE&quot;/&gt;&lt;wsp:rsid wsp:val=&quot;002D345A&quot;/&gt;&lt;wsp:rsid wsp:val=&quot;002D3635&quot;/&gt;&lt;wsp:rsid wsp:val=&quot;002D4370&quot;/&gt;&lt;wsp:rsid wsp:val=&quot;002D479C&quot;/&gt;&lt;wsp:rsid wsp:val=&quot;002D47D8&quot;/&gt;&lt;wsp:rsid wsp:val=&quot;002D5295&quot;/&gt;&lt;wsp:rsid wsp:val=&quot;002D599D&quot;/&gt;&lt;wsp:rsid wsp:val=&quot;002D72D3&quot;/&gt;&lt;wsp:rsid wsp:val=&quot;002D732F&quot;/&gt;&lt;wsp:rsid wsp:val=&quot;002D7776&quot;/&gt;&lt;wsp:rsid wsp:val=&quot;002D783E&quot;/&gt;&lt;wsp:rsid wsp:val=&quot;002E05C2&quot;/&gt;&lt;wsp:rsid wsp:val=&quot;002E0C7D&quot;/&gt;&lt;wsp:rsid wsp:val=&quot;002E0CE1&quot;/&gt;&lt;wsp:rsid wsp:val=&quot;002E0F7D&quot;/&gt;&lt;wsp:rsid wsp:val=&quot;002E23EA&quot;/&gt;&lt;wsp:rsid wsp:val=&quot;002E263E&quot;/&gt;&lt;wsp:rsid wsp:val=&quot;002E3A6A&quot;/&gt;&lt;wsp:rsid wsp:val=&quot;002E3C99&quot;/&gt;&lt;wsp:rsid wsp:val=&quot;002E3DBB&quot;/&gt;&lt;wsp:rsid wsp:val=&quot;002E52C2&quot;/&gt;&lt;wsp:rsid wsp:val=&quot;002E69F2&quot;/&gt;&lt;wsp:rsid wsp:val=&quot;002E7153&quot;/&gt;&lt;wsp:rsid wsp:val=&quot;002F00DF&quot;/&gt;&lt;wsp:rsid wsp:val=&quot;002F0C16&quot;/&gt;&lt;wsp:rsid wsp:val=&quot;002F0F96&quot;/&gt;&lt;wsp:rsid wsp:val=&quot;002F141E&quot;/&gt;&lt;wsp:rsid wsp:val=&quot;002F180C&quot;/&gt;&lt;wsp:rsid wsp:val=&quot;002F1EDD&quot;/&gt;&lt;wsp:rsid wsp:val=&quot;002F25B4&quot;/&gt;&lt;wsp:rsid wsp:val=&quot;002F3BF6&quot;/&gt;&lt;wsp:rsid wsp:val=&quot;002F3D6B&quot;/&gt;&lt;wsp:rsid wsp:val=&quot;002F41B3&quot;/&gt;&lt;wsp:rsid wsp:val=&quot;002F47DB&quot;/&gt;&lt;wsp:rsid wsp:val=&quot;002F66B7&quot;/&gt;&lt;wsp:rsid wsp:val=&quot;002F6BB0&quot;/&gt;&lt;wsp:rsid wsp:val=&quot;002F6CD9&quot;/&gt;&lt;wsp:rsid wsp:val=&quot;002F7D3B&quot;/&gt;&lt;wsp:rsid wsp:val=&quot;0030003D&quot;/&gt;&lt;wsp:rsid wsp:val=&quot;0030039D&quot;/&gt;&lt;wsp:rsid wsp:val=&quot;0030157F&quot;/&gt;&lt;wsp:rsid wsp:val=&quot;00301D28&quot;/&gt;&lt;wsp:rsid wsp:val=&quot;0030215D&quot;/&gt;&lt;wsp:rsid wsp:val=&quot;0030298D&quot;/&gt;&lt;wsp:rsid wsp:val=&quot;00302D4D&quot;/&gt;&lt;wsp:rsid wsp:val=&quot;00303253&quot;/&gt;&lt;wsp:rsid wsp:val=&quot;00303491&quot;/&gt;&lt;wsp:rsid wsp:val=&quot;00303813&quot;/&gt;&lt;wsp:rsid wsp:val=&quot;00303859&quot;/&gt;&lt;wsp:rsid wsp:val=&quot;003038BE&quot;/&gt;&lt;wsp:rsid wsp:val=&quot;00303B02&quot;/&gt;&lt;wsp:rsid wsp:val=&quot;00303FBF&quot;/&gt;&lt;wsp:rsid wsp:val=&quot;00304212&quot;/&gt;&lt;wsp:rsid wsp:val=&quot;0030448F&quot;/&gt;&lt;wsp:rsid wsp:val=&quot;00306E2B&quot;/&gt;&lt;wsp:rsid wsp:val=&quot;00307386&quot;/&gt;&lt;wsp:rsid wsp:val=&quot;00307750&quot;/&gt;&lt;wsp:rsid wsp:val=&quot;003112BE&quot;/&gt;&lt;wsp:rsid wsp:val=&quot;0031168C&quot;/&gt;&lt;wsp:rsid wsp:val=&quot;00311719&quot;/&gt;&lt;wsp:rsid wsp:val=&quot;003117B9&quot;/&gt;&lt;wsp:rsid wsp:val=&quot;003119F0&quot;/&gt;&lt;wsp:rsid wsp:val=&quot;0031290A&quot;/&gt;&lt;wsp:rsid wsp:val=&quot;00312D6E&quot;/&gt;&lt;wsp:rsid wsp:val=&quot;00313253&quot;/&gt;&lt;wsp:rsid wsp:val=&quot;00313BED&quot;/&gt;&lt;wsp:rsid wsp:val=&quot;0031415F&quot;/&gt;&lt;wsp:rsid wsp:val=&quot;003157C4&quot;/&gt;&lt;wsp:rsid wsp:val=&quot;00316465&quot;/&gt;&lt;wsp:rsid wsp:val=&quot;00316676&quot;/&gt;&lt;wsp:rsid wsp:val=&quot;00316786&quot;/&gt;&lt;wsp:rsid wsp:val=&quot;00316C4E&quot;/&gt;&lt;wsp:rsid wsp:val=&quot;0031731C&quot;/&gt;&lt;wsp:rsid wsp:val=&quot;00317320&quot;/&gt;&lt;wsp:rsid wsp:val=&quot;00317FBC&quot;/&gt;&lt;wsp:rsid wsp:val=&quot;00320197&quot;/&gt;&lt;wsp:rsid wsp:val=&quot;00320907&quot;/&gt;&lt;wsp:rsid wsp:val=&quot;00320E63&quot;/&gt;&lt;wsp:rsid wsp:val=&quot;00321F3C&quot;/&gt;&lt;wsp:rsid wsp:val=&quot;0032226D&quot;/&gt;&lt;wsp:rsid wsp:val=&quot;00322F69&quot;/&gt;&lt;wsp:rsid wsp:val=&quot;003232AD&quot;/&gt;&lt;wsp:rsid wsp:val=&quot;003243D2&quot;/&gt;&lt;wsp:rsid wsp:val=&quot;00324C9E&quot;/&gt;&lt;wsp:rsid wsp:val=&quot;00324EE1&quot;/&gt;&lt;wsp:rsid wsp:val=&quot;00325297&quot;/&gt;&lt;wsp:rsid wsp:val=&quot;00325931&quot;/&gt;&lt;wsp:rsid wsp:val=&quot;0032769B&quot;/&gt;&lt;wsp:rsid wsp:val=&quot;00327B0E&quot;/&gt;&lt;wsp:rsid wsp:val=&quot;0033005E&quot;/&gt;&lt;wsp:rsid wsp:val=&quot;00330DE8&quot;/&gt;&lt;wsp:rsid wsp:val=&quot;00330FD6&quot;/&gt;&lt;wsp:rsid wsp:val=&quot;003311B2&quot;/&gt;&lt;wsp:rsid wsp:val=&quot;00331B43&quot;/&gt;&lt;wsp:rsid wsp:val=&quot;0033347C&quot;/&gt;&lt;wsp:rsid wsp:val=&quot;003334F0&quot;/&gt;&lt;wsp:rsid wsp:val=&quot;00333812&quot;/&gt;&lt;wsp:rsid wsp:val=&quot;003338ED&quot;/&gt;&lt;wsp:rsid wsp:val=&quot;00334124&quot;/&gt;&lt;wsp:rsid wsp:val=&quot;00334E1B&quot;/&gt;&lt;wsp:rsid wsp:val=&quot;00335B7C&quot;/&gt;&lt;wsp:rsid wsp:val=&quot;00336D5F&quot;/&gt;&lt;wsp:rsid wsp:val=&quot;00336EC7&quot;/&gt;&lt;wsp:rsid wsp:val=&quot;00337F97&quot;/&gt;&lt;wsp:rsid wsp:val=&quot;00340EE5&quot;/&gt;&lt;wsp:rsid wsp:val=&quot;003418B2&quot;/&gt;&lt;wsp:rsid wsp:val=&quot;00341CC0&quot;/&gt;&lt;wsp:rsid wsp:val=&quot;00343116&quot;/&gt;&lt;wsp:rsid wsp:val=&quot;00344D0D&quot;/&gt;&lt;wsp:rsid wsp:val=&quot;00345B93&quot;/&gt;&lt;wsp:rsid wsp:val=&quot;003465A3&quot;/&gt;&lt;wsp:rsid wsp:val=&quot;00346E7C&quot;/&gt;&lt;wsp:rsid wsp:val=&quot;00346E91&quot;/&gt;&lt;wsp:rsid wsp:val=&quot;00347279&quot;/&gt;&lt;wsp:rsid wsp:val=&quot;0034794B&quot;/&gt;&lt;wsp:rsid wsp:val=&quot;00347FA4&quot;/&gt;&lt;wsp:rsid wsp:val=&quot;00347FCC&quot;/&gt;&lt;wsp:rsid wsp:val=&quot;00350AA2&quot;/&gt;&lt;wsp:rsid wsp:val=&quot;0035117D&quot;/&gt;&lt;wsp:rsid wsp:val=&quot;00351185&quot;/&gt;&lt;wsp:rsid wsp:val=&quot;003511EA&quot;/&gt;&lt;wsp:rsid wsp:val=&quot;00351364&quot;/&gt;&lt;wsp:rsid wsp:val=&quot;00352392&quot;/&gt;&lt;wsp:rsid wsp:val=&quot;0035255A&quot;/&gt;&lt;wsp:rsid wsp:val=&quot;00352A03&quot;/&gt;&lt;wsp:rsid wsp:val=&quot;00352B62&quot;/&gt;&lt;wsp:rsid wsp:val=&quot;003536E2&quot;/&gt;&lt;wsp:rsid wsp:val=&quot;003538E5&quot;/&gt;&lt;wsp:rsid wsp:val=&quot;00353C92&quot;/&gt;&lt;wsp:rsid wsp:val=&quot;00354216&quot;/&gt;&lt;wsp:rsid wsp:val=&quot;00354E3E&quot;/&gt;&lt;wsp:rsid wsp:val=&quot;00354E71&quot;/&gt;&lt;wsp:rsid wsp:val=&quot;0035523B&quot;/&gt;&lt;wsp:rsid wsp:val=&quot;00355D68&quot;/&gt;&lt;wsp:rsid wsp:val=&quot;003568CB&quot;/&gt;&lt;wsp:rsid wsp:val=&quot;00356BE5&quot;/&gt;&lt;wsp:rsid wsp:val=&quot;003572CA&quot;/&gt;&lt;wsp:rsid wsp:val=&quot;00360895&quot;/&gt;&lt;wsp:rsid wsp:val=&quot;00361134&quot;/&gt;&lt;wsp:rsid wsp:val=&quot;0036184B&quot;/&gt;&lt;wsp:rsid wsp:val=&quot;003620E5&quot;/&gt;&lt;wsp:rsid wsp:val=&quot;003622B9&quot;/&gt;&lt;wsp:rsid wsp:val=&quot;00362676&quot;/&gt;&lt;wsp:rsid wsp:val=&quot;00362B58&quot;/&gt;&lt;wsp:rsid wsp:val=&quot;0036367E&quot;/&gt;&lt;wsp:rsid wsp:val=&quot;00364747&quot;/&gt;&lt;wsp:rsid wsp:val=&quot;003649ED&quot;/&gt;&lt;wsp:rsid wsp:val=&quot;00364A33&quot;/&gt;&lt;wsp:rsid wsp:val=&quot;003659F9&quot;/&gt;&lt;wsp:rsid wsp:val=&quot;00365E38&quot;/&gt;&lt;wsp:rsid wsp:val=&quot;00366294&quot;/&gt;&lt;wsp:rsid wsp:val=&quot;003667DE&quot;/&gt;&lt;wsp:rsid wsp:val=&quot;003676AE&quot;/&gt;&lt;wsp:rsid wsp:val=&quot;00367E31&quot;/&gt;&lt;wsp:rsid wsp:val=&quot;003704CF&quot;/&gt;&lt;wsp:rsid wsp:val=&quot;00371216&quot;/&gt;&lt;wsp:rsid wsp:val=&quot;00371DB5&quot;/&gt;&lt;wsp:rsid wsp:val=&quot;00372FD7&quot;/&gt;&lt;wsp:rsid wsp:val=&quot;00373371&quot;/&gt;&lt;wsp:rsid wsp:val=&quot;003744E3&quot;/&gt;&lt;wsp:rsid wsp:val=&quot;00375692&quot;/&gt;&lt;wsp:rsid wsp:val=&quot;00375CC7&quot;/&gt;&lt;wsp:rsid wsp:val=&quot;00376039&quot;/&gt;&lt;wsp:rsid wsp:val=&quot;00376C0D&quot;/&gt;&lt;wsp:rsid wsp:val=&quot;00376C34&quot;/&gt;&lt;wsp:rsid wsp:val=&quot;003777C3&quot;/&gt;&lt;wsp:rsid wsp:val=&quot;00377A58&quot;/&gt;&lt;wsp:rsid wsp:val=&quot;00377BF7&quot;/&gt;&lt;wsp:rsid wsp:val=&quot;003801D4&quot;/&gt;&lt;wsp:rsid wsp:val=&quot;0038057B&quot;/&gt;&lt;wsp:rsid wsp:val=&quot;00380BAA&quot;/&gt;&lt;wsp:rsid wsp:val=&quot;00380EAB&quot;/&gt;&lt;wsp:rsid wsp:val=&quot;00381B3C&quot;/&gt;&lt;wsp:rsid wsp:val=&quot;00381B5C&quot;/&gt;&lt;wsp:rsid wsp:val=&quot;0038202B&quot;/&gt;&lt;wsp:rsid wsp:val=&quot;00382761&quot;/&gt;&lt;wsp:rsid wsp:val=&quot;00382BDF&quot;/&gt;&lt;wsp:rsid wsp:val=&quot;00383892&quot;/&gt;&lt;wsp:rsid wsp:val=&quot;00383E68&quot;/&gt;&lt;wsp:rsid wsp:val=&quot;00383EE3&quot;/&gt;&lt;wsp:rsid wsp:val=&quot;003847F3&quot;/&gt;&lt;wsp:rsid wsp:val=&quot;00384833&quot;/&gt;&lt;wsp:rsid wsp:val=&quot;00384924&quot;/&gt;&lt;wsp:rsid wsp:val=&quot;00385C47&quot;/&gt;&lt;wsp:rsid wsp:val=&quot;00385D52&quot;/&gt;&lt;wsp:rsid wsp:val=&quot;00385E03&quot;/&gt;&lt;wsp:rsid wsp:val=&quot;003861A2&quot;/&gt;&lt;wsp:rsid wsp:val=&quot;00386752&quot;/&gt;&lt;wsp:rsid wsp:val=&quot;00386EBD&quot;/&gt;&lt;wsp:rsid wsp:val=&quot;00391B91&quot;/&gt;&lt;wsp:rsid wsp:val=&quot;00391D40&quot;/&gt;&lt;wsp:rsid wsp:val=&quot;003920B6&quot;/&gt;&lt;wsp:rsid wsp:val=&quot;003921A5&quot;/&gt;&lt;wsp:rsid wsp:val=&quot;003926BC&quot;/&gt;&lt;wsp:rsid wsp:val=&quot;00392976&quot;/&gt;&lt;wsp:rsid wsp:val=&quot;00392B62&quot;/&gt;&lt;wsp:rsid wsp:val=&quot;00393335&quot;/&gt;&lt;wsp:rsid wsp:val=&quot;003934FC&quot;/&gt;&lt;wsp:rsid wsp:val=&quot;00393971&quot;/&gt;&lt;wsp:rsid wsp:val=&quot;003939E2&quot;/&gt;&lt;wsp:rsid wsp:val=&quot;00393DE0&quot;/&gt;&lt;wsp:rsid wsp:val=&quot;00393EF0&quot;/&gt;&lt;wsp:rsid wsp:val=&quot;0039468E&quot;/&gt;&lt;wsp:rsid wsp:val=&quot;00394C64&quot;/&gt;&lt;wsp:rsid wsp:val=&quot;00394D0F&quot;/&gt;&lt;wsp:rsid wsp:val=&quot;003950C8&quot;/&gt;&lt;wsp:rsid wsp:val=&quot;003967CF&quot;/&gt;&lt;wsp:rsid wsp:val=&quot;0039767E&quot;/&gt;&lt;wsp:rsid wsp:val=&quot;00397AB1&quot;/&gt;&lt;wsp:rsid wsp:val=&quot;003A0554&quot;/&gt;&lt;wsp:rsid wsp:val=&quot;003A0B69&quot;/&gt;&lt;wsp:rsid wsp:val=&quot;003A0C70&quot;/&gt;&lt;wsp:rsid wsp:val=&quot;003A2002&quot;/&gt;&lt;wsp:rsid wsp:val=&quot;003A205A&quot;/&gt;&lt;wsp:rsid wsp:val=&quot;003A26CF&quot;/&gt;&lt;wsp:rsid wsp:val=&quot;003A27CB&quot;/&gt;&lt;wsp:rsid wsp:val=&quot;003A3A83&quot;/&gt;&lt;wsp:rsid wsp:val=&quot;003A3B56&quot;/&gt;&lt;wsp:rsid wsp:val=&quot;003A3F37&quot;/&gt;&lt;wsp:rsid wsp:val=&quot;003A476D&quot;/&gt;&lt;wsp:rsid wsp:val=&quot;003A4FC5&quot;/&gt;&lt;wsp:rsid wsp:val=&quot;003A500C&quot;/&gt;&lt;wsp:rsid wsp:val=&quot;003A5F48&quot;/&gt;&lt;wsp:rsid wsp:val=&quot;003A5FBA&quot;/&gt;&lt;wsp:rsid wsp:val=&quot;003A79D0&quot;/&gt;&lt;wsp:rsid wsp:val=&quot;003B0854&quot;/&gt;&lt;wsp:rsid wsp:val=&quot;003B0BF8&quot;/&gt;&lt;wsp:rsid wsp:val=&quot;003B0F46&quot;/&gt;&lt;wsp:rsid wsp:val=&quot;003B2E90&quot;/&gt;&lt;wsp:rsid wsp:val=&quot;003B3BF6&quot;/&gt;&lt;wsp:rsid wsp:val=&quot;003B3E27&quot;/&gt;&lt;wsp:rsid wsp:val=&quot;003B51C1&quot;/&gt;&lt;wsp:rsid wsp:val=&quot;003B5E95&quot;/&gt;&lt;wsp:rsid wsp:val=&quot;003B6066&quot;/&gt;&lt;wsp:rsid wsp:val=&quot;003B667E&quot;/&gt;&lt;wsp:rsid wsp:val=&quot;003B7692&quot;/&gt;&lt;wsp:rsid wsp:val=&quot;003C063B&quot;/&gt;&lt;wsp:rsid wsp:val=&quot;003C07AE&quot;/&gt;&lt;wsp:rsid wsp:val=&quot;003C18B6&quot;/&gt;&lt;wsp:rsid wsp:val=&quot;003C1971&quot;/&gt;&lt;wsp:rsid wsp:val=&quot;003C26D4&quot;/&gt;&lt;wsp:rsid wsp:val=&quot;003C3168&quot;/&gt;&lt;wsp:rsid wsp:val=&quot;003C3A42&quot;/&gt;&lt;wsp:rsid wsp:val=&quot;003C42D6&quot;/&gt;&lt;wsp:rsid wsp:val=&quot;003C532F&quot;/&gt;&lt;wsp:rsid wsp:val=&quot;003C7462&quot;/&gt;&lt;wsp:rsid wsp:val=&quot;003C7BE6&quot;/&gt;&lt;wsp:rsid wsp:val=&quot;003D0DD7&quot;/&gt;&lt;wsp:rsid wsp:val=&quot;003D14E9&quot;/&gt;&lt;wsp:rsid wsp:val=&quot;003D19CE&quot;/&gt;&lt;wsp:rsid wsp:val=&quot;003D1BAD&quot;/&gt;&lt;wsp:rsid wsp:val=&quot;003D1BD8&quot;/&gt;&lt;wsp:rsid wsp:val=&quot;003D1C29&quot;/&gt;&lt;wsp:rsid wsp:val=&quot;003D26DB&quot;/&gt;&lt;wsp:rsid wsp:val=&quot;003D305E&quot;/&gt;&lt;wsp:rsid wsp:val=&quot;003D3197&quot;/&gt;&lt;wsp:rsid wsp:val=&quot;003D36CA&quot;/&gt;&lt;wsp:rsid wsp:val=&quot;003D39F2&quot;/&gt;&lt;wsp:rsid wsp:val=&quot;003D3CD0&quot;/&gt;&lt;wsp:rsid wsp:val=&quot;003D3EAA&quot;/&gt;&lt;wsp:rsid wsp:val=&quot;003D519F&quot;/&gt;&lt;wsp:rsid wsp:val=&quot;003D526F&quot;/&gt;&lt;wsp:rsid wsp:val=&quot;003D5CB0&quot;/&gt;&lt;wsp:rsid wsp:val=&quot;003D6C14&quot;/&gt;&lt;wsp:rsid wsp:val=&quot;003D72B1&quot;/&gt;&lt;wsp:rsid wsp:val=&quot;003E021E&quot;/&gt;&lt;wsp:rsid wsp:val=&quot;003E0B41&quot;/&gt;&lt;wsp:rsid wsp:val=&quot;003E0E5D&quot;/&gt;&lt;wsp:rsid wsp:val=&quot;003E0E8F&quot;/&gt;&lt;wsp:rsid wsp:val=&quot;003E1AB4&quot;/&gt;&lt;wsp:rsid wsp:val=&quot;003E2948&quot;/&gt;&lt;wsp:rsid wsp:val=&quot;003E2D21&quot;/&gt;&lt;wsp:rsid wsp:val=&quot;003E3056&quot;/&gt;&lt;wsp:rsid wsp:val=&quot;003E3552&quot;/&gt;&lt;wsp:rsid wsp:val=&quot;003E3B68&quot;/&gt;&lt;wsp:rsid wsp:val=&quot;003E48D1&quot;/&gt;&lt;wsp:rsid wsp:val=&quot;003E4DC0&quot;/&gt;&lt;wsp:rsid wsp:val=&quot;003E5008&quot;/&gt;&lt;wsp:rsid wsp:val=&quot;003E55D0&quot;/&gt;&lt;wsp:rsid wsp:val=&quot;003E671A&quot;/&gt;&lt;wsp:rsid wsp:val=&quot;003E7043&quot;/&gt;&lt;wsp:rsid wsp:val=&quot;003E7B7F&quot;/&gt;&lt;wsp:rsid wsp:val=&quot;003F0204&quot;/&gt;&lt;wsp:rsid wsp:val=&quot;003F0309&quot;/&gt;&lt;wsp:rsid wsp:val=&quot;003F13F0&quot;/&gt;&lt;wsp:rsid wsp:val=&quot;003F1D21&quot;/&gt;&lt;wsp:rsid wsp:val=&quot;003F1D63&quot;/&gt;&lt;wsp:rsid wsp:val=&quot;003F388E&quot;/&gt;&lt;wsp:rsid wsp:val=&quot;003F3AF2&quot;/&gt;&lt;wsp:rsid wsp:val=&quot;003F4662&quot;/&gt;&lt;wsp:rsid wsp:val=&quot;003F4D28&quot;/&gt;&lt;wsp:rsid wsp:val=&quot;003F4E20&quot;/&gt;&lt;wsp:rsid wsp:val=&quot;003F5D37&quot;/&gt;&lt;wsp:rsid wsp:val=&quot;003F64DA&quot;/&gt;&lt;wsp:rsid wsp:val=&quot;003F7AA2&quot;/&gt;&lt;wsp:rsid wsp:val=&quot;003F7D2C&quot;/&gt;&lt;wsp:rsid wsp:val=&quot;00400404&quot;/&gt;&lt;wsp:rsid wsp:val=&quot;004012FF&quot;/&gt;&lt;wsp:rsid wsp:val=&quot;00401481&quot;/&gt;&lt;wsp:rsid wsp:val=&quot;004027FA&quot;/&gt;&lt;wsp:rsid wsp:val=&quot;00402C66&quot;/&gt;&lt;wsp:rsid wsp:val=&quot;00403686&quot;/&gt;&lt;wsp:rsid wsp:val=&quot;00403CAA&quot;/&gt;&lt;wsp:rsid wsp:val=&quot;00404B7E&quot;/&gt;&lt;wsp:rsid wsp:val=&quot;00405233&quot;/&gt;&lt;wsp:rsid wsp:val=&quot;00405A03&quot;/&gt;&lt;wsp:rsid wsp:val=&quot;00405CB8&quot;/&gt;&lt;wsp:rsid wsp:val=&quot;0040641A&quot;/&gt;&lt;wsp:rsid wsp:val=&quot;004072CB&quot;/&gt;&lt;wsp:rsid wsp:val=&quot;0040745E&quot;/&gt;&lt;wsp:rsid wsp:val=&quot;00407C06&quot;/&gt;&lt;wsp:rsid wsp:val=&quot;0041007A&quot;/&gt;&lt;wsp:rsid wsp:val=&quot;00410B0A&quot;/&gt;&lt;wsp:rsid wsp:val=&quot;00410D07&quot;/&gt;&lt;wsp:rsid wsp:val=&quot;004111D7&quot;/&gt;&lt;wsp:rsid wsp:val=&quot;00411421&quot;/&gt;&lt;wsp:rsid wsp:val=&quot;0041143B&quot;/&gt;&lt;wsp:rsid wsp:val=&quot;00411A8A&quot;/&gt;&lt;wsp:rsid wsp:val=&quot;00411F22&quot;/&gt;&lt;wsp:rsid wsp:val=&quot;004124BF&quot;/&gt;&lt;wsp:rsid wsp:val=&quot;00412611&quot;/&gt;&lt;wsp:rsid wsp:val=&quot;00412FF9&quot;/&gt;&lt;wsp:rsid wsp:val=&quot;004133EE&quot;/&gt;&lt;wsp:rsid wsp:val=&quot;00413A21&quot;/&gt;&lt;wsp:rsid wsp:val=&quot;00414937&quot;/&gt;&lt;wsp:rsid wsp:val=&quot;00414E87&quot;/&gt;&lt;wsp:rsid wsp:val=&quot;0041502A&quot;/&gt;&lt;wsp:rsid wsp:val=&quot;00415610&quot;/&gt;&lt;wsp:rsid wsp:val=&quot;004160BB&quot;/&gt;&lt;wsp:rsid wsp:val=&quot;004167E0&quot;/&gt;&lt;wsp:rsid wsp:val=&quot;00417120&quot;/&gt;&lt;wsp:rsid wsp:val=&quot;00420686&quot;/&gt;&lt;wsp:rsid wsp:val=&quot;00420C9B&quot;/&gt;&lt;wsp:rsid wsp:val=&quot;00420EFE&quot;/&gt;&lt;wsp:rsid wsp:val=&quot;00421B27&quot;/&gt;&lt;wsp:rsid wsp:val=&quot;0042347B&quot;/&gt;&lt;wsp:rsid wsp:val=&quot;004243C3&quot;/&gt;&lt;wsp:rsid wsp:val=&quot;00424608&quot;/&gt;&lt;wsp:rsid wsp:val=&quot;00425007&quot;/&gt;&lt;wsp:rsid wsp:val=&quot;004256BE&quot;/&gt;&lt;wsp:rsid wsp:val=&quot;004257F3&quot;/&gt;&lt;wsp:rsid wsp:val=&quot;00426B8A&quot;/&gt;&lt;wsp:rsid wsp:val=&quot;00426D0B&quot;/&gt;&lt;wsp:rsid wsp:val=&quot;0042751C&quot;/&gt;&lt;wsp:rsid wsp:val=&quot;00427AC4&quot;/&gt;&lt;wsp:rsid wsp:val=&quot;004305CB&quot;/&gt;&lt;wsp:rsid wsp:val=&quot;004313CA&quot;/&gt;&lt;wsp:rsid wsp:val=&quot;00432386&quot;/&gt;&lt;wsp:rsid wsp:val=&quot;00432D72&quot;/&gt;&lt;wsp:rsid wsp:val=&quot;004331B6&quot;/&gt;&lt;wsp:rsid wsp:val=&quot;004346BD&quot;/&gt;&lt;wsp:rsid wsp:val=&quot;00435001&quot;/&gt;&lt;wsp:rsid wsp:val=&quot;0043611E&quot;/&gt;&lt;wsp:rsid wsp:val=&quot;0043619A&quot;/&gt;&lt;wsp:rsid wsp:val=&quot;004364D5&quot;/&gt;&lt;wsp:rsid wsp:val=&quot;00437354&quot;/&gt;&lt;wsp:rsid wsp:val=&quot;004379D5&quot;/&gt;&lt;wsp:rsid wsp:val=&quot;00440009&quot;/&gt;&lt;wsp:rsid wsp:val=&quot;00441B30&quot;/&gt;&lt;wsp:rsid wsp:val=&quot;00441FED&quot;/&gt;&lt;wsp:rsid wsp:val=&quot;00442034&quot;/&gt;&lt;wsp:rsid wsp:val=&quot;00442460&quot;/&gt;&lt;wsp:rsid wsp:val=&quot;00442542&quot;/&gt;&lt;wsp:rsid wsp:val=&quot;00443F2C&quot;/&gt;&lt;wsp:rsid wsp:val=&quot;00444B56&quot;/&gt;&lt;wsp:rsid wsp:val=&quot;00445007&quot;/&gt;&lt;wsp:rsid wsp:val=&quot;004463EA&quot;/&gt;&lt;wsp:rsid wsp:val=&quot;00446EFB&quot;/&gt;&lt;wsp:rsid wsp:val=&quot;00447E0D&quot;/&gt;&lt;wsp:rsid wsp:val=&quot;004504CD&quot;/&gt;&lt;wsp:rsid wsp:val=&quot;00450801&quot;/&gt;&lt;wsp:rsid wsp:val=&quot;00451316&quot;/&gt;&lt;wsp:rsid wsp:val=&quot;00451711&quot;/&gt;&lt;wsp:rsid wsp:val=&quot;00451BBC&quot;/&gt;&lt;wsp:rsid wsp:val=&quot;00452D88&quot;/&gt;&lt;wsp:rsid wsp:val=&quot;004536B6&quot;/&gt;&lt;wsp:rsid wsp:val=&quot;00453899&quot;/&gt;&lt;wsp:rsid wsp:val=&quot;00453E9C&quot;/&gt;&lt;wsp:rsid wsp:val=&quot;0045437D&quot;/&gt;&lt;wsp:rsid wsp:val=&quot;0045450D&quot;/&gt;&lt;wsp:rsid wsp:val=&quot;0045507E&quot;/&gt;&lt;wsp:rsid wsp:val=&quot;00455233&quot;/&gt;&lt;wsp:rsid wsp:val=&quot;004556CC&quot;/&gt;&lt;wsp:rsid wsp:val=&quot;00456EE3&quot;/&gt;&lt;wsp:rsid wsp:val=&quot;0045701C&quot;/&gt;&lt;wsp:rsid wsp:val=&quot;00460C00&quot;/&gt;&lt;wsp:rsid wsp:val=&quot;00460CF7&quot;/&gt;&lt;wsp:rsid wsp:val=&quot;00460D59&quot;/&gt;&lt;wsp:rsid wsp:val=&quot;004613FC&quot;/&gt;&lt;wsp:rsid wsp:val=&quot;00461A2B&quot;/&gt;&lt;wsp:rsid wsp:val=&quot;00461A44&quot;/&gt;&lt;wsp:rsid wsp:val=&quot;004621AC&quot;/&gt;&lt;wsp:rsid wsp:val=&quot;00462666&quot;/&gt;&lt;wsp:rsid wsp:val=&quot;00462B7F&quot;/&gt;&lt;wsp:rsid wsp:val=&quot;004631B0&quot;/&gt;&lt;wsp:rsid wsp:val=&quot;00466A46&quot;/&gt;&lt;wsp:rsid wsp:val=&quot;00466B2D&quot;/&gt;&lt;wsp:rsid wsp:val=&quot;00466F17&quot;/&gt;&lt;wsp:rsid wsp:val=&quot;004673D1&quot;/&gt;&lt;wsp:rsid wsp:val=&quot;00467973&quot;/&gt;&lt;wsp:rsid wsp:val=&quot;004703F3&quot;/&gt;&lt;wsp:rsid wsp:val=&quot;004727D9&quot;/&gt;&lt;wsp:rsid wsp:val=&quot;00473816&quot;/&gt;&lt;wsp:rsid wsp:val=&quot;00474A34&quot;/&gt;&lt;wsp:rsid wsp:val=&quot;00474BDD&quot;/&gt;&lt;wsp:rsid wsp:val=&quot;00474E48&quot;/&gt;&lt;wsp:rsid wsp:val=&quot;00475D30&quot;/&gt;&lt;wsp:rsid wsp:val=&quot;004770CF&quot;/&gt;&lt;wsp:rsid wsp:val=&quot;00480156&quot;/&gt;&lt;wsp:rsid wsp:val=&quot;00481396&quot;/&gt;&lt;wsp:rsid wsp:val=&quot;0048140F&quot;/&gt;&lt;wsp:rsid wsp:val=&quot;004816A5&quot;/&gt;&lt;wsp:rsid wsp:val=&quot;00481A91&quot;/&gt;&lt;wsp:rsid wsp:val=&quot;004822EF&quot;/&gt;&lt;wsp:rsid wsp:val=&quot;00482D5D&quot;/&gt;&lt;wsp:rsid wsp:val=&quot;004837E6&quot;/&gt;&lt;wsp:rsid wsp:val=&quot;00484094&quot;/&gt;&lt;wsp:rsid wsp:val=&quot;0048443B&quot;/&gt;&lt;wsp:rsid wsp:val=&quot;004855FE&quot;/&gt;&lt;wsp:rsid wsp:val=&quot;00487D2D&quot;/&gt;&lt;wsp:rsid wsp:val=&quot;00490766&quot;/&gt;&lt;wsp:rsid wsp:val=&quot;00490EB4&quot;/&gt;&lt;wsp:rsid wsp:val=&quot;00491714&quot;/&gt;&lt;wsp:rsid wsp:val=&quot;00491DF7&quot;/&gt;&lt;wsp:rsid wsp:val=&quot;00492838&quot;/&gt;&lt;wsp:rsid wsp:val=&quot;004938C1&quot;/&gt;&lt;wsp:rsid wsp:val=&quot;004940B3&quot;/&gt;&lt;wsp:rsid wsp:val=&quot;00494E00&quot;/&gt;&lt;wsp:rsid wsp:val=&quot;00494FD1&quot;/&gt;&lt;wsp:rsid wsp:val=&quot;00495BF7&quot;/&gt;&lt;wsp:rsid wsp:val=&quot;00495E77&quot;/&gt;&lt;wsp:rsid wsp:val=&quot;00496D64&quot;/&gt;&lt;wsp:rsid wsp:val=&quot;00497358&quot;/&gt;&lt;wsp:rsid wsp:val=&quot;00497E3B&quot;/&gt;&lt;wsp:rsid wsp:val=&quot;004A0358&quot;/&gt;&lt;wsp:rsid wsp:val=&quot;004A043F&quot;/&gt;&lt;wsp:rsid wsp:val=&quot;004A0742&quot;/&gt;&lt;wsp:rsid wsp:val=&quot;004A1EFE&quot;/&gt;&lt;wsp:rsid wsp:val=&quot;004A3550&quot;/&gt;&lt;wsp:rsid wsp:val=&quot;004A3D64&quot;/&gt;&lt;wsp:rsid wsp:val=&quot;004A4479&quot;/&gt;&lt;wsp:rsid wsp:val=&quot;004A45C2&quot;/&gt;&lt;wsp:rsid wsp:val=&quot;004A49E8&quot;/&gt;&lt;wsp:rsid wsp:val=&quot;004A4BB4&quot;/&gt;&lt;wsp:rsid wsp:val=&quot;004A4DB0&quot;/&gt;&lt;wsp:rsid wsp:val=&quot;004A4E31&quot;/&gt;&lt;wsp:rsid wsp:val=&quot;004A5E9B&quot;/&gt;&lt;wsp:rsid wsp:val=&quot;004A6958&quot;/&gt;&lt;wsp:rsid wsp:val=&quot;004A7536&quot;/&gt;&lt;wsp:rsid wsp:val=&quot;004A7B02&quot;/&gt;&lt;wsp:rsid wsp:val=&quot;004A7F70&quot;/&gt;&lt;wsp:rsid wsp:val=&quot;004B00D5&quot;/&gt;&lt;wsp:rsid wsp:val=&quot;004B01D4&quot;/&gt;&lt;wsp:rsid wsp:val=&quot;004B0575&quot;/&gt;&lt;wsp:rsid wsp:val=&quot;004B0638&quot;/&gt;&lt;wsp:rsid wsp:val=&quot;004B0A9F&quot;/&gt;&lt;wsp:rsid wsp:val=&quot;004B145E&quot;/&gt;&lt;wsp:rsid wsp:val=&quot;004B1E5F&quot;/&gt;&lt;wsp:rsid wsp:val=&quot;004B246B&quot;/&gt;&lt;wsp:rsid wsp:val=&quot;004B2580&quot;/&gt;&lt;wsp:rsid wsp:val=&quot;004B2798&quot;/&gt;&lt;wsp:rsid wsp:val=&quot;004B2AE3&quot;/&gt;&lt;wsp:rsid wsp:val=&quot;004B2BD7&quot;/&gt;&lt;wsp:rsid wsp:val=&quot;004B2D2A&quot;/&gt;&lt;wsp:rsid wsp:val=&quot;004B37F0&quot;/&gt;&lt;wsp:rsid wsp:val=&quot;004B3C05&quot;/&gt;&lt;wsp:rsid wsp:val=&quot;004B41AE&quot;/&gt;&lt;wsp:rsid wsp:val=&quot;004B4DA5&quot;/&gt;&lt;wsp:rsid wsp:val=&quot;004B50DA&quot;/&gt;&lt;wsp:rsid wsp:val=&quot;004B5E2D&quot;/&gt;&lt;wsp:rsid wsp:val=&quot;004B7141&quot;/&gt;&lt;wsp:rsid wsp:val=&quot;004B71E5&quot;/&gt;&lt;wsp:rsid wsp:val=&quot;004B75A7&quot;/&gt;&lt;wsp:rsid wsp:val=&quot;004B7A6D&quot;/&gt;&lt;wsp:rsid wsp:val=&quot;004B7DC9&quot;/&gt;&lt;wsp:rsid wsp:val=&quot;004B7FBC&quot;/&gt;&lt;wsp:rsid wsp:val=&quot;004C0B30&quot;/&gt;&lt;wsp:rsid wsp:val=&quot;004C16A6&quot;/&gt;&lt;wsp:rsid wsp:val=&quot;004C2853&quot;/&gt;&lt;wsp:rsid wsp:val=&quot;004C2AC8&quot;/&gt;&lt;wsp:rsid wsp:val=&quot;004C2ECC&quot;/&gt;&lt;wsp:rsid wsp:val=&quot;004C30A8&quot;/&gt;&lt;wsp:rsid wsp:val=&quot;004C40CA&quot;/&gt;&lt;wsp:rsid wsp:val=&quot;004C41E3&quot;/&gt;&lt;wsp:rsid wsp:val=&quot;004C47C1&quot;/&gt;&lt;wsp:rsid wsp:val=&quot;004C61B1&quot;/&gt;&lt;wsp:rsid wsp:val=&quot;004C6856&quot;/&gt;&lt;wsp:rsid wsp:val=&quot;004C6D76&quot;/&gt;&lt;wsp:rsid wsp:val=&quot;004C70E0&quot;/&gt;&lt;wsp:rsid wsp:val=&quot;004C797A&quot;/&gt;&lt;wsp:rsid wsp:val=&quot;004D1202&quot;/&gt;&lt;wsp:rsid wsp:val=&quot;004D198A&quot;/&gt;&lt;wsp:rsid wsp:val=&quot;004D22F4&quot;/&gt;&lt;wsp:rsid wsp:val=&quot;004D4466&quot;/&gt;&lt;wsp:rsid wsp:val=&quot;004D5765&quot;/&gt;&lt;wsp:rsid wsp:val=&quot;004D588F&quot;/&gt;&lt;wsp:rsid wsp:val=&quot;004D6D21&quot;/&gt;&lt;wsp:rsid wsp:val=&quot;004D7C72&quot;/&gt;&lt;wsp:rsid wsp:val=&quot;004E016C&quot;/&gt;&lt;wsp:rsid wsp:val=&quot;004E0815&quot;/&gt;&lt;wsp:rsid wsp:val=&quot;004E180C&quot;/&gt;&lt;wsp:rsid wsp:val=&quot;004E318D&quot;/&gt;&lt;wsp:rsid wsp:val=&quot;004E3E7D&quot;/&gt;&lt;wsp:rsid wsp:val=&quot;004E517F&quot;/&gt;&lt;wsp:rsid wsp:val=&quot;004E5239&quot;/&gt;&lt;wsp:rsid wsp:val=&quot;004E5776&quot;/&gt;&lt;wsp:rsid wsp:val=&quot;004E5B2B&quot;/&gt;&lt;wsp:rsid wsp:val=&quot;004E5CDD&quot;/&gt;&lt;wsp:rsid wsp:val=&quot;004E5DC4&quot;/&gt;&lt;wsp:rsid wsp:val=&quot;004E5ED8&quot;/&gt;&lt;wsp:rsid wsp:val=&quot;004E5F51&quot;/&gt;&lt;wsp:rsid wsp:val=&quot;004E656B&quot;/&gt;&lt;wsp:rsid wsp:val=&quot;004E71EA&quot;/&gt;&lt;wsp:rsid wsp:val=&quot;004E76AD&quot;/&gt;&lt;wsp:rsid wsp:val=&quot;004E7D96&quot;/&gt;&lt;wsp:rsid wsp:val=&quot;004F17D2&quot;/&gt;&lt;wsp:rsid wsp:val=&quot;004F347D&quot;/&gt;&lt;wsp:rsid wsp:val=&quot;004F3A3F&quot;/&gt;&lt;wsp:rsid wsp:val=&quot;004F3C7A&quot;/&gt;&lt;wsp:rsid wsp:val=&quot;004F3F61&quot;/&gt;&lt;wsp:rsid wsp:val=&quot;004F4A00&quot;/&gt;&lt;wsp:rsid wsp:val=&quot;004F5097&quot;/&gt;&lt;wsp:rsid wsp:val=&quot;004F5596&quot;/&gt;&lt;wsp:rsid wsp:val=&quot;004F5B4C&quot;/&gt;&lt;wsp:rsid wsp:val=&quot;004F5D90&quot;/&gt;&lt;wsp:rsid wsp:val=&quot;004F61CB&quot;/&gt;&lt;wsp:rsid wsp:val=&quot;004F6684&quot;/&gt;&lt;wsp:rsid wsp:val=&quot;004F6C66&quot;/&gt;&lt;wsp:rsid wsp:val=&quot;004F7851&quot;/&gt;&lt;wsp:rsid wsp:val=&quot;004F7EC3&quot;/&gt;&lt;wsp:rsid wsp:val=&quot;005011DA&quot;/&gt;&lt;wsp:rsid wsp:val=&quot;00501275&quot;/&gt;&lt;wsp:rsid wsp:val=&quot;00501297&quot;/&gt;&lt;wsp:rsid wsp:val=&quot;005015A7&quot;/&gt;&lt;wsp:rsid wsp:val=&quot;005019AE&quot;/&gt;&lt;wsp:rsid wsp:val=&quot;0050246A&quot;/&gt;&lt;wsp:rsid wsp:val=&quot;00502BBE&quot;/&gt;&lt;wsp:rsid wsp:val=&quot;00503121&quot;/&gt;&lt;wsp:rsid wsp:val=&quot;005031C0&quot;/&gt;&lt;wsp:rsid wsp:val=&quot;005035FD&quot;/&gt;&lt;wsp:rsid wsp:val=&quot;00503760&quot;/&gt;&lt;wsp:rsid wsp:val=&quot;005048A8&quot;/&gt;&lt;wsp:rsid wsp:val=&quot;00505573&quot;/&gt;&lt;wsp:rsid wsp:val=&quot;005055D0&quot;/&gt;&lt;wsp:rsid wsp:val=&quot;00505C7A&quot;/&gt;&lt;wsp:rsid wsp:val=&quot;00510E62&quot;/&gt;&lt;wsp:rsid wsp:val=&quot;00511C7E&quot;/&gt;&lt;wsp:rsid wsp:val=&quot;005133A8&quot;/&gt;&lt;wsp:rsid wsp:val=&quot;00513932&quot;/&gt;&lt;wsp:rsid wsp:val=&quot;0051413A&quot;/&gt;&lt;wsp:rsid wsp:val=&quot;0051488A&quot;/&gt;&lt;wsp:rsid wsp:val=&quot;0051499A&quot;/&gt;&lt;wsp:rsid wsp:val=&quot;00514BD0&quot;/&gt;&lt;wsp:rsid wsp:val=&quot;00514EE4&quot;/&gt;&lt;wsp:rsid wsp:val=&quot;0051514F&quot;/&gt;&lt;wsp:rsid wsp:val=&quot;00515BE4&quot;/&gt;&lt;wsp:rsid wsp:val=&quot;0051636E&quot;/&gt;&lt;wsp:rsid wsp:val=&quot;00517581&quot;/&gt;&lt;wsp:rsid wsp:val=&quot;005178C7&quot;/&gt;&lt;wsp:rsid wsp:val=&quot;00517D74&quot;/&gt;&lt;wsp:rsid wsp:val=&quot;005209C6&quot;/&gt;&lt;wsp:rsid wsp:val=&quot;00520B3A&quot;/&gt;&lt;wsp:rsid wsp:val=&quot;005233B9&quot;/&gt;&lt;wsp:rsid wsp:val=&quot;0052361A&quot;/&gt;&lt;wsp:rsid wsp:val=&quot;00523824&quot;/&gt;&lt;wsp:rsid wsp:val=&quot;00523F16&quot;/&gt;&lt;wsp:rsid wsp:val=&quot;00524CD6&quot;/&gt;&lt;wsp:rsid wsp:val=&quot;00525930&quot;/&gt;&lt;wsp:rsid wsp:val=&quot;00525C2B&quot;/&gt;&lt;wsp:rsid wsp:val=&quot;00525CE5&quot;/&gt;&lt;wsp:rsid wsp:val=&quot;00525F91&quot;/&gt;&lt;wsp:rsid wsp:val=&quot;00527A9A&quot;/&gt;&lt;wsp:rsid wsp:val=&quot;0053143E&quot;/&gt;&lt;wsp:rsid wsp:val=&quot;00531DBA&quot;/&gt;&lt;wsp:rsid wsp:val=&quot;00532687&quot;/&gt;&lt;wsp:rsid wsp:val=&quot;005339C7&quot;/&gt;&lt;wsp:rsid wsp:val=&quot;005351DA&quot;/&gt;&lt;wsp:rsid wsp:val=&quot;00535DB3&quot;/&gt;&lt;wsp:rsid wsp:val=&quot;00537599&quot;/&gt;&lt;wsp:rsid wsp:val=&quot;0053793B&quot;/&gt;&lt;wsp:rsid wsp:val=&quot;00537988&quot;/&gt;&lt;wsp:rsid wsp:val=&quot;005408AF&quot;/&gt;&lt;wsp:rsid wsp:val=&quot;00540EBC&quot;/&gt;&lt;wsp:rsid wsp:val=&quot;00540F47&quot;/&gt;&lt;wsp:rsid wsp:val=&quot;005413FD&quot;/&gt;&lt;wsp:rsid wsp:val=&quot;00541408&quot;/&gt;&lt;wsp:rsid wsp:val=&quot;00542104&quot;/&gt;&lt;wsp:rsid wsp:val=&quot;005436CB&quot;/&gt;&lt;wsp:rsid wsp:val=&quot;00546EDC&quot;/&gt;&lt;wsp:rsid wsp:val=&quot;00547224&quot;/&gt;&lt;wsp:rsid wsp:val=&quot;005510C1&quot;/&gt;&lt;wsp:rsid wsp:val=&quot;00551849&quot;/&gt;&lt;wsp:rsid wsp:val=&quot;005523A7&quot;/&gt;&lt;wsp:rsid wsp:val=&quot;0055252D&quot;/&gt;&lt;wsp:rsid wsp:val=&quot;00552EF9&quot;/&gt;&lt;wsp:rsid wsp:val=&quot;005537D4&quot;/&gt;&lt;wsp:rsid wsp:val=&quot;005537ED&quot;/&gt;&lt;wsp:rsid wsp:val=&quot;00554F01&quot;/&gt;&lt;wsp:rsid wsp:val=&quot;00555A9A&quot;/&gt;&lt;wsp:rsid wsp:val=&quot;00555AD9&quot;/&gt;&lt;wsp:rsid wsp:val=&quot;00555E61&quot;/&gt;&lt;wsp:rsid wsp:val=&quot;0055631D&quot;/&gt;&lt;wsp:rsid wsp:val=&quot;00556F37&quot;/&gt;&lt;wsp:rsid wsp:val=&quot;00561665&quot;/&gt;&lt;wsp:rsid wsp:val=&quot;005634A5&quot;/&gt;&lt;wsp:rsid wsp:val=&quot;005635C1&quot;/&gt;&lt;wsp:rsid wsp:val=&quot;005646FF&quot;/&gt;&lt;wsp:rsid wsp:val=&quot;00565858&quot;/&gt;&lt;wsp:rsid wsp:val=&quot;00565C7E&quot;/&gt;&lt;wsp:rsid wsp:val=&quot;00565F1B&quot;/&gt;&lt;wsp:rsid wsp:val=&quot;00566B46&quot;/&gt;&lt;wsp:rsid wsp:val=&quot;0056787D&quot;/&gt;&lt;wsp:rsid wsp:val=&quot;00567E09&quot;/&gt;&lt;wsp:rsid wsp:val=&quot;00567F9E&quot;/&gt;&lt;wsp:rsid wsp:val=&quot;00570635&quot;/&gt;&lt;wsp:rsid wsp:val=&quot;005713C6&quot;/&gt;&lt;wsp:rsid wsp:val=&quot;005719B1&quot;/&gt;&lt;wsp:rsid wsp:val=&quot;005720F8&quot;/&gt;&lt;wsp:rsid wsp:val=&quot;00572422&quot;/&gt;&lt;wsp:rsid wsp:val=&quot;00573363&quot;/&gt;&lt;wsp:rsid wsp:val=&quot;005736CE&quot;/&gt;&lt;wsp:rsid wsp:val=&quot;005745B0&quot;/&gt;&lt;wsp:rsid wsp:val=&quot;00574C4E&quot;/&gt;&lt;wsp:rsid wsp:val=&quot;005752DB&quot;/&gt;&lt;wsp:rsid wsp:val=&quot;00577402&quot;/&gt;&lt;wsp:rsid wsp:val=&quot;00577DB9&quot;/&gt;&lt;wsp:rsid wsp:val=&quot;00581DE0&quot;/&gt;&lt;wsp:rsid wsp:val=&quot;00582626&quot;/&gt;&lt;wsp:rsid wsp:val=&quot;00582E5C&quot;/&gt;&lt;wsp:rsid wsp:val=&quot;0058305D&quot;/&gt;&lt;wsp:rsid wsp:val=&quot;005836E7&quot;/&gt;&lt;wsp:rsid wsp:val=&quot;0058436F&quot;/&gt;&lt;wsp:rsid wsp:val=&quot;00584A9B&quot;/&gt;&lt;wsp:rsid wsp:val=&quot;0058576F&quot;/&gt;&lt;wsp:rsid wsp:val=&quot;00585C24&quot;/&gt;&lt;wsp:rsid wsp:val=&quot;005861E2&quot;/&gt;&lt;wsp:rsid wsp:val=&quot;00586981&quot;/&gt;&lt;wsp:rsid wsp:val=&quot;00586A5A&quot;/&gt;&lt;wsp:rsid wsp:val=&quot;00586CC8&quot;/&gt;&lt;wsp:rsid wsp:val=&quot;00586E03&quot;/&gt;&lt;wsp:rsid wsp:val=&quot;00587653&quot;/&gt;&lt;wsp:rsid wsp:val=&quot;00587938&quot;/&gt;&lt;wsp:rsid wsp:val=&quot;00590532&quot;/&gt;&lt;wsp:rsid wsp:val=&quot;005908C7&quot;/&gt;&lt;wsp:rsid wsp:val=&quot;005909FC&quot;/&gt;&lt;wsp:rsid wsp:val=&quot;00590F9C&quot;/&gt;&lt;wsp:rsid wsp:val=&quot;00591C1F&quot;/&gt;&lt;wsp:rsid wsp:val=&quot;005924B8&quot;/&gt;&lt;wsp:rsid wsp:val=&quot;00592DB0&quot;/&gt;&lt;wsp:rsid wsp:val=&quot;005933DC&quot;/&gt;&lt;wsp:rsid wsp:val=&quot;00593633&quot;/&gt;&lt;wsp:rsid wsp:val=&quot;005940E2&quot;/&gt;&lt;wsp:rsid wsp:val=&quot;00594C1E&quot;/&gt;&lt;wsp:rsid wsp:val=&quot;00594D8A&quot;/&gt;&lt;wsp:rsid wsp:val=&quot;00594EAA&quot;/&gt;&lt;wsp:rsid wsp:val=&quot;0059714E&quot;/&gt;&lt;wsp:rsid wsp:val=&quot;00597773&quot;/&gt;&lt;wsp:rsid wsp:val=&quot;005A0CAB&quot;/&gt;&lt;wsp:rsid wsp:val=&quot;005A26AC&quot;/&gt;&lt;wsp:rsid wsp:val=&quot;005A274E&quot;/&gt;&lt;wsp:rsid wsp:val=&quot;005A2D8A&quot;/&gt;&lt;wsp:rsid wsp:val=&quot;005A31A4&quot;/&gt;&lt;wsp:rsid wsp:val=&quot;005A3788&quot;/&gt;&lt;wsp:rsid wsp:val=&quot;005A391A&quot;/&gt;&lt;wsp:rsid wsp:val=&quot;005A433F&quot;/&gt;&lt;wsp:rsid wsp:val=&quot;005A46E3&quot;/&gt;&lt;wsp:rsid wsp:val=&quot;005A4B2E&quot;/&gt;&lt;wsp:rsid wsp:val=&quot;005A4CA1&quot;/&gt;&lt;wsp:rsid wsp:val=&quot;005A5B91&quot;/&gt;&lt;wsp:rsid wsp:val=&quot;005A5BD9&quot;/&gt;&lt;wsp:rsid wsp:val=&quot;005A5BE1&quot;/&gt;&lt;wsp:rsid wsp:val=&quot;005A632B&quot;/&gt;&lt;wsp:rsid wsp:val=&quot;005A6856&quot;/&gt;&lt;wsp:rsid wsp:val=&quot;005A6E08&quot;/&gt;&lt;wsp:rsid wsp:val=&quot;005A72FD&quot;/&gt;&lt;wsp:rsid wsp:val=&quot;005A7339&quot;/&gt;&lt;wsp:rsid wsp:val=&quot;005A7C2F&quot;/&gt;&lt;wsp:rsid wsp:val=&quot;005B064B&quot;/&gt;&lt;wsp:rsid wsp:val=&quot;005B0CC7&quot;/&gt;&lt;wsp:rsid wsp:val=&quot;005B1EC5&quot;/&gt;&lt;wsp:rsid wsp:val=&quot;005B2344&quot;/&gt;&lt;wsp:rsid wsp:val=&quot;005B2B41&quot;/&gt;&lt;wsp:rsid wsp:val=&quot;005B2B85&quot;/&gt;&lt;wsp:rsid wsp:val=&quot;005B2BA3&quot;/&gt;&lt;wsp:rsid wsp:val=&quot;005B3999&quot;/&gt;&lt;wsp:rsid wsp:val=&quot;005B3E10&quot;/&gt;&lt;wsp:rsid wsp:val=&quot;005B4D2B&quot;/&gt;&lt;wsp:rsid wsp:val=&quot;005B5645&quot;/&gt;&lt;wsp:rsid wsp:val=&quot;005B5680&quot;/&gt;&lt;wsp:rsid wsp:val=&quot;005B5B0E&quot;/&gt;&lt;wsp:rsid wsp:val=&quot;005B5F9A&quot;/&gt;&lt;wsp:rsid wsp:val=&quot;005B6289&quot;/&gt;&lt;wsp:rsid wsp:val=&quot;005B62F9&quot;/&gt;&lt;wsp:rsid wsp:val=&quot;005B7E99&quot;/&gt;&lt;wsp:rsid wsp:val=&quot;005C0392&quot;/&gt;&lt;wsp:rsid wsp:val=&quot;005C0A59&quot;/&gt;&lt;wsp:rsid wsp:val=&quot;005C0D2A&quot;/&gt;&lt;wsp:rsid wsp:val=&quot;005C101D&quot;/&gt;&lt;wsp:rsid wsp:val=&quot;005C1836&quot;/&gt;&lt;wsp:rsid wsp:val=&quot;005C1C0F&quot;/&gt;&lt;wsp:rsid wsp:val=&quot;005C1EAC&quot;/&gt;&lt;wsp:rsid wsp:val=&quot;005C22DB&quot;/&gt;&lt;wsp:rsid wsp:val=&quot;005C230D&quot;/&gt;&lt;wsp:rsid wsp:val=&quot;005C2987&quot;/&gt;&lt;wsp:rsid wsp:val=&quot;005C3F19&quot;/&gt;&lt;wsp:rsid wsp:val=&quot;005C6530&quot;/&gt;&lt;wsp:rsid wsp:val=&quot;005C65CB&quot;/&gt;&lt;wsp:rsid wsp:val=&quot;005C6B63&quot;/&gt;&lt;wsp:rsid wsp:val=&quot;005C706C&quot;/&gt;&lt;wsp:rsid wsp:val=&quot;005C7183&quot;/&gt;&lt;wsp:rsid wsp:val=&quot;005C731B&quot;/&gt;&lt;wsp:rsid wsp:val=&quot;005C7603&quot;/&gt;&lt;wsp:rsid wsp:val=&quot;005C7C07&quot;/&gt;&lt;wsp:rsid wsp:val=&quot;005C7F12&quot;/&gt;&lt;wsp:rsid wsp:val=&quot;005D089B&quot;/&gt;&lt;wsp:rsid wsp:val=&quot;005D0C8D&quot;/&gt;&lt;wsp:rsid wsp:val=&quot;005D2496&quot;/&gt;&lt;wsp:rsid wsp:val=&quot;005D3693&quot;/&gt;&lt;wsp:rsid wsp:val=&quot;005D37AB&quot;/&gt;&lt;wsp:rsid wsp:val=&quot;005D3F40&quot;/&gt;&lt;wsp:rsid wsp:val=&quot;005D4009&quot;/&gt;&lt;wsp:rsid wsp:val=&quot;005D4388&quot;/&gt;&lt;wsp:rsid wsp:val=&quot;005D4E76&quot;/&gt;&lt;wsp:rsid wsp:val=&quot;005D58A9&quot;/&gt;&lt;wsp:rsid wsp:val=&quot;005D5ECF&quot;/&gt;&lt;wsp:rsid wsp:val=&quot;005D6A52&quot;/&gt;&lt;wsp:rsid wsp:val=&quot;005D7CFE&quot;/&gt;&lt;wsp:rsid wsp:val=&quot;005E02EA&quot;/&gt;&lt;wsp:rsid wsp:val=&quot;005E093D&quot;/&gt;&lt;wsp:rsid wsp:val=&quot;005E0CD4&quot;/&gt;&lt;wsp:rsid wsp:val=&quot;005E1291&quot;/&gt;&lt;wsp:rsid wsp:val=&quot;005E1BFE&quot;/&gt;&lt;wsp:rsid wsp:val=&quot;005E1CB1&quot;/&gt;&lt;wsp:rsid wsp:val=&quot;005E228E&quot;/&gt;&lt;wsp:rsid wsp:val=&quot;005E28DB&quot;/&gt;&lt;wsp:rsid wsp:val=&quot;005E365F&quot;/&gt;&lt;wsp:rsid wsp:val=&quot;005E3C31&quot;/&gt;&lt;wsp:rsid wsp:val=&quot;005E425C&quot;/&gt;&lt;wsp:rsid wsp:val=&quot;005E4DD2&quot;/&gt;&lt;wsp:rsid wsp:val=&quot;005E5961&quot;/&gt;&lt;wsp:rsid wsp:val=&quot;005E5C2C&quot;/&gt;&lt;wsp:rsid wsp:val=&quot;005E6F51&quot;/&gt;&lt;wsp:rsid wsp:val=&quot;005E7AD0&quot;/&gt;&lt;wsp:rsid wsp:val=&quot;005E7F24&quot;/&gt;&lt;wsp:rsid wsp:val=&quot;005F10B4&quot;/&gt;&lt;wsp:rsid wsp:val=&quot;005F1D75&quot;/&gt;&lt;wsp:rsid wsp:val=&quot;005F30B5&quot;/&gt;&lt;wsp:rsid wsp:val=&quot;005F4AD7&quot;/&gt;&lt;wsp:rsid wsp:val=&quot;005F6027&quot;/&gt;&lt;wsp:rsid wsp:val=&quot;005F7040&quot;/&gt;&lt;wsp:rsid wsp:val=&quot;0060042D&quot;/&gt;&lt;wsp:rsid wsp:val=&quot;0060104D&quot;/&gt;&lt;wsp:rsid wsp:val=&quot;006017D9&quot;/&gt;&lt;wsp:rsid wsp:val=&quot;00603630&quot;/&gt;&lt;wsp:rsid wsp:val=&quot;00603710&quot;/&gt;&lt;wsp:rsid wsp:val=&quot;00603D80&quot;/&gt;&lt;wsp:rsid wsp:val=&quot;00604990&quot;/&gt;&lt;wsp:rsid wsp:val=&quot;00604F21&quot;/&gt;&lt;wsp:rsid wsp:val=&quot;00605799&quot;/&gt;&lt;wsp:rsid wsp:val=&quot;00605FDC&quot;/&gt;&lt;wsp:rsid wsp:val=&quot;00606DFB&quot;/&gt;&lt;wsp:rsid wsp:val=&quot;00606F17&quot;/&gt;&lt;wsp:rsid wsp:val=&quot;00607806&quot;/&gt;&lt;wsp:rsid wsp:val=&quot;00607FC3&quot;/&gt;&lt;wsp:rsid wsp:val=&quot;00610A68&quot;/&gt;&lt;wsp:rsid wsp:val=&quot;00611957&quot;/&gt;&lt;wsp:rsid wsp:val=&quot;00611A07&quot;/&gt;&lt;wsp:rsid wsp:val=&quot;0061210C&quot;/&gt;&lt;wsp:rsid wsp:val=&quot;006124D5&quot;/&gt;&lt;wsp:rsid wsp:val=&quot;0061269D&quot;/&gt;&lt;wsp:rsid wsp:val=&quot;00612BE0&quot;/&gt;&lt;wsp:rsid wsp:val=&quot;0061384F&quot;/&gt;&lt;wsp:rsid wsp:val=&quot;006139B9&quot;/&gt;&lt;wsp:rsid wsp:val=&quot;00614D29&quot;/&gt;&lt;wsp:rsid wsp:val=&quot;00615F29&quot;/&gt;&lt;wsp:rsid wsp:val=&quot;00616045&quot;/&gt;&lt;wsp:rsid wsp:val=&quot;006161D0&quot;/&gt;&lt;wsp:rsid wsp:val=&quot;00616BDD&quot;/&gt;&lt;wsp:rsid wsp:val=&quot;006219FE&quot;/&gt;&lt;wsp:rsid wsp:val=&quot;00621A91&quot;/&gt;&lt;wsp:rsid wsp:val=&quot;00622B06&quot;/&gt;&lt;wsp:rsid wsp:val=&quot;00622FCC&quot;/&gt;&lt;wsp:rsid wsp:val=&quot;00623F0C&quot;/&gt;&lt;wsp:rsid wsp:val=&quot;0062448B&quot;/&gt;&lt;wsp:rsid wsp:val=&quot;006244EA&quot;/&gt;&lt;wsp:rsid wsp:val=&quot;0062462A&quot;/&gt;&lt;wsp:rsid wsp:val=&quot;00624ABD&quot;/&gt;&lt;wsp:rsid wsp:val=&quot;00624EA6&quot;/&gt;&lt;wsp:rsid wsp:val=&quot;006257DA&quot;/&gt;&lt;wsp:rsid wsp:val=&quot;00625984&quot;/&gt;&lt;wsp:rsid wsp:val=&quot;00627914&quot;/&gt;&lt;wsp:rsid wsp:val=&quot;006301D1&quot;/&gt;&lt;wsp:rsid wsp:val=&quot;00630B5A&quot;/&gt;&lt;wsp:rsid wsp:val=&quot;006311E5&quot;/&gt;&lt;wsp:rsid wsp:val=&quot;006316BB&quot;/&gt;&lt;wsp:rsid wsp:val=&quot;006324B4&quot;/&gt;&lt;wsp:rsid wsp:val=&quot;00632F32&quot;/&gt;&lt;wsp:rsid wsp:val=&quot;00633255&quot;/&gt;&lt;wsp:rsid wsp:val=&quot;00633402&quot;/&gt;&lt;wsp:rsid wsp:val=&quot;00633FAF&quot;/&gt;&lt;wsp:rsid wsp:val=&quot;0063469C&quot;/&gt;&lt;wsp:rsid wsp:val=&quot;00634F49&quot;/&gt;&lt;wsp:rsid wsp:val=&quot;00635A33&quot;/&gt;&lt;wsp:rsid wsp:val=&quot;00635FB5&quot;/&gt;&lt;wsp:rsid wsp:val=&quot;00636A02&quot;/&gt;&lt;wsp:rsid wsp:val=&quot;00636A17&quot;/&gt;&lt;wsp:rsid wsp:val=&quot;00636B6E&quot;/&gt;&lt;wsp:rsid wsp:val=&quot;0063739C&quot;/&gt;&lt;wsp:rsid wsp:val=&quot;00640AF7&quot;/&gt;&lt;wsp:rsid wsp:val=&quot;00640B7F&quot;/&gt;&lt;wsp:rsid wsp:val=&quot;00640C6A&quot;/&gt;&lt;wsp:rsid wsp:val=&quot;00641BBA&quot;/&gt;&lt;wsp:rsid wsp:val=&quot;00642346&quot;/&gt;&lt;wsp:rsid wsp:val=&quot;0064235C&quot;/&gt;&lt;wsp:rsid wsp:val=&quot;0064353A&quot;/&gt;&lt;wsp:rsid wsp:val=&quot;006438ED&quot;/&gt;&lt;wsp:rsid wsp:val=&quot;00643C32&quot;/&gt;&lt;wsp:rsid wsp:val=&quot;00644674&quot;/&gt;&lt;wsp:rsid wsp:val=&quot;006450B9&quot;/&gt;&lt;wsp:rsid wsp:val=&quot;00645F4F&quot;/&gt;&lt;wsp:rsid wsp:val=&quot;00647496&quot;/&gt;&lt;wsp:rsid wsp:val=&quot;00647CE8&quot;/&gt;&lt;wsp:rsid wsp:val=&quot;00650160&quot;/&gt;&lt;wsp:rsid wsp:val=&quot;006526B0&quot;/&gt;&lt;wsp:rsid wsp:val=&quot;006527BD&quot;/&gt;&lt;wsp:rsid wsp:val=&quot;0065289A&quot;/&gt;&lt;wsp:rsid wsp:val=&quot;006528CC&quot;/&gt;&lt;wsp:rsid wsp:val=&quot;00652C05&quot;/&gt;&lt;wsp:rsid wsp:val=&quot;0065300E&quot;/&gt;&lt;wsp:rsid wsp:val=&quot;006533F5&quot;/&gt;&lt;wsp:rsid wsp:val=&quot;006534C4&quot;/&gt;&lt;wsp:rsid wsp:val=&quot;00653A74&quot;/&gt;&lt;wsp:rsid wsp:val=&quot;00654511&quot;/&gt;&lt;wsp:rsid wsp:val=&quot;0065554C&quot;/&gt;&lt;wsp:rsid wsp:val=&quot;0065661D&quot;/&gt;&lt;wsp:rsid wsp:val=&quot;00656F4D&quot;/&gt;&lt;wsp:rsid wsp:val=&quot;00660110&quot;/&gt;&lt;wsp:rsid wsp:val=&quot;00660615&quot;/&gt;&lt;wsp:rsid wsp:val=&quot;00660623&quot;/&gt;&lt;wsp:rsid wsp:val=&quot;00660D59&quot;/&gt;&lt;wsp:rsid wsp:val=&quot;0066185F&quot;/&gt;&lt;wsp:rsid wsp:val=&quot;00662466&quot;/&gt;&lt;wsp:rsid wsp:val=&quot;00663BD1&quot;/&gt;&lt;wsp:rsid wsp:val=&quot;00664336&quot;/&gt;&lt;wsp:rsid wsp:val=&quot;006657C2&quot;/&gt;&lt;wsp:rsid wsp:val=&quot;00670E0C&quot;/&gt;&lt;wsp:rsid wsp:val=&quot;00671224&quot;/&gt;&lt;wsp:rsid wsp:val=&quot;0067125B&quot;/&gt;&lt;wsp:rsid wsp:val=&quot;006712B8&quot;/&gt;&lt;wsp:rsid wsp:val=&quot;00671B0D&quot;/&gt;&lt;wsp:rsid wsp:val=&quot;00671B8B&quot;/&gt;&lt;wsp:rsid wsp:val=&quot;00671D49&quot;/&gt;&lt;wsp:rsid wsp:val=&quot;00672120&quot;/&gt;&lt;wsp:rsid wsp:val=&quot;00672654&quot;/&gt;&lt;wsp:rsid wsp:val=&quot;00672C98&quot;/&gt;&lt;wsp:rsid wsp:val=&quot;0067335A&quot;/&gt;&lt;wsp:rsid wsp:val=&quot;00673447&quot;/&gt;&lt;wsp:rsid wsp:val=&quot;00673976&quot;/&gt;&lt;wsp:rsid wsp:val=&quot;00673EEB&quot;/&gt;&lt;wsp:rsid wsp:val=&quot;0067402E&quot;/&gt;&lt;wsp:rsid wsp:val=&quot;00675270&quot;/&gt;&lt;wsp:rsid wsp:val=&quot;006759FB&quot;/&gt;&lt;wsp:rsid wsp:val=&quot;00675C2F&quot;/&gt;&lt;wsp:rsid wsp:val=&quot;00675FA6&quot;/&gt;&lt;wsp:rsid wsp:val=&quot;00677BE0&quot;/&gt;&lt;wsp:rsid wsp:val=&quot;00677E60&quot;/&gt;&lt;wsp:rsid wsp:val=&quot;00681641&quot;/&gt;&lt;wsp:rsid wsp:val=&quot;00682AC1&quot;/&gt;&lt;wsp:rsid wsp:val=&quot;00682FD3&quot;/&gt;&lt;wsp:rsid wsp:val=&quot;00683F1E&quot;/&gt;&lt;wsp:rsid wsp:val=&quot;006852BD&quot;/&gt;&lt;wsp:rsid wsp:val=&quot;006855E4&quot;/&gt;&lt;wsp:rsid wsp:val=&quot;00685D3E&quot;/&gt;&lt;wsp:rsid wsp:val=&quot;00686435&quot;/&gt;&lt;wsp:rsid wsp:val=&quot;00686C5C&quot;/&gt;&lt;wsp:rsid wsp:val=&quot;00686D0C&quot;/&gt;&lt;wsp:rsid wsp:val=&quot;00686F47&quot;/&gt;&lt;wsp:rsid wsp:val=&quot;0068741F&quot;/&gt;&lt;wsp:rsid wsp:val=&quot;00687752&quot;/&gt;&lt;wsp:rsid wsp:val=&quot;00687947&quot;/&gt;&lt;wsp:rsid wsp:val=&quot;00687AD0&quot;/&gt;&lt;wsp:rsid wsp:val=&quot;00687C67&quot;/&gt;&lt;wsp:rsid wsp:val=&quot;00687F91&quot;/&gt;&lt;wsp:rsid wsp:val=&quot;006900DD&quot;/&gt;&lt;wsp:rsid wsp:val=&quot;006907D1&quot;/&gt;&lt;wsp:rsid wsp:val=&quot;00690D05&quot;/&gt;&lt;wsp:rsid wsp:val=&quot;00692A80&quot;/&gt;&lt;wsp:rsid wsp:val=&quot;00692DBF&quot;/&gt;&lt;wsp:rsid wsp:val=&quot;00693388&quot;/&gt;&lt;wsp:rsid wsp:val=&quot;006933BC&quot;/&gt;&lt;wsp:rsid wsp:val=&quot;006943BE&quot;/&gt;&lt;wsp:rsid wsp:val=&quot;006952BE&quot;/&gt;&lt;wsp:rsid wsp:val=&quot;00695B88&quot;/&gt;&lt;wsp:rsid wsp:val=&quot;00695CDB&quot;/&gt;&lt;wsp:rsid wsp:val=&quot;00696577&quot;/&gt;&lt;wsp:rsid wsp:val=&quot;0069692D&quot;/&gt;&lt;wsp:rsid wsp:val=&quot;006971B9&quot;/&gt;&lt;wsp:rsid wsp:val=&quot;006976A7&quot;/&gt;&lt;wsp:rsid wsp:val=&quot;00697A43&quot;/&gt;&lt;wsp:rsid wsp:val=&quot;006A03B6&quot;/&gt;&lt;wsp:rsid wsp:val=&quot;006A0948&quot;/&gt;&lt;wsp:rsid wsp:val=&quot;006A09AC&quot;/&gt;&lt;wsp:rsid wsp:val=&quot;006A15E1&quot;/&gt;&lt;wsp:rsid wsp:val=&quot;006A1C7F&quot;/&gt;&lt;wsp:rsid wsp:val=&quot;006A2FB8&quot;/&gt;&lt;wsp:rsid wsp:val=&quot;006A3EE4&quot;/&gt;&lt;wsp:rsid wsp:val=&quot;006A417B&quot;/&gt;&lt;wsp:rsid wsp:val=&quot;006A6044&quot;/&gt;&lt;wsp:rsid wsp:val=&quot;006A6B36&quot;/&gt;&lt;wsp:rsid wsp:val=&quot;006A76F8&quot;/&gt;&lt;wsp:rsid wsp:val=&quot;006A781D&quot;/&gt;&lt;wsp:rsid wsp:val=&quot;006B03B5&quot;/&gt;&lt;wsp:rsid wsp:val=&quot;006B0BF6&quot;/&gt;&lt;wsp:rsid wsp:val=&quot;006B11EB&quot;/&gt;&lt;wsp:rsid wsp:val=&quot;006B1489&quot;/&gt;&lt;wsp:rsid wsp:val=&quot;006B155F&quot;/&gt;&lt;wsp:rsid wsp:val=&quot;006B1D9D&quot;/&gt;&lt;wsp:rsid wsp:val=&quot;006B1F26&quot;/&gt;&lt;wsp:rsid wsp:val=&quot;006B221E&quot;/&gt;&lt;wsp:rsid wsp:val=&quot;006B24D6&quot;/&gt;&lt;wsp:rsid wsp:val=&quot;006B27F5&quot;/&gt;&lt;wsp:rsid wsp:val=&quot;006B2EF2&quot;/&gt;&lt;wsp:rsid wsp:val=&quot;006B39A6&quot;/&gt;&lt;wsp:rsid wsp:val=&quot;006B3C58&quot;/&gt;&lt;wsp:rsid wsp:val=&quot;006B4B50&quot;/&gt;&lt;wsp:rsid wsp:val=&quot;006B4C92&quot;/&gt;&lt;wsp:rsid wsp:val=&quot;006B4EEA&quot;/&gt;&lt;wsp:rsid wsp:val=&quot;006B538F&quot;/&gt;&lt;wsp:rsid wsp:val=&quot;006B5A5A&quot;/&gt;&lt;wsp:rsid wsp:val=&quot;006B5E82&quot;/&gt;&lt;wsp:rsid wsp:val=&quot;006B6481&quot;/&gt;&lt;wsp:rsid wsp:val=&quot;006B6D1B&quot;/&gt;&lt;wsp:rsid wsp:val=&quot;006B7AFC&quot;/&gt;&lt;wsp:rsid wsp:val=&quot;006B7FE3&quot;/&gt;&lt;wsp:rsid wsp:val=&quot;006C02FF&quot;/&gt;&lt;wsp:rsid wsp:val=&quot;006C1491&quot;/&gt;&lt;wsp:rsid wsp:val=&quot;006C1CF4&quot;/&gt;&lt;wsp:rsid wsp:val=&quot;006C22CF&quot;/&gt;&lt;wsp:rsid wsp:val=&quot;006C283D&quot;/&gt;&lt;wsp:rsid wsp:val=&quot;006C284A&quot;/&gt;&lt;wsp:rsid wsp:val=&quot;006C31AD&quot;/&gt;&lt;wsp:rsid wsp:val=&quot;006C5233&quot;/&gt;&lt;wsp:rsid wsp:val=&quot;006C53E8&quot;/&gt;&lt;wsp:rsid wsp:val=&quot;006C55E6&quot;/&gt;&lt;wsp:rsid wsp:val=&quot;006C5E29&quot;/&gt;&lt;wsp:rsid wsp:val=&quot;006C682C&quot;/&gt;&lt;wsp:rsid wsp:val=&quot;006C75C0&quot;/&gt;&lt;wsp:rsid wsp:val=&quot;006D0213&quot;/&gt;&lt;wsp:rsid wsp:val=&quot;006D1F57&quot;/&gt;&lt;wsp:rsid wsp:val=&quot;006D2786&quot;/&gt;&lt;wsp:rsid wsp:val=&quot;006D2B47&quot;/&gt;&lt;wsp:rsid wsp:val=&quot;006D2F05&quot;/&gt;&lt;wsp:rsid wsp:val=&quot;006D3B3A&quot;/&gt;&lt;wsp:rsid wsp:val=&quot;006D3BED&quot;/&gt;&lt;wsp:rsid wsp:val=&quot;006D40F7&quot;/&gt;&lt;wsp:rsid wsp:val=&quot;006D4C4F&quot;/&gt;&lt;wsp:rsid wsp:val=&quot;006D7767&quot;/&gt;&lt;wsp:rsid wsp:val=&quot;006E0330&quot;/&gt;&lt;wsp:rsid wsp:val=&quot;006E0C6D&quot;/&gt;&lt;wsp:rsid wsp:val=&quot;006E101E&quot;/&gt;&lt;wsp:rsid wsp:val=&quot;006E1DD5&quot;/&gt;&lt;wsp:rsid wsp:val=&quot;006E30FF&quot;/&gt;&lt;wsp:rsid wsp:val=&quot;006E38C3&quot;/&gt;&lt;wsp:rsid wsp:val=&quot;006E3A0C&quot;/&gt;&lt;wsp:rsid wsp:val=&quot;006E6B4D&quot;/&gt;&lt;wsp:rsid wsp:val=&quot;006E6CA3&quot;/&gt;&lt;wsp:rsid wsp:val=&quot;006E7961&quot;/&gt;&lt;wsp:rsid wsp:val=&quot;006F0B2E&quot;/&gt;&lt;wsp:rsid wsp:val=&quot;006F0CBE&quot;/&gt;&lt;wsp:rsid wsp:val=&quot;006F21CD&quot;/&gt;&lt;wsp:rsid wsp:val=&quot;006F3104&quot;/&gt;&lt;wsp:rsid wsp:val=&quot;006F397C&quot;/&gt;&lt;wsp:rsid wsp:val=&quot;006F479B&quot;/&gt;&lt;wsp:rsid wsp:val=&quot;006F50B4&quot;/&gt;&lt;wsp:rsid wsp:val=&quot;006F56AA&quot;/&gt;&lt;wsp:rsid wsp:val=&quot;006F58CC&quot;/&gt;&lt;wsp:rsid wsp:val=&quot;006F58D2&quot;/&gt;&lt;wsp:rsid wsp:val=&quot;006F6346&quot;/&gt;&lt;wsp:rsid wsp:val=&quot;006F726D&quot;/&gt;&lt;wsp:rsid wsp:val=&quot;006F73D8&quot;/&gt;&lt;wsp:rsid wsp:val=&quot;007006A9&quot;/&gt;&lt;wsp:rsid wsp:val=&quot;00700861&quot;/&gt;&lt;wsp:rsid wsp:val=&quot;00700D70&quot;/&gt;&lt;wsp:rsid wsp:val=&quot;00701553&quot;/&gt;&lt;wsp:rsid wsp:val=&quot;00701A03&quot;/&gt;&lt;wsp:rsid wsp:val=&quot;00701A52&quot;/&gt;&lt;wsp:rsid wsp:val=&quot;00702AB7&quot;/&gt;&lt;wsp:rsid wsp:val=&quot;00703047&quot;/&gt;&lt;wsp:rsid wsp:val=&quot;00703290&quot;/&gt;&lt;wsp:rsid wsp:val=&quot;007041A4&quot;/&gt;&lt;wsp:rsid wsp:val=&quot;00704B3E&quot;/&gt;&lt;wsp:rsid wsp:val=&quot;00704C3F&quot;/&gt;&lt;wsp:rsid wsp:val=&quot;00704D08&quot;/&gt;&lt;wsp:rsid wsp:val=&quot;0070502E&quot;/&gt;&lt;wsp:rsid wsp:val=&quot;00706355&quot;/&gt;&lt;wsp:rsid wsp:val=&quot;007109D2&quot;/&gt;&lt;wsp:rsid wsp:val=&quot;00711C50&quot;/&gt;&lt;wsp:rsid wsp:val=&quot;00711F4F&quot;/&gt;&lt;wsp:rsid wsp:val=&quot;007127D7&quot;/&gt;&lt;wsp:rsid wsp:val=&quot;00712E2D&quot;/&gt;&lt;wsp:rsid wsp:val=&quot;00712FF8&quot;/&gt;&lt;wsp:rsid wsp:val=&quot;00713731&quot;/&gt;&lt;wsp:rsid wsp:val=&quot;00713A56&quot;/&gt;&lt;wsp:rsid wsp:val=&quot;00715276&quot;/&gt;&lt;wsp:rsid wsp:val=&quot;007156FC&quot;/&gt;&lt;wsp:rsid wsp:val=&quot;00715D49&quot;/&gt;&lt;wsp:rsid wsp:val=&quot;007166AA&quot;/&gt;&lt;wsp:rsid wsp:val=&quot;007172CC&quot;/&gt;&lt;wsp:rsid wsp:val=&quot;0072039F&quot;/&gt;&lt;wsp:rsid wsp:val=&quot;007209D0&quot;/&gt;&lt;wsp:rsid wsp:val=&quot;00720AFC&quot;/&gt;&lt;wsp:rsid wsp:val=&quot;00721332&quot;/&gt;&lt;wsp:rsid wsp:val=&quot;00722100&quot;/&gt;&lt;wsp:rsid wsp:val=&quot;007225E8&quot;/&gt;&lt;wsp:rsid wsp:val=&quot;00722E2C&quot;/&gt;&lt;wsp:rsid wsp:val=&quot;00722E61&quot;/&gt;&lt;wsp:rsid wsp:val=&quot;00723C8C&quot;/&gt;&lt;wsp:rsid wsp:val=&quot;00723E43&quot;/&gt;&lt;wsp:rsid wsp:val=&quot;00724654&quot;/&gt;&lt;wsp:rsid wsp:val=&quot;00725770&quot;/&gt;&lt;wsp:rsid wsp:val=&quot;007260AF&quot;/&gt;&lt;wsp:rsid wsp:val=&quot;007273F4&quot;/&gt;&lt;wsp:rsid wsp:val=&quot;007275D4&quot;/&gt;&lt;wsp:rsid wsp:val=&quot;00730168&quot;/&gt;&lt;wsp:rsid wsp:val=&quot;00730A31&quot;/&gt;&lt;wsp:rsid wsp:val=&quot;00731999&quot;/&gt;&lt;wsp:rsid wsp:val=&quot;00731E4F&quot;/&gt;&lt;wsp:rsid wsp:val=&quot;00733A08&quot;/&gt;&lt;wsp:rsid wsp:val=&quot;00733C89&quot;/&gt;&lt;wsp:rsid wsp:val=&quot;007367A6&quot;/&gt;&lt;wsp:rsid wsp:val=&quot;00736D4A&quot;/&gt;&lt;wsp:rsid wsp:val=&quot;0073771B&quot;/&gt;&lt;wsp:rsid wsp:val=&quot;00737FF3&quot;/&gt;&lt;wsp:rsid wsp:val=&quot;00740091&quot;/&gt;&lt;wsp:rsid wsp:val=&quot;0074065A&quot;/&gt;&lt;wsp:rsid wsp:val=&quot;0074082B&quot;/&gt;&lt;wsp:rsid wsp:val=&quot;0074091A&quot;/&gt;&lt;wsp:rsid wsp:val=&quot;00740DFC&quot;/&gt;&lt;wsp:rsid wsp:val=&quot;00741621&quot;/&gt;&lt;wsp:rsid wsp:val=&quot;0074167C&quot;/&gt;&lt;wsp:rsid wsp:val=&quot;00741BC6&quot;/&gt;&lt;wsp:rsid wsp:val=&quot;00742D3A&quot;/&gt;&lt;wsp:rsid wsp:val=&quot;007435A2&quot;/&gt;&lt;wsp:rsid wsp:val=&quot;007439AD&quot;/&gt;&lt;wsp:rsid wsp:val=&quot;0074590C&quot;/&gt;&lt;wsp:rsid wsp:val=&quot;00745BD2&quot;/&gt;&lt;wsp:rsid wsp:val=&quot;0074670C&quot;/&gt;&lt;wsp:rsid wsp:val=&quot;00746EA6&quot;/&gt;&lt;wsp:rsid wsp:val=&quot;00747622&quot;/&gt;&lt;wsp:rsid wsp:val=&quot;007501A3&quot;/&gt;&lt;wsp:rsid wsp:val=&quot;00750899&quot;/&gt;&lt;wsp:rsid wsp:val=&quot;00751D56&quot;/&gt;&lt;wsp:rsid wsp:val=&quot;00752330&quot;/&gt;&lt;wsp:rsid wsp:val=&quot;007527D9&quot;/&gt;&lt;wsp:rsid wsp:val=&quot;007534CE&quot;/&gt;&lt;wsp:rsid wsp:val=&quot;007534F1&quot;/&gt;&lt;wsp:rsid wsp:val=&quot;00753618&quot;/&gt;&lt;wsp:rsid wsp:val=&quot;00754126&quot;/&gt;&lt;wsp:rsid wsp:val=&quot;00754B37&quot;/&gt;&lt;wsp:rsid wsp:val=&quot;007550C3&quot;/&gt;&lt;wsp:rsid wsp:val=&quot;0075520F&quot;/&gt;&lt;wsp:rsid wsp:val=&quot;00755647&quot;/&gt;&lt;wsp:rsid wsp:val=&quot;00755679&quot;/&gt;&lt;wsp:rsid wsp:val=&quot;00756284&quot;/&gt;&lt;wsp:rsid wsp:val=&quot;007563E9&quot;/&gt;&lt;wsp:rsid wsp:val=&quot;007567DA&quot;/&gt;&lt;wsp:rsid wsp:val=&quot;00756C30&quot;/&gt;&lt;wsp:rsid wsp:val=&quot;00757FBC&quot;/&gt;&lt;wsp:rsid wsp:val=&quot;00760894&quot;/&gt;&lt;wsp:rsid wsp:val=&quot;00760AC6&quot;/&gt;&lt;wsp:rsid wsp:val=&quot;007610A5&quot;/&gt;&lt;wsp:rsid wsp:val=&quot;00761309&quot;/&gt;&lt;wsp:rsid wsp:val=&quot;00761662&quot;/&gt;&lt;wsp:rsid wsp:val=&quot;00761811&quot;/&gt;&lt;wsp:rsid wsp:val=&quot;00761BC5&quot;/&gt;&lt;wsp:rsid wsp:val=&quot;00761F74&quot;/&gt;&lt;wsp:rsid wsp:val=&quot;00761F9C&quot;/&gt;&lt;wsp:rsid wsp:val=&quot;007623A4&quot;/&gt;&lt;wsp:rsid wsp:val=&quot;00762825&quot;/&gt;&lt;wsp:rsid wsp:val=&quot;00762D77&quot;/&gt;&lt;wsp:rsid wsp:val=&quot;00762F67&quot;/&gt;&lt;wsp:rsid wsp:val=&quot;00763177&quot;/&gt;&lt;wsp:rsid wsp:val=&quot;00763E5D&quot;/&gt;&lt;wsp:rsid wsp:val=&quot;0076431B&quot;/&gt;&lt;wsp:rsid wsp:val=&quot;007651B6&quot;/&gt;&lt;wsp:rsid wsp:val=&quot;007654E1&quot;/&gt;&lt;wsp:rsid wsp:val=&quot;00766455&quot;/&gt;&lt;wsp:rsid wsp:val=&quot;00767940&quot;/&gt;&lt;wsp:rsid wsp:val=&quot;00767E91&quot;/&gt;&lt;wsp:rsid wsp:val=&quot;00767EC5&quot;/&gt;&lt;wsp:rsid wsp:val=&quot;00770B8D&quot;/&gt;&lt;wsp:rsid wsp:val=&quot;00771152&quot;/&gt;&lt;wsp:rsid wsp:val=&quot;00771DB3&quot;/&gt;&lt;wsp:rsid wsp:val=&quot;007726C6&quot;/&gt;&lt;wsp:rsid wsp:val=&quot;00772975&quot;/&gt;&lt;wsp:rsid wsp:val=&quot;0077299A&quot;/&gt;&lt;wsp:rsid wsp:val=&quot;00772B6E&quot;/&gt;&lt;wsp:rsid wsp:val=&quot;00773000&quot;/&gt;&lt;wsp:rsid wsp:val=&quot;00774D5C&quot;/&gt;&lt;wsp:rsid wsp:val=&quot;00776066&quot;/&gt;&lt;wsp:rsid wsp:val=&quot;00776366&quot;/&gt;&lt;wsp:rsid wsp:val=&quot;007768E4&quot;/&gt;&lt;wsp:rsid wsp:val=&quot;00776B89&quot;/&gt;&lt;wsp:rsid wsp:val=&quot;0077716A&quot;/&gt;&lt;wsp:rsid wsp:val=&quot;007777E4&quot;/&gt;&lt;wsp:rsid wsp:val=&quot;007805B8&quot;/&gt;&lt;wsp:rsid wsp:val=&quot;00782080&quot;/&gt;&lt;wsp:rsid wsp:val=&quot;00782341&quot;/&gt;&lt;wsp:rsid wsp:val=&quot;00782948&quot;/&gt;&lt;wsp:rsid wsp:val=&quot;007833E3&quot;/&gt;&lt;wsp:rsid wsp:val=&quot;007834D0&quot;/&gt;&lt;wsp:rsid wsp:val=&quot;00783E81&quot;/&gt;&lt;wsp:rsid wsp:val=&quot;0078436D&quot;/&gt;&lt;wsp:rsid wsp:val=&quot;00784A89&quot;/&gt;&lt;wsp:rsid wsp:val=&quot;00784B16&quot;/&gt;&lt;wsp:rsid wsp:val=&quot;00786762&quot;/&gt;&lt;wsp:rsid wsp:val=&quot;00787558&quot;/&gt;&lt;wsp:rsid wsp:val=&quot;007907F0&quot;/&gt;&lt;wsp:rsid wsp:val=&quot;00791616&quot;/&gt;&lt;wsp:rsid wsp:val=&quot;00792636&quot;/&gt;&lt;wsp:rsid wsp:val=&quot;007928FF&quot;/&gt;&lt;wsp:rsid wsp:val=&quot;00792A32&quot;/&gt;&lt;wsp:rsid wsp:val=&quot;00793D20&quot;/&gt;&lt;wsp:rsid wsp:val=&quot;00794C56&quot;/&gt;&lt;wsp:rsid wsp:val=&quot;00795A01&quot;/&gt;&lt;wsp:rsid wsp:val=&quot;00795A88&quot;/&gt;&lt;wsp:rsid wsp:val=&quot;007960FD&quot;/&gt;&lt;wsp:rsid wsp:val=&quot;00796A1B&quot;/&gt;&lt;wsp:rsid wsp:val=&quot;00797271&quot;/&gt;&lt;wsp:rsid wsp:val=&quot;00797DF7&quot;/&gt;&lt;wsp:rsid wsp:val=&quot;007A0720&quot;/&gt;&lt;wsp:rsid wsp:val=&quot;007A19F1&quot;/&gt;&lt;wsp:rsid wsp:val=&quot;007A1D17&quot;/&gt;&lt;wsp:rsid wsp:val=&quot;007A30AB&quot;/&gt;&lt;wsp:rsid wsp:val=&quot;007A33C6&quot;/&gt;&lt;wsp:rsid wsp:val=&quot;007A3697&quot;/&gt;&lt;wsp:rsid wsp:val=&quot;007A445D&quot;/&gt;&lt;wsp:rsid wsp:val=&quot;007A5694&quot;/&gt;&lt;wsp:rsid wsp:val=&quot;007A67F7&quot;/&gt;&lt;wsp:rsid wsp:val=&quot;007A6D0F&quot;/&gt;&lt;wsp:rsid wsp:val=&quot;007A7B6E&quot;/&gt;&lt;wsp:rsid wsp:val=&quot;007A7FA6&quot;/&gt;&lt;wsp:rsid wsp:val=&quot;007B00BA&quot;/&gt;&lt;wsp:rsid wsp:val=&quot;007B05DD&quot;/&gt;&lt;wsp:rsid wsp:val=&quot;007B0B73&quot;/&gt;&lt;wsp:rsid wsp:val=&quot;007B19BA&quot;/&gt;&lt;wsp:rsid wsp:val=&quot;007B1F6A&quot;/&gt;&lt;wsp:rsid wsp:val=&quot;007B2097&quot;/&gt;&lt;wsp:rsid wsp:val=&quot;007B299B&quot;/&gt;&lt;wsp:rsid wsp:val=&quot;007B3F88&quot;/&gt;&lt;wsp:rsid wsp:val=&quot;007B3FD9&quot;/&gt;&lt;wsp:rsid wsp:val=&quot;007B609A&quot;/&gt;&lt;wsp:rsid wsp:val=&quot;007B6AD4&quot;/&gt;&lt;wsp:rsid wsp:val=&quot;007B6B1A&quot;/&gt;&lt;wsp:rsid wsp:val=&quot;007B7944&quot;/&gt;&lt;wsp:rsid wsp:val=&quot;007C1724&quot;/&gt;&lt;wsp:rsid wsp:val=&quot;007C1DA9&quot;/&gt;&lt;wsp:rsid wsp:val=&quot;007C2867&quot;/&gt;&lt;wsp:rsid wsp:val=&quot;007C3E1B&quot;/&gt;&lt;wsp:rsid wsp:val=&quot;007C41AC&quot;/&gt;&lt;wsp:rsid wsp:val=&quot;007C5DBF&quot;/&gt;&lt;wsp:rsid wsp:val=&quot;007C5DFF&quot;/&gt;&lt;wsp:rsid wsp:val=&quot;007C5EC2&quot;/&gt;&lt;wsp:rsid wsp:val=&quot;007C649B&quot;/&gt;&lt;wsp:rsid wsp:val=&quot;007C712D&quot;/&gt;&lt;wsp:rsid wsp:val=&quot;007C71FA&quot;/&gt;&lt;wsp:rsid wsp:val=&quot;007C78A2&quot;/&gt;&lt;wsp:rsid wsp:val=&quot;007D014B&quot;/&gt;&lt;wsp:rsid wsp:val=&quot;007D1233&quot;/&gt;&lt;wsp:rsid wsp:val=&quot;007D21D3&quot;/&gt;&lt;wsp:rsid wsp:val=&quot;007D24C4&quot;/&gt;&lt;wsp:rsid wsp:val=&quot;007D25E5&quot;/&gt;&lt;wsp:rsid wsp:val=&quot;007D58F0&quot;/&gt;&lt;wsp:rsid wsp:val=&quot;007D65FD&quot;/&gt;&lt;wsp:rsid wsp:val=&quot;007D6F52&quot;/&gt;&lt;wsp:rsid wsp:val=&quot;007D7841&quot;/&gt;&lt;wsp:rsid wsp:val=&quot;007E00A4&quot;/&gt;&lt;wsp:rsid wsp:val=&quot;007E0578&quot;/&gt;&lt;wsp:rsid wsp:val=&quot;007E0A0D&quot;/&gt;&lt;wsp:rsid wsp:val=&quot;007E0DB4&quot;/&gt;&lt;wsp:rsid wsp:val=&quot;007E132B&quot;/&gt;&lt;wsp:rsid wsp:val=&quot;007E289D&quot;/&gt;&lt;wsp:rsid wsp:val=&quot;007E29B8&quot;/&gt;&lt;wsp:rsid wsp:val=&quot;007E325F&quot;/&gt;&lt;wsp:rsid wsp:val=&quot;007E3965&quot;/&gt;&lt;wsp:rsid wsp:val=&quot;007E76E4&quot;/&gt;&lt;wsp:rsid wsp:val=&quot;007E7928&quot;/&gt;&lt;wsp:rsid wsp:val=&quot;007E7B60&quot;/&gt;&lt;wsp:rsid wsp:val=&quot;007F08CD&quot;/&gt;&lt;wsp:rsid wsp:val=&quot;007F0BD0&quot;/&gt;&lt;wsp:rsid wsp:val=&quot;007F148A&quot;/&gt;&lt;wsp:rsid wsp:val=&quot;007F16E4&quot;/&gt;&lt;wsp:rsid wsp:val=&quot;007F1EF5&quot;/&gt;&lt;wsp:rsid wsp:val=&quot;007F2164&quot;/&gt;&lt;wsp:rsid wsp:val=&quot;007F2663&quot;/&gt;&lt;wsp:rsid wsp:val=&quot;007F28FE&quot;/&gt;&lt;wsp:rsid wsp:val=&quot;007F32E1&quot;/&gt;&lt;wsp:rsid wsp:val=&quot;007F3AF2&quot;/&gt;&lt;wsp:rsid wsp:val=&quot;007F4751&quot;/&gt;&lt;wsp:rsid wsp:val=&quot;007F4DEB&quot;/&gt;&lt;wsp:rsid wsp:val=&quot;007F5273&quot;/&gt;&lt;wsp:rsid wsp:val=&quot;007F5861&quot;/&gt;&lt;wsp:rsid wsp:val=&quot;007F5A6C&quot;/&gt;&lt;wsp:rsid wsp:val=&quot;007F5F9A&quot;/&gt;&lt;wsp:rsid wsp:val=&quot;007F6085&quot;/&gt;&lt;wsp:rsid wsp:val=&quot;007F6A11&quot;/&gt;&lt;wsp:rsid wsp:val=&quot;007F6BF9&quot;/&gt;&lt;wsp:rsid wsp:val=&quot;007F6DA9&quot;/&gt;&lt;wsp:rsid wsp:val=&quot;007F7723&quot;/&gt;&lt;wsp:rsid wsp:val=&quot;007F7AC6&quot;/&gt;&lt;wsp:rsid wsp:val=&quot;008008F4&quot;/&gt;&lt;wsp:rsid wsp:val=&quot;008012A1&quot;/&gt;&lt;wsp:rsid wsp:val=&quot;008015E7&quot;/&gt;&lt;wsp:rsid wsp:val=&quot;008016E8&quot;/&gt;&lt;wsp:rsid wsp:val=&quot;00801FCE&quot;/&gt;&lt;wsp:rsid wsp:val=&quot;00802A27&quot;/&gt;&lt;wsp:rsid wsp:val=&quot;0080314F&quot;/&gt;&lt;wsp:rsid wsp:val=&quot;00803A8E&quot;/&gt;&lt;wsp:rsid wsp:val=&quot;00804F50&quot;/&gt;&lt;wsp:rsid wsp:val=&quot;0080530D&quot;/&gt;&lt;wsp:rsid wsp:val=&quot;008069FC&quot;/&gt;&lt;wsp:rsid wsp:val=&quot;00806FDE&quot;/&gt;&lt;wsp:rsid wsp:val=&quot;00807355&quot;/&gt;&lt;wsp:rsid wsp:val=&quot;00807A07&quot;/&gt;&lt;wsp:rsid wsp:val=&quot;00807A49&quot;/&gt;&lt;wsp:rsid wsp:val=&quot;00807CDB&quot;/&gt;&lt;wsp:rsid wsp:val=&quot;00807FD6&quot;/&gt;&lt;wsp:rsid wsp:val=&quot;00807FFD&quot;/&gt;&lt;wsp:rsid wsp:val=&quot;00811268&quot;/&gt;&lt;wsp:rsid wsp:val=&quot;00811480&quot;/&gt;&lt;wsp:rsid wsp:val=&quot;00812AF5&quot;/&gt;&lt;wsp:rsid wsp:val=&quot;00813964&quot;/&gt;&lt;wsp:rsid wsp:val=&quot;00813F7D&quot;/&gt;&lt;wsp:rsid wsp:val=&quot;00815302&quot;/&gt;&lt;wsp:rsid wsp:val=&quot;00815488&quot;/&gt;&lt;wsp:rsid wsp:val=&quot;00816D31&quot;/&gt;&lt;wsp:rsid wsp:val=&quot;00817A8B&quot;/&gt;&lt;wsp:rsid wsp:val=&quot;00817AA7&quot;/&gt;&lt;wsp:rsid wsp:val=&quot;00817C86&quot;/&gt;&lt;wsp:rsid wsp:val=&quot;00817ED0&quot;/&gt;&lt;wsp:rsid wsp:val=&quot;0082129B&quot;/&gt;&lt;wsp:rsid wsp:val=&quot;008212BD&quot;/&gt;&lt;wsp:rsid wsp:val=&quot;008217E2&quot;/&gt;&lt;wsp:rsid wsp:val=&quot;00821854&quot;/&gt;&lt;wsp:rsid wsp:val=&quot;0082189C&quot;/&gt;&lt;wsp:rsid wsp:val=&quot;00821DC8&quot;/&gt;&lt;wsp:rsid wsp:val=&quot;008220FE&quot;/&gt;&lt;wsp:rsid wsp:val=&quot;00822608&quot;/&gt;&lt;wsp:rsid wsp:val=&quot;00822FF9&quot;/&gt;&lt;wsp:rsid wsp:val=&quot;00824106&quot;/&gt;&lt;wsp:rsid wsp:val=&quot;0082484F&quot;/&gt;&lt;wsp:rsid wsp:val=&quot;00824D26&quot;/&gt;&lt;wsp:rsid wsp:val=&quot;00824D91&quot;/&gt;&lt;wsp:rsid wsp:val=&quot;00826B7C&quot;/&gt;&lt;wsp:rsid wsp:val=&quot;00826C90&quot;/&gt;&lt;wsp:rsid wsp:val=&quot;00827213&quot;/&gt;&lt;wsp:rsid wsp:val=&quot;008274C0&quot;/&gt;&lt;wsp:rsid wsp:val=&quot;008276E3&quot;/&gt;&lt;wsp:rsid wsp:val=&quot;008311B7&quot;/&gt;&lt;wsp:rsid wsp:val=&quot;00831AD3&quot;/&gt;&lt;wsp:rsid wsp:val=&quot;00831D8D&quot;/&gt;&lt;wsp:rsid wsp:val=&quot;008324BA&quot;/&gt;&lt;wsp:rsid wsp:val=&quot;0083253B&quot;/&gt;&lt;wsp:rsid wsp:val=&quot;008325BB&quot;/&gt;&lt;wsp:rsid wsp:val=&quot;008327A0&quot;/&gt;&lt;wsp:rsid wsp:val=&quot;008327E5&quot;/&gt;&lt;wsp:rsid wsp:val=&quot;00832884&quot;/&gt;&lt;wsp:rsid wsp:val=&quot;00833523&quot;/&gt;&lt;wsp:rsid wsp:val=&quot;00833A18&quot;/&gt;&lt;wsp:rsid wsp:val=&quot;00833E04&quot;/&gt;&lt;wsp:rsid wsp:val=&quot;00834273&quot;/&gt;&lt;wsp:rsid wsp:val=&quot;00834D02&quot;/&gt;&lt;wsp:rsid wsp:val=&quot;00834FA6&quot;/&gt;&lt;wsp:rsid wsp:val=&quot;00835118&quot;/&gt;&lt;wsp:rsid wsp:val=&quot;008359BD&quot;/&gt;&lt;wsp:rsid wsp:val=&quot;00836A33&quot;/&gt;&lt;wsp:rsid wsp:val=&quot;008371B9&quot;/&gt;&lt;wsp:rsid wsp:val=&quot;00840BC0&quot;/&gt;&lt;wsp:rsid wsp:val=&quot;00840F67&quot;/&gt;&lt;wsp:rsid wsp:val=&quot;00841D97&quot;/&gt;&lt;wsp:rsid wsp:val=&quot;008421C9&quot;/&gt;&lt;wsp:rsid wsp:val=&quot;00842B89&quot;/&gt;&lt;wsp:rsid wsp:val=&quot;008433AD&quot;/&gt;&lt;wsp:rsid wsp:val=&quot;00843B94&quot;/&gt;&lt;wsp:rsid wsp:val=&quot;00844099&quot;/&gt;&lt;wsp:rsid wsp:val=&quot;00844A62&quot;/&gt;&lt;wsp:rsid wsp:val=&quot;00844CC3&quot;/&gt;&lt;wsp:rsid wsp:val=&quot;00845A0C&quot;/&gt;&lt;wsp:rsid wsp:val=&quot;00845AFF&quot;/&gt;&lt;wsp:rsid wsp:val=&quot;00846130&quot;/&gt;&lt;wsp:rsid wsp:val=&quot;008473D9&quot;/&gt;&lt;wsp:rsid wsp:val=&quot;00847809&quot;/&gt;&lt;wsp:rsid wsp:val=&quot;00850103&quot;/&gt;&lt;wsp:rsid wsp:val=&quot;008509E9&quot;/&gt;&lt;wsp:rsid wsp:val=&quot;00850B35&quot;/&gt;&lt;wsp:rsid wsp:val=&quot;008513F0&quot;/&gt;&lt;wsp:rsid wsp:val=&quot;00853990&quot;/&gt;&lt;wsp:rsid wsp:val=&quot;008548B6&quot;/&gt;&lt;wsp:rsid wsp:val=&quot;00854920&quot;/&gt;&lt;wsp:rsid wsp:val=&quot;00854C50&quot;/&gt;&lt;wsp:rsid wsp:val=&quot;00855279&quot;/&gt;&lt;wsp:rsid wsp:val=&quot;00855670&quot;/&gt;&lt;wsp:rsid wsp:val=&quot;008559BD&quot;/&gt;&lt;wsp:rsid wsp:val=&quot;00855E91&quot;/&gt;&lt;wsp:rsid wsp:val=&quot;008561FC&quot;/&gt;&lt;wsp:rsid wsp:val=&quot;00856401&quot;/&gt;&lt;wsp:rsid wsp:val=&quot;00856583&quot;/&gt;&lt;wsp:rsid wsp:val=&quot;008577F6&quot;/&gt;&lt;wsp:rsid wsp:val=&quot;00857DB7&quot;/&gt;&lt;wsp:rsid wsp:val=&quot;00857FD3&quot;/&gt;&lt;wsp:rsid wsp:val=&quot;0086020F&quot;/&gt;&lt;wsp:rsid wsp:val=&quot;0086069A&quot;/&gt;&lt;wsp:rsid wsp:val=&quot;00860A8A&quot;/&gt;&lt;wsp:rsid wsp:val=&quot;00861A12&quot;/&gt;&lt;wsp:rsid wsp:val=&quot;00862BFB&quot;/&gt;&lt;wsp:rsid wsp:val=&quot;00862EAB&quot;/&gt;&lt;wsp:rsid wsp:val=&quot;008634BF&quot;/&gt;&lt;wsp:rsid wsp:val=&quot;0086364F&quot;/&gt;&lt;wsp:rsid wsp:val=&quot;00864111&quot;/&gt;&lt;wsp:rsid wsp:val=&quot;008647B0&quot;/&gt;&lt;wsp:rsid wsp:val=&quot;008650FB&quot;/&gt;&lt;wsp:rsid wsp:val=&quot;00865CFA&quot;/&gt;&lt;wsp:rsid wsp:val=&quot;0086623E&quot;/&gt;&lt;wsp:rsid wsp:val=&quot;00866360&quot;/&gt;&lt;wsp:rsid wsp:val=&quot;00866B20&quot;/&gt;&lt;wsp:rsid wsp:val=&quot;008678B5&quot;/&gt;&lt;wsp:rsid wsp:val=&quot;008701A3&quot;/&gt;&lt;wsp:rsid wsp:val=&quot;00871BB9&quot;/&gt;&lt;wsp:rsid wsp:val=&quot;00872B62&quot;/&gt;&lt;wsp:rsid wsp:val=&quot;00872C89&quot;/&gt;&lt;wsp:rsid wsp:val=&quot;00873750&quot;/&gt;&lt;wsp:rsid wsp:val=&quot;00873794&quot;/&gt;&lt;wsp:rsid wsp:val=&quot;00874024&quot;/&gt;&lt;wsp:rsid wsp:val=&quot;00874F26&quot;/&gt;&lt;wsp:rsid wsp:val=&quot;00875457&quot;/&gt;&lt;wsp:rsid wsp:val=&quot;008759B2&quot;/&gt;&lt;wsp:rsid wsp:val=&quot;00875C35&quot;/&gt;&lt;wsp:rsid wsp:val=&quot;00875D71&quot;/&gt;&lt;wsp:rsid wsp:val=&quot;00876904&quot;/&gt;&lt;wsp:rsid wsp:val=&quot;00876C9B&quot;/&gt;&lt;wsp:rsid wsp:val=&quot;00876D13&quot;/&gt;&lt;wsp:rsid wsp:val=&quot;0087739D&quot;/&gt;&lt;wsp:rsid wsp:val=&quot;00880235&quot;/&gt;&lt;wsp:rsid wsp:val=&quot;008807DB&quot;/&gt;&lt;wsp:rsid wsp:val=&quot;00880CB0&quot;/&gt;&lt;wsp:rsid wsp:val=&quot;0088237B&quot;/&gt;&lt;wsp:rsid wsp:val=&quot;00883DD6&quot;/&gt;&lt;wsp:rsid wsp:val=&quot;0088445F&quot;/&gt;&lt;wsp:rsid wsp:val=&quot;00884A28&quot;/&gt;&lt;wsp:rsid wsp:val=&quot;0088505A&quot;/&gt;&lt;wsp:rsid wsp:val=&quot;00887C1E&quot;/&gt;&lt;wsp:rsid wsp:val=&quot;00887D39&quot;/&gt;&lt;wsp:rsid wsp:val=&quot;00890508&quot;/&gt;&lt;wsp:rsid wsp:val=&quot;0089088A&quot;/&gt;&lt;wsp:rsid wsp:val=&quot;00890A83&quot;/&gt;&lt;wsp:rsid wsp:val=&quot;00890FC9&quot;/&gt;&lt;wsp:rsid wsp:val=&quot;00891DC5&quot;/&gt;&lt;wsp:rsid wsp:val=&quot;0089203F&quot;/&gt;&lt;wsp:rsid wsp:val=&quot;00892871&quot;/&gt;&lt;wsp:rsid wsp:val=&quot;0089301A&quot;/&gt;&lt;wsp:rsid wsp:val=&quot;008931E6&quot;/&gt;&lt;wsp:rsid wsp:val=&quot;008941E1&quot;/&gt;&lt;wsp:rsid wsp:val=&quot;008944C7&quot;/&gt;&lt;wsp:rsid wsp:val=&quot;008947B0&quot;/&gt;&lt;wsp:rsid wsp:val=&quot;0089593B&quot;/&gt;&lt;wsp:rsid wsp:val=&quot;00895B75&quot;/&gt;&lt;wsp:rsid wsp:val=&quot;00896BA2&quot;/&gt;&lt;wsp:rsid wsp:val=&quot;00897A0C&quot;/&gt;&lt;wsp:rsid wsp:val=&quot;008A0C09&quot;/&gt;&lt;wsp:rsid wsp:val=&quot;008A1026&quot;/&gt;&lt;wsp:rsid wsp:val=&quot;008A107E&quot;/&gt;&lt;wsp:rsid wsp:val=&quot;008A1543&quot;/&gt;&lt;wsp:rsid wsp:val=&quot;008A2C61&quot;/&gt;&lt;wsp:rsid wsp:val=&quot;008A3A2B&quot;/&gt;&lt;wsp:rsid wsp:val=&quot;008A47D5&quot;/&gt;&lt;wsp:rsid wsp:val=&quot;008A4AE4&quot;/&gt;&lt;wsp:rsid wsp:val=&quot;008A54C5&quot;/&gt;&lt;wsp:rsid wsp:val=&quot;008A5552&quot;/&gt;&lt;wsp:rsid wsp:val=&quot;008A6044&quot;/&gt;&lt;wsp:rsid wsp:val=&quot;008A60EB&quot;/&gt;&lt;wsp:rsid wsp:val=&quot;008A62C9&quot;/&gt;&lt;wsp:rsid wsp:val=&quot;008A63B3&quot;/&gt;&lt;wsp:rsid wsp:val=&quot;008A64FE&quot;/&gt;&lt;wsp:rsid wsp:val=&quot;008A6D4D&quot;/&gt;&lt;wsp:rsid wsp:val=&quot;008A6DFD&quot;/&gt;&lt;wsp:rsid wsp:val=&quot;008A7B1F&quot;/&gt;&lt;wsp:rsid wsp:val=&quot;008B05EF&quot;/&gt;&lt;wsp:rsid wsp:val=&quot;008B1006&quot;/&gt;&lt;wsp:rsid wsp:val=&quot;008B1C7B&quot;/&gt;&lt;wsp:rsid wsp:val=&quot;008B22AB&quot;/&gt;&lt;wsp:rsid wsp:val=&quot;008B2C3F&quot;/&gt;&lt;wsp:rsid wsp:val=&quot;008B2FCF&quot;/&gt;&lt;wsp:rsid wsp:val=&quot;008B32B7&quot;/&gt;&lt;wsp:rsid wsp:val=&quot;008B35FF&quot;/&gt;&lt;wsp:rsid wsp:val=&quot;008B36B3&quot;/&gt;&lt;wsp:rsid wsp:val=&quot;008B383A&quot;/&gt;&lt;wsp:rsid wsp:val=&quot;008B3CA4&quot;/&gt;&lt;wsp:rsid wsp:val=&quot;008B3F4C&quot;/&gt;&lt;wsp:rsid wsp:val=&quot;008B4EAC&quot;/&gt;&lt;wsp:rsid wsp:val=&quot;008B54A9&quot;/&gt;&lt;wsp:rsid wsp:val=&quot;008B5D1D&quot;/&gt;&lt;wsp:rsid wsp:val=&quot;008B62A0&quot;/&gt;&lt;wsp:rsid wsp:val=&quot;008B64BC&quot;/&gt;&lt;wsp:rsid wsp:val=&quot;008C0319&quot;/&gt;&lt;wsp:rsid wsp:val=&quot;008C0F03&quot;/&gt;&lt;wsp:rsid wsp:val=&quot;008C13C0&quot;/&gt;&lt;wsp:rsid wsp:val=&quot;008C142E&quot;/&gt;&lt;wsp:rsid wsp:val=&quot;008C1ED9&quot;/&gt;&lt;wsp:rsid wsp:val=&quot;008C2254&quot;/&gt;&lt;wsp:rsid wsp:val=&quot;008C335B&quot;/&gt;&lt;wsp:rsid wsp:val=&quot;008C339D&quot;/&gt;&lt;wsp:rsid wsp:val=&quot;008C372E&quot;/&gt;&lt;wsp:rsid wsp:val=&quot;008C3773&quot;/&gt;&lt;wsp:rsid wsp:val=&quot;008C3B19&quot;/&gt;&lt;wsp:rsid wsp:val=&quot;008C3E4F&quot;/&gt;&lt;wsp:rsid wsp:val=&quot;008C48EC&quot;/&gt;&lt;wsp:rsid wsp:val=&quot;008C4E60&quot;/&gt;&lt;wsp:rsid wsp:val=&quot;008C4F51&quot;/&gt;&lt;wsp:rsid wsp:val=&quot;008C501C&quot;/&gt;&lt;wsp:rsid wsp:val=&quot;008C5CA9&quot;/&gt;&lt;wsp:rsid wsp:val=&quot;008C6040&quot;/&gt;&lt;wsp:rsid wsp:val=&quot;008C61B3&quot;/&gt;&lt;wsp:rsid wsp:val=&quot;008C6324&quot;/&gt;&lt;wsp:rsid wsp:val=&quot;008C6C23&quot;/&gt;&lt;wsp:rsid wsp:val=&quot;008C78AB&quot;/&gt;&lt;wsp:rsid wsp:val=&quot;008C7AC0&quot;/&gt;&lt;wsp:rsid wsp:val=&quot;008C7DB3&quot;/&gt;&lt;wsp:rsid wsp:val=&quot;008D02B5&quot;/&gt;&lt;wsp:rsid wsp:val=&quot;008D0633&quot;/&gt;&lt;wsp:rsid wsp:val=&quot;008D1068&quot;/&gt;&lt;wsp:rsid wsp:val=&quot;008D1313&quot;/&gt;&lt;wsp:rsid wsp:val=&quot;008D1A8D&quot;/&gt;&lt;wsp:rsid wsp:val=&quot;008D1DEB&quot;/&gt;&lt;wsp:rsid wsp:val=&quot;008D20C8&quot;/&gt;&lt;wsp:rsid wsp:val=&quot;008D2A69&quot;/&gt;&lt;wsp:rsid wsp:val=&quot;008D38AF&quot;/&gt;&lt;wsp:rsid wsp:val=&quot;008D4449&quot;/&gt;&lt;wsp:rsid wsp:val=&quot;008D479E&quot;/&gt;&lt;wsp:rsid wsp:val=&quot;008D5E5E&quot;/&gt;&lt;wsp:rsid wsp:val=&quot;008D60F3&quot;/&gt;&lt;wsp:rsid wsp:val=&quot;008D7540&quot;/&gt;&lt;wsp:rsid wsp:val=&quot;008D7EE9&quot;/&gt;&lt;wsp:rsid wsp:val=&quot;008E13C7&quot;/&gt;&lt;wsp:rsid wsp:val=&quot;008E178F&quot;/&gt;&lt;wsp:rsid wsp:val=&quot;008E1928&quot;/&gt;&lt;wsp:rsid wsp:val=&quot;008E1A87&quot;/&gt;&lt;wsp:rsid wsp:val=&quot;008E1D0E&quot;/&gt;&lt;wsp:rsid wsp:val=&quot;008E224C&quot;/&gt;&lt;wsp:rsid wsp:val=&quot;008E2ADD&quot;/&gt;&lt;wsp:rsid wsp:val=&quot;008E2E8D&quot;/&gt;&lt;wsp:rsid wsp:val=&quot;008E3345&quot;/&gt;&lt;wsp:rsid wsp:val=&quot;008E411E&quot;/&gt;&lt;wsp:rsid wsp:val=&quot;008E48E4&quot;/&gt;&lt;wsp:rsid wsp:val=&quot;008E4A2B&quot;/&gt;&lt;wsp:rsid wsp:val=&quot;008E4DFB&quot;/&gt;&lt;wsp:rsid wsp:val=&quot;008E5CD1&quot;/&gt;&lt;wsp:rsid wsp:val=&quot;008E5D9D&quot;/&gt;&lt;wsp:rsid wsp:val=&quot;008E6005&quot;/&gt;&lt;wsp:rsid wsp:val=&quot;008E66A4&quot;/&gt;&lt;wsp:rsid wsp:val=&quot;008E6AFD&quot;/&gt;&lt;wsp:rsid wsp:val=&quot;008E6C6C&quot;/&gt;&lt;wsp:rsid wsp:val=&quot;008E75A7&quot;/&gt;&lt;wsp:rsid wsp:val=&quot;008E7B82&quot;/&gt;&lt;wsp:rsid wsp:val=&quot;008E7CF5&quot;/&gt;&lt;wsp:rsid wsp:val=&quot;008F03BB&quot;/&gt;&lt;wsp:rsid wsp:val=&quot;008F1220&quot;/&gt;&lt;wsp:rsid wsp:val=&quot;008F2009&quot;/&gt;&lt;wsp:rsid wsp:val=&quot;008F3B06&quot;/&gt;&lt;wsp:rsid wsp:val=&quot;008F4BFF&quot;/&gt;&lt;wsp:rsid wsp:val=&quot;008F5451&quot;/&gt;&lt;wsp:rsid wsp:val=&quot;008F55B7&quot;/&gt;&lt;wsp:rsid wsp:val=&quot;008F60BE&quot;/&gt;&lt;wsp:rsid wsp:val=&quot;008F610A&quot;/&gt;&lt;wsp:rsid wsp:val=&quot;008F635C&quot;/&gt;&lt;wsp:rsid wsp:val=&quot;008F657D&quot;/&gt;&lt;wsp:rsid wsp:val=&quot;008F663C&quot;/&gt;&lt;wsp:rsid wsp:val=&quot;008F706C&quot;/&gt;&lt;wsp:rsid wsp:val=&quot;008F7481&quot;/&gt;&lt;wsp:rsid wsp:val=&quot;008F769A&quot;/&gt;&lt;wsp:rsid wsp:val=&quot;008F7B3E&quot;/&gt;&lt;wsp:rsid wsp:val=&quot;008F7CF7&quot;/&gt;&lt;wsp:rsid wsp:val=&quot;00900D8C&quot;/&gt;&lt;wsp:rsid wsp:val=&quot;00900FD2&quot;/&gt;&lt;wsp:rsid wsp:val=&quot;0090190F&quot;/&gt;&lt;wsp:rsid wsp:val=&quot;00901B5F&quot;/&gt;&lt;wsp:rsid wsp:val=&quot;00902877&quot;/&gt;&lt;wsp:rsid wsp:val=&quot;00902B2F&quot;/&gt;&lt;wsp:rsid wsp:val=&quot;00903086&quot;/&gt;&lt;wsp:rsid wsp:val=&quot;00903189&quot;/&gt;&lt;wsp:rsid wsp:val=&quot;009046D1&quot;/&gt;&lt;wsp:rsid wsp:val=&quot;00905355&quot;/&gt;&lt;wsp:rsid wsp:val=&quot;00905E24&quot;/&gt;&lt;wsp:rsid wsp:val=&quot;00906815&quot;/&gt;&lt;wsp:rsid wsp:val=&quot;00906A91&quot;/&gt;&lt;wsp:rsid wsp:val=&quot;00910253&quot;/&gt;&lt;wsp:rsid wsp:val=&quot;00910791&quot;/&gt;&lt;wsp:rsid wsp:val=&quot;00911458&quot;/&gt;&lt;wsp:rsid wsp:val=&quot;00911B2F&quot;/&gt;&lt;wsp:rsid wsp:val=&quot;009126AC&quot;/&gt;&lt;wsp:rsid wsp:val=&quot;0091297B&quot;/&gt;&lt;wsp:rsid wsp:val=&quot;00912B8A&quot;/&gt;&lt;wsp:rsid wsp:val=&quot;00913725&quot;/&gt;&lt;wsp:rsid wsp:val=&quot;00913CD8&quot;/&gt;&lt;wsp:rsid wsp:val=&quot;009141AD&quot;/&gt;&lt;wsp:rsid wsp:val=&quot;00914231&quot;/&gt;&lt;wsp:rsid wsp:val=&quot;009143E5&quot;/&gt;&lt;wsp:rsid wsp:val=&quot;009146D6&quot;/&gt;&lt;wsp:rsid wsp:val=&quot;00915644&quot;/&gt;&lt;wsp:rsid wsp:val=&quot;00917BFC&quot;/&gt;&lt;wsp:rsid wsp:val=&quot;009212B4&quot;/&gt;&lt;wsp:rsid wsp:val=&quot;00921615&quot;/&gt;&lt;wsp:rsid wsp:val=&quot;00921C93&quot;/&gt;&lt;wsp:rsid wsp:val=&quot;00921D4C&quot;/&gt;&lt;wsp:rsid wsp:val=&quot;00922431&quot;/&gt;&lt;wsp:rsid wsp:val=&quot;00924F3A&quot;/&gt;&lt;wsp:rsid wsp:val=&quot;00925303&quot;/&gt;&lt;wsp:rsid wsp:val=&quot;00927615&quot;/&gt;&lt;wsp:rsid wsp:val=&quot;00927815&quot;/&gt;&lt;wsp:rsid wsp:val=&quot;00930127&quot;/&gt;&lt;wsp:rsid wsp:val=&quot;00930550&quot;/&gt;&lt;wsp:rsid wsp:val=&quot;00930D17&quot;/&gt;&lt;wsp:rsid wsp:val=&quot;009315A4&quot;/&gt;&lt;wsp:rsid wsp:val=&quot;00931771&quot;/&gt;&lt;wsp:rsid wsp:val=&quot;0093190F&quot;/&gt;&lt;wsp:rsid wsp:val=&quot;00931DD5&quot;/&gt;&lt;wsp:rsid wsp:val=&quot;00931E82&quot;/&gt;&lt;wsp:rsid wsp:val=&quot;009321E4&quot;/&gt;&lt;wsp:rsid wsp:val=&quot;009330E3&quot;/&gt;&lt;wsp:rsid wsp:val=&quot;009332D9&quot;/&gt;&lt;wsp:rsid wsp:val=&quot;0093392F&quot;/&gt;&lt;wsp:rsid wsp:val=&quot;00934385&quot;/&gt;&lt;wsp:rsid wsp:val=&quot;009343E1&quot;/&gt;&lt;wsp:rsid wsp:val=&quot;00934CBA&quot;/&gt;&lt;wsp:rsid wsp:val=&quot;0093545B&quot;/&gt;&lt;wsp:rsid wsp:val=&quot;00935AA4&quot;/&gt;&lt;wsp:rsid wsp:val=&quot;00936551&quot;/&gt;&lt;wsp:rsid wsp:val=&quot;00936C68&quot;/&gt;&lt;wsp:rsid wsp:val=&quot;00937DCC&quot;/&gt;&lt;wsp:rsid wsp:val=&quot;00940F7D&quot;/&gt;&lt;wsp:rsid wsp:val=&quot;0094181E&quot;/&gt;&lt;wsp:rsid wsp:val=&quot;00942074&quot;/&gt;&lt;wsp:rsid wsp:val=&quot;00942304&quot;/&gt;&lt;wsp:rsid wsp:val=&quot;00942D02&quot;/&gt;&lt;wsp:rsid wsp:val=&quot;009435CB&quot;/&gt;&lt;wsp:rsid wsp:val=&quot;00943908&quot;/&gt;&lt;wsp:rsid wsp:val=&quot;00944BC8&quot;/&gt;&lt;wsp:rsid wsp:val=&quot;009457DA&quot;/&gt;&lt;wsp:rsid wsp:val=&quot;00945BE9&quot;/&gt;&lt;wsp:rsid wsp:val=&quot;0094796C&quot;/&gt;&lt;wsp:rsid wsp:val=&quot;00947A5F&quot;/&gt;&lt;wsp:rsid wsp:val=&quot;00947FB4&quot;/&gt;&lt;wsp:rsid wsp:val=&quot;00950DF7&quot;/&gt;&lt;wsp:rsid wsp:val=&quot;0095133C&quot;/&gt;&lt;wsp:rsid wsp:val=&quot;0095151A&quot;/&gt;&lt;wsp:rsid wsp:val=&quot;0095154C&quot;/&gt;&lt;wsp:rsid wsp:val=&quot;009520B3&quot;/&gt;&lt;wsp:rsid wsp:val=&quot;009548B4&quot;/&gt;&lt;wsp:rsid wsp:val=&quot;00955744&quot;/&gt;&lt;wsp:rsid wsp:val=&quot;00955752&quot;/&gt;&lt;wsp:rsid wsp:val=&quot;009573CB&quot;/&gt;&lt;wsp:rsid wsp:val=&quot;00957741&quot;/&gt;&lt;wsp:rsid wsp:val=&quot;0096082E&quot;/&gt;&lt;wsp:rsid wsp:val=&quot;00960B5E&quot;/&gt;&lt;wsp:rsid wsp:val=&quot;00960EBA&quot;/&gt;&lt;wsp:rsid wsp:val=&quot;009612E5&quot;/&gt;&lt;wsp:rsid wsp:val=&quot;009622FB&quot;/&gt;&lt;wsp:rsid wsp:val=&quot;00962341&quot;/&gt;&lt;wsp:rsid wsp:val=&quot;00962536&quot;/&gt;&lt;wsp:rsid wsp:val=&quot;0096403B&quot;/&gt;&lt;wsp:rsid wsp:val=&quot;009645E4&quot;/&gt;&lt;wsp:rsid wsp:val=&quot;00964634&quot;/&gt;&lt;wsp:rsid wsp:val=&quot;00964F2A&quot;/&gt;&lt;wsp:rsid wsp:val=&quot;009652A7&quot;/&gt;&lt;wsp:rsid wsp:val=&quot;00965695&quot;/&gt;&lt;wsp:rsid wsp:val=&quot;009657CB&quot;/&gt;&lt;wsp:rsid wsp:val=&quot;0096657B&quot;/&gt;&lt;wsp:rsid wsp:val=&quot;00967157&quot;/&gt;&lt;wsp:rsid wsp:val=&quot;00967924&quot;/&gt;&lt;wsp:rsid wsp:val=&quot;009708FB&quot;/&gt;&lt;wsp:rsid wsp:val=&quot;00970DDD&quot;/&gt;&lt;wsp:rsid wsp:val=&quot;009713FC&quot;/&gt;&lt;wsp:rsid wsp:val=&quot;009714D8&quot;/&gt;&lt;wsp:rsid wsp:val=&quot;009742A9&quot;/&gt;&lt;wsp:rsid wsp:val=&quot;0097490A&quot;/&gt;&lt;wsp:rsid wsp:val=&quot;009754B0&quot;/&gt;&lt;wsp:rsid wsp:val=&quot;0097609B&quot;/&gt;&lt;wsp:rsid wsp:val=&quot;009763DB&quot;/&gt;&lt;wsp:rsid wsp:val=&quot;00976A47&quot;/&gt;&lt;wsp:rsid wsp:val=&quot;00980BFE&quot;/&gt;&lt;wsp:rsid wsp:val=&quot;00980CD5&quot;/&gt;&lt;wsp:rsid wsp:val=&quot;00981AED&quot;/&gt;&lt;wsp:rsid wsp:val=&quot;00981FDE&quot;/&gt;&lt;wsp:rsid wsp:val=&quot;00982D6F&quot;/&gt;&lt;wsp:rsid wsp:val=&quot;00983C09&quot;/&gt;&lt;wsp:rsid wsp:val=&quot;00983F55&quot;/&gt;&lt;wsp:rsid wsp:val=&quot;009848DE&quot;/&gt;&lt;wsp:rsid wsp:val=&quot;009854DA&quot;/&gt;&lt;wsp:rsid wsp:val=&quot;00986356&quot;/&gt;&lt;wsp:rsid wsp:val=&quot;00987295&quot;/&gt;&lt;wsp:rsid wsp:val=&quot;00987B16&quot;/&gt;&lt;wsp:rsid wsp:val=&quot;00990FAB&quot;/&gt;&lt;wsp:rsid wsp:val=&quot;009913C0&quot;/&gt;&lt;wsp:rsid wsp:val=&quot;0099186D&quot;/&gt;&lt;wsp:rsid wsp:val=&quot;00991C06&quot;/&gt;&lt;wsp:rsid wsp:val=&quot;00991C82&quot;/&gt;&lt;wsp:rsid wsp:val=&quot;00992522&quot;/&gt;&lt;wsp:rsid wsp:val=&quot;00992727&quot;/&gt;&lt;wsp:rsid wsp:val=&quot;009928CF&quot;/&gt;&lt;wsp:rsid wsp:val=&quot;00992AEC&quot;/&gt;&lt;wsp:rsid wsp:val=&quot;00993765&quot;/&gt;&lt;wsp:rsid wsp:val=&quot;009939F9&quot;/&gt;&lt;wsp:rsid wsp:val=&quot;00993BE7&quot;/&gt;&lt;wsp:rsid wsp:val=&quot;00995134&quot;/&gt;&lt;wsp:rsid wsp:val=&quot;009954BC&quot;/&gt;&lt;wsp:rsid wsp:val=&quot;00995F15&quot;/&gt;&lt;wsp:rsid wsp:val=&quot;00995F6C&quot;/&gt;&lt;wsp:rsid wsp:val=&quot;009978F6&quot;/&gt;&lt;wsp:rsid wsp:val=&quot;009A02C2&quot;/&gt;&lt;wsp:rsid wsp:val=&quot;009A12BE&quot;/&gt;&lt;wsp:rsid wsp:val=&quot;009A1408&quot;/&gt;&lt;wsp:rsid wsp:val=&quot;009A17B0&quot;/&gt;&lt;wsp:rsid wsp:val=&quot;009A18AE&quot;/&gt;&lt;wsp:rsid wsp:val=&quot;009A1D85&quot;/&gt;&lt;wsp:rsid wsp:val=&quot;009A1F56&quot;/&gt;&lt;wsp:rsid wsp:val=&quot;009A24CC&quot;/&gt;&lt;wsp:rsid wsp:val=&quot;009A3048&quot;/&gt;&lt;wsp:rsid wsp:val=&quot;009A3585&quot;/&gt;&lt;wsp:rsid wsp:val=&quot;009A3C11&quot;/&gt;&lt;wsp:rsid wsp:val=&quot;009A3D0C&quot;/&gt;&lt;wsp:rsid wsp:val=&quot;009A3D7A&quot;/&gt;&lt;wsp:rsid wsp:val=&quot;009A49C4&quot;/&gt;&lt;wsp:rsid wsp:val=&quot;009A5659&quot;/&gt;&lt;wsp:rsid wsp:val=&quot;009A6C89&quot;/&gt;&lt;wsp:rsid wsp:val=&quot;009B006F&quot;/&gt;&lt;wsp:rsid wsp:val=&quot;009B10FA&quot;/&gt;&lt;wsp:rsid wsp:val=&quot;009B112E&quot;/&gt;&lt;wsp:rsid wsp:val=&quot;009B13A0&quot;/&gt;&lt;wsp:rsid wsp:val=&quot;009B1A22&quot;/&gt;&lt;wsp:rsid wsp:val=&quot;009B1A7F&quot;/&gt;&lt;wsp:rsid wsp:val=&quot;009B1B89&quot;/&gt;&lt;wsp:rsid wsp:val=&quot;009B207A&quot;/&gt;&lt;wsp:rsid wsp:val=&quot;009B2F2D&quot;/&gt;&lt;wsp:rsid wsp:val=&quot;009B371C&quot;/&gt;&lt;wsp:rsid wsp:val=&quot;009B546E&quot;/&gt;&lt;wsp:rsid wsp:val=&quot;009B60B2&quot;/&gt;&lt;wsp:rsid wsp:val=&quot;009B62BE&quot;/&gt;&lt;wsp:rsid wsp:val=&quot;009B772D&quot;/&gt;&lt;wsp:rsid wsp:val=&quot;009C0E5F&quot;/&gt;&lt;wsp:rsid wsp:val=&quot;009C11BA&quot;/&gt;&lt;wsp:rsid wsp:val=&quot;009C2B2D&quot;/&gt;&lt;wsp:rsid wsp:val=&quot;009C43B6&quot;/&gt;&lt;wsp:rsid wsp:val=&quot;009C5103&quot;/&gt;&lt;wsp:rsid wsp:val=&quot;009C51C1&quot;/&gt;&lt;wsp:rsid wsp:val=&quot;009C56BD&quot;/&gt;&lt;wsp:rsid wsp:val=&quot;009C5BEA&quot;/&gt;&lt;wsp:rsid wsp:val=&quot;009C644E&quot;/&gt;&lt;wsp:rsid wsp:val=&quot;009C66A3&quot;/&gt;&lt;wsp:rsid wsp:val=&quot;009C68B5&quot;/&gt;&lt;wsp:rsid wsp:val=&quot;009C6C72&quot;/&gt;&lt;wsp:rsid wsp:val=&quot;009C7000&quot;/&gt;&lt;wsp:rsid wsp:val=&quot;009D0551&quot;/&gt;&lt;wsp:rsid wsp:val=&quot;009D1516&quot;/&gt;&lt;wsp:rsid wsp:val=&quot;009D1B6F&quot;/&gt;&lt;wsp:rsid wsp:val=&quot;009D2A0B&quot;/&gt;&lt;wsp:rsid wsp:val=&quot;009D2D0B&quot;/&gt;&lt;wsp:rsid wsp:val=&quot;009D3D24&quot;/&gt;&lt;wsp:rsid wsp:val=&quot;009D41AC&quot;/&gt;&lt;wsp:rsid wsp:val=&quot;009D47EA&quot;/&gt;&lt;wsp:rsid wsp:val=&quot;009D5381&quot;/&gt;&lt;wsp:rsid wsp:val=&quot;009D5A56&quot;/&gt;&lt;wsp:rsid wsp:val=&quot;009D6032&quot;/&gt;&lt;wsp:rsid wsp:val=&quot;009D690D&quot;/&gt;&lt;wsp:rsid wsp:val=&quot;009D7C5B&quot;/&gt;&lt;wsp:rsid wsp:val=&quot;009D7F7A&quot;/&gt;&lt;wsp:rsid wsp:val=&quot;009E0321&quot;/&gt;&lt;wsp:rsid wsp:val=&quot;009E1108&quot;/&gt;&lt;wsp:rsid wsp:val=&quot;009E15D7&quot;/&gt;&lt;wsp:rsid wsp:val=&quot;009E2546&quot;/&gt;&lt;wsp:rsid wsp:val=&quot;009E295A&quot;/&gt;&lt;wsp:rsid wsp:val=&quot;009E316B&quot;/&gt;&lt;wsp:rsid wsp:val=&quot;009E49EA&quot;/&gt;&lt;wsp:rsid wsp:val=&quot;009E5B3F&quot;/&gt;&lt;wsp:rsid wsp:val=&quot;009E649A&quot;/&gt;&lt;wsp:rsid wsp:val=&quot;009E6B6B&quot;/&gt;&lt;wsp:rsid wsp:val=&quot;009E73D9&quot;/&gt;&lt;wsp:rsid wsp:val=&quot;009E73E5&quot;/&gt;&lt;wsp:rsid wsp:val=&quot;009F01D8&quot;/&gt;&lt;wsp:rsid wsp:val=&quot;009F03E5&quot;/&gt;&lt;wsp:rsid wsp:val=&quot;009F120B&quot;/&gt;&lt;wsp:rsid wsp:val=&quot;009F1CC1&quot;/&gt;&lt;wsp:rsid wsp:val=&quot;009F374F&quot;/&gt;&lt;wsp:rsid wsp:val=&quot;009F3888&quot;/&gt;&lt;wsp:rsid wsp:val=&quot;009F3BFF&quot;/&gt;&lt;wsp:rsid wsp:val=&quot;009F45CD&quot;/&gt;&lt;wsp:rsid wsp:val=&quot;009F53BF&quot;/&gt;&lt;wsp:rsid wsp:val=&quot;009F53DA&quot;/&gt;&lt;wsp:rsid wsp:val=&quot;009F5ABA&quot;/&gt;&lt;wsp:rsid wsp:val=&quot;009F62A2&quot;/&gt;&lt;wsp:rsid wsp:val=&quot;009F69C8&quot;/&gt;&lt;wsp:rsid wsp:val=&quot;009F71C7&quot;/&gt;&lt;wsp:rsid wsp:val=&quot;009F77F2&quot;/&gt;&lt;wsp:rsid wsp:val=&quot;009F7E75&quot;/&gt;&lt;wsp:rsid wsp:val=&quot;00A01530&quot;/&gt;&lt;wsp:rsid wsp:val=&quot;00A0246D&quot;/&gt;&lt;wsp:rsid wsp:val=&quot;00A0263E&quot;/&gt;&lt;wsp:rsid wsp:val=&quot;00A02F9C&quot;/&gt;&lt;wsp:rsid wsp:val=&quot;00A0491C&quot;/&gt;&lt;wsp:rsid wsp:val=&quot;00A04E10&quot;/&gt;&lt;wsp:rsid wsp:val=&quot;00A0526B&quot;/&gt;&lt;wsp:rsid wsp:val=&quot;00A05DD5&quot;/&gt;&lt;wsp:rsid wsp:val=&quot;00A06A10&quot;/&gt;&lt;wsp:rsid wsp:val=&quot;00A07126&quot;/&gt;&lt;wsp:rsid wsp:val=&quot;00A0755C&quot;/&gt;&lt;wsp:rsid wsp:val=&quot;00A0792E&quot;/&gt;&lt;wsp:rsid wsp:val=&quot;00A07BBE&quot;/&gt;&lt;wsp:rsid wsp:val=&quot;00A104D4&quot;/&gt;&lt;wsp:rsid wsp:val=&quot;00A1065B&quot;/&gt;&lt;wsp:rsid wsp:val=&quot;00A11563&quot;/&gt;&lt;wsp:rsid wsp:val=&quot;00A1157B&quot;/&gt;&lt;wsp:rsid wsp:val=&quot;00A12FB2&quot;/&gt;&lt;wsp:rsid wsp:val=&quot;00A1368B&quot;/&gt;&lt;wsp:rsid wsp:val=&quot;00A14C3A&quot;/&gt;&lt;wsp:rsid wsp:val=&quot;00A14F45&quot;/&gt;&lt;wsp:rsid wsp:val=&quot;00A14F91&quot;/&gt;&lt;wsp:rsid wsp:val=&quot;00A160EC&quot;/&gt;&lt;wsp:rsid wsp:val=&quot;00A17074&quot;/&gt;&lt;wsp:rsid wsp:val=&quot;00A20823&quot;/&gt;&lt;wsp:rsid wsp:val=&quot;00A20DD8&quot;/&gt;&lt;wsp:rsid wsp:val=&quot;00A21130&quot;/&gt;&lt;wsp:rsid wsp:val=&quot;00A2150E&quot;/&gt;&lt;wsp:rsid wsp:val=&quot;00A21DD7&quot;/&gt;&lt;wsp:rsid wsp:val=&quot;00A2298E&quot;/&gt;&lt;wsp:rsid wsp:val=&quot;00A22AD7&quot;/&gt;&lt;wsp:rsid wsp:val=&quot;00A23126&quot;/&gt;&lt;wsp:rsid wsp:val=&quot;00A232D2&quot;/&gt;&lt;wsp:rsid wsp:val=&quot;00A23517&quot;/&gt;&lt;wsp:rsid wsp:val=&quot;00A23C19&quot;/&gt;&lt;wsp:rsid wsp:val=&quot;00A2403D&quot;/&gt;&lt;wsp:rsid wsp:val=&quot;00A24C09&quot;/&gt;&lt;wsp:rsid wsp:val=&quot;00A2503D&quot;/&gt;&lt;wsp:rsid wsp:val=&quot;00A2504A&quot;/&gt;&lt;wsp:rsid wsp:val=&quot;00A25199&quot;/&gt;&lt;wsp:rsid wsp:val=&quot;00A2528E&quot;/&gt;&lt;wsp:rsid wsp:val=&quot;00A263BF&quot;/&gt;&lt;wsp:rsid wsp:val=&quot;00A26CB4&quot;/&gt;&lt;wsp:rsid wsp:val=&quot;00A27C95&quot;/&gt;&lt;wsp:rsid wsp:val=&quot;00A30891&quot;/&gt;&lt;wsp:rsid wsp:val=&quot;00A30D37&quot;/&gt;&lt;wsp:rsid wsp:val=&quot;00A30F4B&quot;/&gt;&lt;wsp:rsid wsp:val=&quot;00A31558&quot;/&gt;&lt;wsp:rsid wsp:val=&quot;00A31DC1&quot;/&gt;&lt;wsp:rsid wsp:val=&quot;00A31E0D&quot;/&gt;&lt;wsp:rsid wsp:val=&quot;00A320BC&quot;/&gt;&lt;wsp:rsid wsp:val=&quot;00A323EF&quot;/&gt;&lt;wsp:rsid wsp:val=&quot;00A32DBD&quot;/&gt;&lt;wsp:rsid wsp:val=&quot;00A33387&quot;/&gt;&lt;wsp:rsid wsp:val=&quot;00A3399A&quot;/&gt;&lt;wsp:rsid wsp:val=&quot;00A33D2F&quot;/&gt;&lt;wsp:rsid wsp:val=&quot;00A34B0D&quot;/&gt;&lt;wsp:rsid wsp:val=&quot;00A364B0&quot;/&gt;&lt;wsp:rsid wsp:val=&quot;00A36974&quot;/&gt;&lt;wsp:rsid wsp:val=&quot;00A36CFF&quot;/&gt;&lt;wsp:rsid wsp:val=&quot;00A36E2B&quot;/&gt;&lt;wsp:rsid wsp:val=&quot;00A3722C&quot;/&gt;&lt;wsp:rsid wsp:val=&quot;00A3744C&quot;/&gt;&lt;wsp:rsid wsp:val=&quot;00A37E0D&quot;/&gt;&lt;wsp:rsid wsp:val=&quot;00A402E2&quot;/&gt;&lt;wsp:rsid wsp:val=&quot;00A40AEA&quot;/&gt;&lt;wsp:rsid wsp:val=&quot;00A40D24&quot;/&gt;&lt;wsp:rsid wsp:val=&quot;00A40FB9&quot;/&gt;&lt;wsp:rsid wsp:val=&quot;00A435D7&quot;/&gt;&lt;wsp:rsid wsp:val=&quot;00A43697&quot;/&gt;&lt;wsp:rsid wsp:val=&quot;00A43BAF&quot;/&gt;&lt;wsp:rsid wsp:val=&quot;00A45446&quot;/&gt;&lt;wsp:rsid wsp:val=&quot;00A46BB7&quot;/&gt;&lt;wsp:rsid wsp:val=&quot;00A5031D&quot;/&gt;&lt;wsp:rsid wsp:val=&quot;00A50405&quot;/&gt;&lt;wsp:rsid wsp:val=&quot;00A512E3&quot;/&gt;&lt;wsp:rsid wsp:val=&quot;00A51347&quot;/&gt;&lt;wsp:rsid wsp:val=&quot;00A51F70&quot;/&gt;&lt;wsp:rsid wsp:val=&quot;00A52905&quot;/&gt;&lt;wsp:rsid wsp:val=&quot;00A52E5C&quot;/&gt;&lt;wsp:rsid wsp:val=&quot;00A53B26&quot;/&gt;&lt;wsp:rsid wsp:val=&quot;00A542B6&quot;/&gt;&lt;wsp:rsid wsp:val=&quot;00A54413&quot;/&gt;&lt;wsp:rsid wsp:val=&quot;00A54987&quot;/&gt;&lt;wsp:rsid wsp:val=&quot;00A558DC&quot;/&gt;&lt;wsp:rsid wsp:val=&quot;00A55995&quot;/&gt;&lt;wsp:rsid wsp:val=&quot;00A55E58&quot;/&gt;&lt;wsp:rsid wsp:val=&quot;00A55E89&quot;/&gt;&lt;wsp:rsid wsp:val=&quot;00A608BD&quot;/&gt;&lt;wsp:rsid wsp:val=&quot;00A61E8E&quot;/&gt;&lt;wsp:rsid wsp:val=&quot;00A61F18&quot;/&gt;&lt;wsp:rsid wsp:val=&quot;00A62170&quot;/&gt;&lt;wsp:rsid wsp:val=&quot;00A625DE&quot;/&gt;&lt;wsp:rsid wsp:val=&quot;00A629E9&quot;/&gt;&lt;wsp:rsid wsp:val=&quot;00A62A2D&quot;/&gt;&lt;wsp:rsid wsp:val=&quot;00A63347&quot;/&gt;&lt;wsp:rsid wsp:val=&quot;00A638D1&quot;/&gt;&lt;wsp:rsid wsp:val=&quot;00A63B5C&quot;/&gt;&lt;wsp:rsid wsp:val=&quot;00A63BC4&quot;/&gt;&lt;wsp:rsid wsp:val=&quot;00A64B4A&quot;/&gt;&lt;wsp:rsid wsp:val=&quot;00A65415&quot;/&gt;&lt;wsp:rsid wsp:val=&quot;00A66850&quot;/&gt;&lt;wsp:rsid wsp:val=&quot;00A67363&quot;/&gt;&lt;wsp:rsid wsp:val=&quot;00A6786B&quot;/&gt;&lt;wsp:rsid wsp:val=&quot;00A70036&quot;/&gt;&lt;wsp:rsid wsp:val=&quot;00A70483&quot;/&gt;&lt;wsp:rsid wsp:val=&quot;00A70761&quot;/&gt;&lt;wsp:rsid wsp:val=&quot;00A70866&quot;/&gt;&lt;wsp:rsid wsp:val=&quot;00A70E10&quot;/&gt;&lt;wsp:rsid wsp:val=&quot;00A71262&quot;/&gt;&lt;wsp:rsid wsp:val=&quot;00A71349&quot;/&gt;&lt;wsp:rsid wsp:val=&quot;00A71EFB&quot;/&gt;&lt;wsp:rsid wsp:val=&quot;00A726CA&quot;/&gt;&lt;wsp:rsid wsp:val=&quot;00A727DB&quot;/&gt;&lt;wsp:rsid wsp:val=&quot;00A72802&quot;/&gt;&lt;wsp:rsid wsp:val=&quot;00A7474C&quot;/&gt;&lt;wsp:rsid wsp:val=&quot;00A74AD8&quot;/&gt;&lt;wsp:rsid wsp:val=&quot;00A74E5F&quot;/&gt;&lt;wsp:rsid wsp:val=&quot;00A753C3&quot;/&gt;&lt;wsp:rsid wsp:val=&quot;00A75806&quot;/&gt;&lt;wsp:rsid wsp:val=&quot;00A75DD0&quot;/&gt;&lt;wsp:rsid wsp:val=&quot;00A76E34&quot;/&gt;&lt;wsp:rsid wsp:val=&quot;00A77404&quot;/&gt;&lt;wsp:rsid wsp:val=&quot;00A775B8&quot;/&gt;&lt;wsp:rsid wsp:val=&quot;00A77682&quot;/&gt;&lt;wsp:rsid wsp:val=&quot;00A77BEC&quot;/&gt;&lt;wsp:rsid wsp:val=&quot;00A806E1&quot;/&gt;&lt;wsp:rsid wsp:val=&quot;00A81320&quot;/&gt;&lt;wsp:rsid wsp:val=&quot;00A82BA3&quot;/&gt;&lt;wsp:rsid wsp:val=&quot;00A83E14&quot;/&gt;&lt;wsp:rsid wsp:val=&quot;00A8440C&quot;/&gt;&lt;wsp:rsid wsp:val=&quot;00A85070&quot;/&gt;&lt;wsp:rsid wsp:val=&quot;00A850F3&quot;/&gt;&lt;wsp:rsid wsp:val=&quot;00A85341&quot;/&gt;&lt;wsp:rsid wsp:val=&quot;00A85367&quot;/&gt;&lt;wsp:rsid wsp:val=&quot;00A85A2F&quot;/&gt;&lt;wsp:rsid wsp:val=&quot;00A867C3&quot;/&gt;&lt;wsp:rsid wsp:val=&quot;00A868FD&quot;/&gt;&lt;wsp:rsid wsp:val=&quot;00A869DB&quot;/&gt;&lt;wsp:rsid wsp:val=&quot;00A872EC&quot;/&gt;&lt;wsp:rsid wsp:val=&quot;00A87BEA&quot;/&gt;&lt;wsp:rsid wsp:val=&quot;00A90EC5&quot;/&gt;&lt;wsp:rsid wsp:val=&quot;00A90EF8&quot;/&gt;&lt;wsp:rsid wsp:val=&quot;00A90FD1&quot;/&gt;&lt;wsp:rsid wsp:val=&quot;00A92C50&quot;/&gt;&lt;wsp:rsid wsp:val=&quot;00A93A94&quot;/&gt;&lt;wsp:rsid wsp:val=&quot;00A946B6&quot;/&gt;&lt;wsp:rsid wsp:val=&quot;00A9475C&quot;/&gt;&lt;wsp:rsid wsp:val=&quot;00A94D84&quot;/&gt;&lt;wsp:rsid wsp:val=&quot;00A95B8D&quot;/&gt;&lt;wsp:rsid wsp:val=&quot;00A965CC&quot;/&gt;&lt;wsp:rsid wsp:val=&quot;00A97435&quot;/&gt;&lt;wsp:rsid wsp:val=&quot;00A975B5&quot;/&gt;&lt;wsp:rsid wsp:val=&quot;00A9784F&quot;/&gt;&lt;wsp:rsid wsp:val=&quot;00A97EEF&quot;/&gt;&lt;wsp:rsid wsp:val=&quot;00AA00A0&quot;/&gt;&lt;wsp:rsid wsp:val=&quot;00AA0845&quot;/&gt;&lt;wsp:rsid wsp:val=&quot;00AA1F7C&quot;/&gt;&lt;wsp:rsid wsp:val=&quot;00AA2D68&quot;/&gt;&lt;wsp:rsid wsp:val=&quot;00AA30DB&quot;/&gt;&lt;wsp:rsid wsp:val=&quot;00AA396D&quot;/&gt;&lt;wsp:rsid wsp:val=&quot;00AA3B52&quot;/&gt;&lt;wsp:rsid wsp:val=&quot;00AA3F73&quot;/&gt;&lt;wsp:rsid wsp:val=&quot;00AA434E&quot;/&gt;&lt;wsp:rsid wsp:val=&quot;00AA5E1F&quot;/&gt;&lt;wsp:rsid wsp:val=&quot;00AA64A0&quot;/&gt;&lt;wsp:rsid wsp:val=&quot;00AA668D&quot;/&gt;&lt;wsp:rsid wsp:val=&quot;00AA7127&quot;/&gt;&lt;wsp:rsid wsp:val=&quot;00AA727A&quot;/&gt;&lt;wsp:rsid wsp:val=&quot;00AA73E7&quot;/&gt;&lt;wsp:rsid wsp:val=&quot;00AA76F4&quot;/&gt;&lt;wsp:rsid wsp:val=&quot;00AB0120&quot;/&gt;&lt;wsp:rsid wsp:val=&quot;00AB1275&quot;/&gt;&lt;wsp:rsid wsp:val=&quot;00AB2217&quot;/&gt;&lt;wsp:rsid wsp:val=&quot;00AB2337&quot;/&gt;&lt;wsp:rsid wsp:val=&quot;00AB2B1F&quot;/&gt;&lt;wsp:rsid wsp:val=&quot;00AB3EB9&quot;/&gt;&lt;wsp:rsid wsp:val=&quot;00AB4299&quot;/&gt;&lt;wsp:rsid wsp:val=&quot;00AB43EC&quot;/&gt;&lt;wsp:rsid wsp:val=&quot;00AB49FE&quot;/&gt;&lt;wsp:rsid wsp:val=&quot;00AB4DE4&quot;/&gt;&lt;wsp:rsid wsp:val=&quot;00AB59C9&quot;/&gt;&lt;wsp:rsid wsp:val=&quot;00AB66FE&quot;/&gt;&lt;wsp:rsid wsp:val=&quot;00AB6805&quot;/&gt;&lt;wsp:rsid wsp:val=&quot;00AB6D9B&quot;/&gt;&lt;wsp:rsid wsp:val=&quot;00AB6FA9&quot;/&gt;&lt;wsp:rsid wsp:val=&quot;00AB74C2&quot;/&gt;&lt;wsp:rsid wsp:val=&quot;00AC005D&quot;/&gt;&lt;wsp:rsid wsp:val=&quot;00AC0A9D&quot;/&gt;&lt;wsp:rsid wsp:val=&quot;00AC1571&quot;/&gt;&lt;wsp:rsid wsp:val=&quot;00AC1A26&quot;/&gt;&lt;wsp:rsid wsp:val=&quot;00AC1FD4&quot;/&gt;&lt;wsp:rsid wsp:val=&quot;00AC2175&quot;/&gt;&lt;wsp:rsid wsp:val=&quot;00AC36EB&quot;/&gt;&lt;wsp:rsid wsp:val=&quot;00AC38C2&quot;/&gt;&lt;wsp:rsid wsp:val=&quot;00AC3EC7&quot;/&gt;&lt;wsp:rsid wsp:val=&quot;00AC48A3&quot;/&gt;&lt;wsp:rsid wsp:val=&quot;00AC4B1E&quot;/&gt;&lt;wsp:rsid wsp:val=&quot;00AC5067&quot;/&gt;&lt;wsp:rsid wsp:val=&quot;00AC5331&quot;/&gt;&lt;wsp:rsid wsp:val=&quot;00AC5738&quot;/&gt;&lt;wsp:rsid wsp:val=&quot;00AC6328&quot;/&gt;&lt;wsp:rsid wsp:val=&quot;00AC6879&quot;/&gt;&lt;wsp:rsid wsp:val=&quot;00AC69E1&quot;/&gt;&lt;wsp:rsid wsp:val=&quot;00AC783A&quot;/&gt;&lt;wsp:rsid wsp:val=&quot;00AD17DB&quot;/&gt;&lt;wsp:rsid wsp:val=&quot;00AD3262&quot;/&gt;&lt;wsp:rsid wsp:val=&quot;00AD3439&quot;/&gt;&lt;wsp:rsid wsp:val=&quot;00AD3667&quot;/&gt;&lt;wsp:rsid wsp:val=&quot;00AD46EF&quot;/&gt;&lt;wsp:rsid wsp:val=&quot;00AD4B5C&quot;/&gt;&lt;wsp:rsid wsp:val=&quot;00AD5857&quot;/&gt;&lt;wsp:rsid wsp:val=&quot;00AD5894&quot;/&gt;&lt;wsp:rsid wsp:val=&quot;00AD59F4&quot;/&gt;&lt;wsp:rsid wsp:val=&quot;00AD5CFB&quot;/&gt;&lt;wsp:rsid wsp:val=&quot;00AD616B&quot;/&gt;&lt;wsp:rsid wsp:val=&quot;00AD669D&quot;/&gt;&lt;wsp:rsid wsp:val=&quot;00AD6C41&quot;/&gt;&lt;wsp:rsid wsp:val=&quot;00AD6F91&quot;/&gt;&lt;wsp:rsid wsp:val=&quot;00AD75C7&quot;/&gt;&lt;wsp:rsid wsp:val=&quot;00AD78AF&quot;/&gt;&lt;wsp:rsid wsp:val=&quot;00AE1B84&quot;/&gt;&lt;wsp:rsid wsp:val=&quot;00AE1C74&quot;/&gt;&lt;wsp:rsid wsp:val=&quot;00AE1E1C&quot;/&gt;&lt;wsp:rsid wsp:val=&quot;00AE268F&quot;/&gt;&lt;wsp:rsid wsp:val=&quot;00AE28E1&quot;/&gt;&lt;wsp:rsid wsp:val=&quot;00AE3366&quot;/&gt;&lt;wsp:rsid wsp:val=&quot;00AE5D93&quot;/&gt;&lt;wsp:rsid wsp:val=&quot;00AE64D3&quot;/&gt;&lt;wsp:rsid wsp:val=&quot;00AF297C&quot;/&gt;&lt;wsp:rsid wsp:val=&quot;00AF4213&quot;/&gt;&lt;wsp:rsid wsp:val=&quot;00AF443F&quot;/&gt;&lt;wsp:rsid wsp:val=&quot;00AF4496&quot;/&gt;&lt;wsp:rsid wsp:val=&quot;00AF4C78&quot;/&gt;&lt;wsp:rsid wsp:val=&quot;00AF5058&quot;/&gt;&lt;wsp:rsid wsp:val=&quot;00AF5359&quot;/&gt;&lt;wsp:rsid wsp:val=&quot;00AF5C9E&quot;/&gt;&lt;wsp:rsid wsp:val=&quot;00AF5F37&quot;/&gt;&lt;wsp:rsid wsp:val=&quot;00AF747A&quot;/&gt;&lt;wsp:rsid wsp:val=&quot;00AF7B58&quot;/&gt;&lt;wsp:rsid wsp:val=&quot;00B0085A&quot;/&gt;&lt;wsp:rsid wsp:val=&quot;00B0212E&quot;/&gt;&lt;wsp:rsid wsp:val=&quot;00B02574&quot;/&gt;&lt;wsp:rsid wsp:val=&quot;00B03308&quot;/&gt;&lt;wsp:rsid wsp:val=&quot;00B046CE&quot;/&gt;&lt;wsp:rsid wsp:val=&quot;00B047AC&quot;/&gt;&lt;wsp:rsid wsp:val=&quot;00B05FCB&quot;/&gt;&lt;wsp:rsid wsp:val=&quot;00B06873&quot;/&gt;&lt;wsp:rsid wsp:val=&quot;00B06D10&quot;/&gt;&lt;wsp:rsid wsp:val=&quot;00B07220&quot;/&gt;&lt;wsp:rsid wsp:val=&quot;00B074C6&quot;/&gt;&lt;wsp:rsid wsp:val=&quot;00B07EE7&quot;/&gt;&lt;wsp:rsid wsp:val=&quot;00B108C8&quot;/&gt;&lt;wsp:rsid wsp:val=&quot;00B10B6F&quot;/&gt;&lt;wsp:rsid wsp:val=&quot;00B113A2&quot;/&gt;&lt;wsp:rsid wsp:val=&quot;00B11594&quot;/&gt;&lt;wsp:rsid wsp:val=&quot;00B1185B&quot;/&gt;&lt;wsp:rsid wsp:val=&quot;00B11870&quot;/&gt;&lt;wsp:rsid wsp:val=&quot;00B12C58&quot;/&gt;&lt;wsp:rsid wsp:val=&quot;00B131F2&quot;/&gt;&lt;wsp:rsid wsp:val=&quot;00B1384B&quot;/&gt;&lt;wsp:rsid wsp:val=&quot;00B13E73&quot;/&gt;&lt;wsp:rsid wsp:val=&quot;00B141E0&quot;/&gt;&lt;wsp:rsid wsp:val=&quot;00B149D4&quot;/&gt;&lt;wsp:rsid wsp:val=&quot;00B16277&quot;/&gt;&lt;wsp:rsid wsp:val=&quot;00B162AD&quot;/&gt;&lt;wsp:rsid wsp:val=&quot;00B1671D&quot;/&gt;&lt;wsp:rsid wsp:val=&quot;00B16733&quot;/&gt;&lt;wsp:rsid wsp:val=&quot;00B16B08&quot;/&gt;&lt;wsp:rsid wsp:val=&quot;00B16F75&quot;/&gt;&lt;wsp:rsid wsp:val=&quot;00B16FBE&quot;/&gt;&lt;wsp:rsid wsp:val=&quot;00B17ABC&quot;/&gt;&lt;wsp:rsid wsp:val=&quot;00B20020&quot;/&gt;&lt;wsp:rsid wsp:val=&quot;00B2089F&quot;/&gt;&lt;wsp:rsid wsp:val=&quot;00B20974&quot;/&gt;&lt;wsp:rsid wsp:val=&quot;00B20DA2&quot;/&gt;&lt;wsp:rsid wsp:val=&quot;00B21002&quot;/&gt;&lt;wsp:rsid wsp:val=&quot;00B21950&quot;/&gt;&lt;wsp:rsid wsp:val=&quot;00B21973&quot;/&gt;&lt;wsp:rsid wsp:val=&quot;00B2242C&quot;/&gt;&lt;wsp:rsid wsp:val=&quot;00B22909&quot;/&gt;&lt;wsp:rsid wsp:val=&quot;00B22A56&quot;/&gt;&lt;wsp:rsid wsp:val=&quot;00B2324A&quot;/&gt;&lt;wsp:rsid wsp:val=&quot;00B239DC&quot;/&gt;&lt;wsp:rsid wsp:val=&quot;00B24835&quot;/&gt;&lt;wsp:rsid wsp:val=&quot;00B24B1B&quot;/&gt;&lt;wsp:rsid wsp:val=&quot;00B24BB6&quot;/&gt;&lt;wsp:rsid wsp:val=&quot;00B25770&quot;/&gt;&lt;wsp:rsid wsp:val=&quot;00B25F95&quot;/&gt;&lt;wsp:rsid wsp:val=&quot;00B2651B&quot;/&gt;&lt;wsp:rsid wsp:val=&quot;00B27359&quot;/&gt;&lt;wsp:rsid wsp:val=&quot;00B27AFA&quot;/&gt;&lt;wsp:rsid wsp:val=&quot;00B30CBC&quot;/&gt;&lt;wsp:rsid wsp:val=&quot;00B31E96&quot;/&gt;&lt;wsp:rsid wsp:val=&quot;00B324C4&quot;/&gt;&lt;wsp:rsid wsp:val=&quot;00B327B9&quot;/&gt;&lt;wsp:rsid wsp:val=&quot;00B32F28&quot;/&gt;&lt;wsp:rsid wsp:val=&quot;00B3306D&quot;/&gt;&lt;wsp:rsid wsp:val=&quot;00B33566&quot;/&gt;&lt;wsp:rsid wsp:val=&quot;00B341D8&quot;/&gt;&lt;wsp:rsid wsp:val=&quot;00B34417&quot;/&gt;&lt;wsp:rsid wsp:val=&quot;00B345CA&quot;/&gt;&lt;wsp:rsid wsp:val=&quot;00B34638&quot;/&gt;&lt;wsp:rsid wsp:val=&quot;00B346C5&quot;/&gt;&lt;wsp:rsid wsp:val=&quot;00B3470E&quot;/&gt;&lt;wsp:rsid wsp:val=&quot;00B35878&quot;/&gt;&lt;wsp:rsid wsp:val=&quot;00B369F0&quot;/&gt;&lt;wsp:rsid wsp:val=&quot;00B37BB4&quot;/&gt;&lt;wsp:rsid wsp:val=&quot;00B37D54&quot;/&gt;&lt;wsp:rsid wsp:val=&quot;00B40366&quot;/&gt;&lt;wsp:rsid wsp:val=&quot;00B40724&quot;/&gt;&lt;wsp:rsid wsp:val=&quot;00B41E7F&quot;/&gt;&lt;wsp:rsid wsp:val=&quot;00B42216&quot;/&gt;&lt;wsp:rsid wsp:val=&quot;00B43DB6&quot;/&gt;&lt;wsp:rsid wsp:val=&quot;00B4413F&quot;/&gt;&lt;wsp:rsid wsp:val=&quot;00B4415F&quot;/&gt;&lt;wsp:rsid wsp:val=&quot;00B44612&quot;/&gt;&lt;wsp:rsid wsp:val=&quot;00B446D3&quot;/&gt;&lt;wsp:rsid wsp:val=&quot;00B45233&quot;/&gt;&lt;wsp:rsid wsp:val=&quot;00B45F57&quot;/&gt;&lt;wsp:rsid wsp:val=&quot;00B46FB0&quot;/&gt;&lt;wsp:rsid wsp:val=&quot;00B471EA&quot;/&gt;&lt;wsp:rsid wsp:val=&quot;00B477EF&quot;/&gt;&lt;wsp:rsid wsp:val=&quot;00B47E3C&quot;/&gt;&lt;wsp:rsid wsp:val=&quot;00B502C8&quot;/&gt;&lt;wsp:rsid wsp:val=&quot;00B5042B&quot;/&gt;&lt;wsp:rsid wsp:val=&quot;00B50591&quot;/&gt;&lt;wsp:rsid wsp:val=&quot;00B5077D&quot;/&gt;&lt;wsp:rsid wsp:val=&quot;00B51B82&quot;/&gt;&lt;wsp:rsid wsp:val=&quot;00B51B9A&quot;/&gt;&lt;wsp:rsid wsp:val=&quot;00B51D8F&quot;/&gt;&lt;wsp:rsid wsp:val=&quot;00B52643&quot;/&gt;&lt;wsp:rsid wsp:val=&quot;00B537AA&quot;/&gt;&lt;wsp:rsid wsp:val=&quot;00B53BE5&quot;/&gt;&lt;wsp:rsid wsp:val=&quot;00B55535&quot;/&gt;&lt;wsp:rsid wsp:val=&quot;00B55D77&quot;/&gt;&lt;wsp:rsid wsp:val=&quot;00B5612B&quot;/&gt;&lt;wsp:rsid wsp:val=&quot;00B56838&quot;/&gt;&lt;wsp:rsid wsp:val=&quot;00B57463&quot;/&gt;&lt;wsp:rsid wsp:val=&quot;00B574D9&quot;/&gt;&lt;wsp:rsid wsp:val=&quot;00B60872&quot;/&gt;&lt;wsp:rsid wsp:val=&quot;00B60996&quot;/&gt;&lt;wsp:rsid wsp:val=&quot;00B612A1&quot;/&gt;&lt;wsp:rsid wsp:val=&quot;00B62C01&quot;/&gt;&lt;wsp:rsid wsp:val=&quot;00B63609&quot;/&gt;&lt;wsp:rsid wsp:val=&quot;00B642CF&quot;/&gt;&lt;wsp:rsid wsp:val=&quot;00B65844&quot;/&gt;&lt;wsp:rsid wsp:val=&quot;00B65B9C&quot;/&gt;&lt;wsp:rsid wsp:val=&quot;00B6707C&quot;/&gt;&lt;wsp:rsid wsp:val=&quot;00B67791&quot;/&gt;&lt;wsp:rsid wsp:val=&quot;00B67A73&quot;/&gt;&lt;wsp:rsid wsp:val=&quot;00B706FA&quot;/&gt;&lt;wsp:rsid wsp:val=&quot;00B70CD5&quot;/&gt;&lt;wsp:rsid wsp:val=&quot;00B71AEC&quot;/&gt;&lt;wsp:rsid wsp:val=&quot;00B71F71&quot;/&gt;&lt;wsp:rsid wsp:val=&quot;00B721F8&quot;/&gt;&lt;wsp:rsid wsp:val=&quot;00B722FC&quot;/&gt;&lt;wsp:rsid wsp:val=&quot;00B72517&quot;/&gt;&lt;wsp:rsid wsp:val=&quot;00B72591&quot;/&gt;&lt;wsp:rsid wsp:val=&quot;00B72761&quot;/&gt;&lt;wsp:rsid wsp:val=&quot;00B73B05&quot;/&gt;&lt;wsp:rsid wsp:val=&quot;00B74008&quot;/&gt;&lt;wsp:rsid wsp:val=&quot;00B740FA&quot;/&gt;&lt;wsp:rsid wsp:val=&quot;00B74E34&quot;/&gt;&lt;wsp:rsid wsp:val=&quot;00B754E7&quot;/&gt;&lt;wsp:rsid wsp:val=&quot;00B76A4D&quot;/&gt;&lt;wsp:rsid wsp:val=&quot;00B77574&quot;/&gt;&lt;wsp:rsid wsp:val=&quot;00B775F1&quot;/&gt;&lt;wsp:rsid wsp:val=&quot;00B77F9A&quot;/&gt;&lt;wsp:rsid wsp:val=&quot;00B80000&quot;/&gt;&lt;wsp:rsid wsp:val=&quot;00B802CD&quot;/&gt;&lt;wsp:rsid wsp:val=&quot;00B803CA&quot;/&gt;&lt;wsp:rsid wsp:val=&quot;00B814CD&quot;/&gt;&lt;wsp:rsid wsp:val=&quot;00B81E3D&quot;/&gt;&lt;wsp:rsid wsp:val=&quot;00B836C7&quot;/&gt;&lt;wsp:rsid wsp:val=&quot;00B8381B&quot;/&gt;&lt;wsp:rsid wsp:val=&quot;00B83A63&quot;/&gt;&lt;wsp:rsid wsp:val=&quot;00B83D1B&quot;/&gt;&lt;wsp:rsid wsp:val=&quot;00B83F03&quot;/&gt;&lt;wsp:rsid wsp:val=&quot;00B84439&quot;/&gt;&lt;wsp:rsid wsp:val=&quot;00B84E8E&quot;/&gt;&lt;wsp:rsid wsp:val=&quot;00B85E72&quot;/&gt;&lt;wsp:rsid wsp:val=&quot;00B85EC0&quot;/&gt;&lt;wsp:rsid wsp:val=&quot;00B861F5&quot;/&gt;&lt;wsp:rsid wsp:val=&quot;00B8689A&quot;/&gt;&lt;wsp:rsid wsp:val=&quot;00B86E55&quot;/&gt;&lt;wsp:rsid wsp:val=&quot;00B87DF0&quot;/&gt;&lt;wsp:rsid wsp:val=&quot;00B901F8&quot;/&gt;&lt;wsp:rsid wsp:val=&quot;00B92167&quot;/&gt;&lt;wsp:rsid wsp:val=&quot;00B92346&quot;/&gt;&lt;wsp:rsid wsp:val=&quot;00B92687&quot;/&gt;&lt;wsp:rsid wsp:val=&quot;00B92E71&quot;/&gt;&lt;wsp:rsid wsp:val=&quot;00B92F12&quot;/&gt;&lt;wsp:rsid wsp:val=&quot;00B93235&quot;/&gt;&lt;wsp:rsid wsp:val=&quot;00B936E0&quot;/&gt;&lt;wsp:rsid wsp:val=&quot;00B94C7B&quot;/&gt;&lt;wsp:rsid wsp:val=&quot;00B952B1&quot;/&gt;&lt;wsp:rsid wsp:val=&quot;00B95442&quot;/&gt;&lt;wsp:rsid wsp:val=&quot;00B95BA5&quot;/&gt;&lt;wsp:rsid wsp:val=&quot;00B95EB1&quot;/&gt;&lt;wsp:rsid wsp:val=&quot;00B9619A&quot;/&gt;&lt;wsp:rsid wsp:val=&quot;00B968B3&quot;/&gt;&lt;wsp:rsid wsp:val=&quot;00B972C9&quot;/&gt;&lt;wsp:rsid wsp:val=&quot;00B973E1&quot;/&gt;&lt;wsp:rsid wsp:val=&quot;00B97F52&quot;/&gt;&lt;wsp:rsid wsp:val=&quot;00BA0F53&quot;/&gt;&lt;wsp:rsid wsp:val=&quot;00BA14CD&quot;/&gt;&lt;wsp:rsid wsp:val=&quot;00BA212B&quot;/&gt;&lt;wsp:rsid wsp:val=&quot;00BA2638&quot;/&gt;&lt;wsp:rsid wsp:val=&quot;00BA27D5&quot;/&gt;&lt;wsp:rsid wsp:val=&quot;00BA404E&quot;/&gt;&lt;wsp:rsid wsp:val=&quot;00BA42FE&quot;/&gt;&lt;wsp:rsid wsp:val=&quot;00BA4A13&quot;/&gt;&lt;wsp:rsid wsp:val=&quot;00BA4E4B&quot;/&gt;&lt;wsp:rsid wsp:val=&quot;00BA4FFF&quot;/&gt;&lt;wsp:rsid wsp:val=&quot;00BA55DF&quot;/&gt;&lt;wsp:rsid wsp:val=&quot;00BA5AB6&quot;/&gt;&lt;wsp:rsid wsp:val=&quot;00BA5DA8&quot;/&gt;&lt;wsp:rsid wsp:val=&quot;00BA61DE&quot;/&gt;&lt;wsp:rsid wsp:val=&quot;00BA7B69&quot;/&gt;&lt;wsp:rsid wsp:val=&quot;00BB0427&quot;/&gt;&lt;wsp:rsid wsp:val=&quot;00BB0C29&quot;/&gt;&lt;wsp:rsid wsp:val=&quot;00BB20B5&quot;/&gt;&lt;wsp:rsid wsp:val=&quot;00BB2951&quot;/&gt;&lt;wsp:rsid wsp:val=&quot;00BB2DF2&quot;/&gt;&lt;wsp:rsid wsp:val=&quot;00BB33BF&quot;/&gt;&lt;wsp:rsid wsp:val=&quot;00BB3522&quot;/&gt;&lt;wsp:rsid wsp:val=&quot;00BB360C&quot;/&gt;&lt;wsp:rsid wsp:val=&quot;00BB4239&quot;/&gt;&lt;wsp:rsid wsp:val=&quot;00BB429E&quot;/&gt;&lt;wsp:rsid wsp:val=&quot;00BB53D1&quot;/&gt;&lt;wsp:rsid wsp:val=&quot;00BB634A&quot;/&gt;&lt;wsp:rsid wsp:val=&quot;00BB6E5D&quot;/&gt;&lt;wsp:rsid wsp:val=&quot;00BB707A&quot;/&gt;&lt;wsp:rsid wsp:val=&quot;00BB730E&quot;/&gt;&lt;wsp:rsid wsp:val=&quot;00BB7BE5&quot;/&gt;&lt;wsp:rsid wsp:val=&quot;00BC0011&quot;/&gt;&lt;wsp:rsid wsp:val=&quot;00BC0751&quot;/&gt;&lt;wsp:rsid wsp:val=&quot;00BC0F40&quot;/&gt;&lt;wsp:rsid wsp:val=&quot;00BC10FE&quot;/&gt;&lt;wsp:rsid wsp:val=&quot;00BC17EF&quot;/&gt;&lt;wsp:rsid wsp:val=&quot;00BC2912&quot;/&gt;&lt;wsp:rsid wsp:val=&quot;00BC2A75&quot;/&gt;&lt;wsp:rsid wsp:val=&quot;00BC32C2&quot;/&gt;&lt;wsp:rsid wsp:val=&quot;00BC37DB&quot;/&gt;&lt;wsp:rsid wsp:val=&quot;00BC42BF&quot;/&gt;&lt;wsp:rsid wsp:val=&quot;00BC45CA&quot;/&gt;&lt;wsp:rsid wsp:val=&quot;00BC476E&quot;/&gt;&lt;wsp:rsid wsp:val=&quot;00BC493D&quot;/&gt;&lt;wsp:rsid wsp:val=&quot;00BC5506&quot;/&gt;&lt;wsp:rsid wsp:val=&quot;00BC5C18&quot;/&gt;&lt;wsp:rsid wsp:val=&quot;00BC61DB&quot;/&gt;&lt;wsp:rsid wsp:val=&quot;00BC68E6&quot;/&gt;&lt;wsp:rsid wsp:val=&quot;00BC6958&quot;/&gt;&lt;wsp:rsid wsp:val=&quot;00BC6B84&quot;/&gt;&lt;wsp:rsid wsp:val=&quot;00BD0CD1&quot;/&gt;&lt;wsp:rsid wsp:val=&quot;00BD198F&quot;/&gt;&lt;wsp:rsid wsp:val=&quot;00BD2340&quot;/&gt;&lt;wsp:rsid wsp:val=&quot;00BD2872&quot;/&gt;&lt;wsp:rsid wsp:val=&quot;00BD2C58&quot;/&gt;&lt;wsp:rsid wsp:val=&quot;00BD2D77&quot;/&gt;&lt;wsp:rsid wsp:val=&quot;00BD2E1C&quot;/&gt;&lt;wsp:rsid wsp:val=&quot;00BD416E&quot;/&gt;&lt;wsp:rsid wsp:val=&quot;00BD46F7&quot;/&gt;&lt;wsp:rsid wsp:val=&quot;00BD5D2D&quot;/&gt;&lt;wsp:rsid wsp:val=&quot;00BD74D8&quot;/&gt;&lt;wsp:rsid wsp:val=&quot;00BD794D&quot;/&gt;&lt;wsp:rsid wsp:val=&quot;00BD7C04&quot;/&gt;&lt;wsp:rsid wsp:val=&quot;00BE04DE&quot;/&gt;&lt;wsp:rsid wsp:val=&quot;00BE1124&quot;/&gt;&lt;wsp:rsid wsp:val=&quot;00BE12EB&quot;/&gt;&lt;wsp:rsid wsp:val=&quot;00BE2E31&quot;/&gt;&lt;wsp:rsid wsp:val=&quot;00BE2EA7&quot;/&gt;&lt;wsp:rsid wsp:val=&quot;00BE46E8&quot;/&gt;&lt;wsp:rsid wsp:val=&quot;00BE49C3&quot;/&gt;&lt;wsp:rsid wsp:val=&quot;00BE49DD&quot;/&gt;&lt;wsp:rsid wsp:val=&quot;00BE62A1&quot;/&gt;&lt;wsp:rsid wsp:val=&quot;00BE69D4&quot;/&gt;&lt;wsp:rsid wsp:val=&quot;00BE7091&quot;/&gt;&lt;wsp:rsid wsp:val=&quot;00BE715A&quot;/&gt;&lt;wsp:rsid wsp:val=&quot;00BE734D&quot;/&gt;&lt;wsp:rsid wsp:val=&quot;00BE74CD&quot;/&gt;&lt;wsp:rsid wsp:val=&quot;00BE7AC4&quot;/&gt;&lt;wsp:rsid wsp:val=&quot;00BE7F99&quot;/&gt;&lt;wsp:rsid wsp:val=&quot;00BF00B7&quot;/&gt;&lt;wsp:rsid wsp:val=&quot;00BF0552&quot;/&gt;&lt;wsp:rsid wsp:val=&quot;00BF0BB1&quot;/&gt;&lt;wsp:rsid wsp:val=&quot;00BF0D32&quot;/&gt;&lt;wsp:rsid wsp:val=&quot;00BF146D&quot;/&gt;&lt;wsp:rsid wsp:val=&quot;00BF2F7C&quot;/&gt;&lt;wsp:rsid wsp:val=&quot;00BF36E2&quot;/&gt;&lt;wsp:rsid wsp:val=&quot;00BF3ED3&quot;/&gt;&lt;wsp:rsid wsp:val=&quot;00BF48A6&quot;/&gt;&lt;wsp:rsid wsp:val=&quot;00BF48CB&quot;/&gt;&lt;wsp:rsid wsp:val=&quot;00BF4B4C&quot;/&gt;&lt;wsp:rsid wsp:val=&quot;00BF5410&quot;/&gt;&lt;wsp:rsid wsp:val=&quot;00BF5521&quot;/&gt;&lt;wsp:rsid wsp:val=&quot;00BF5A0E&quot;/&gt;&lt;wsp:rsid wsp:val=&quot;00C01152&quot;/&gt;&lt;wsp:rsid wsp:val=&quot;00C02345&quot;/&gt;&lt;wsp:rsid wsp:val=&quot;00C0277C&quot;/&gt;&lt;wsp:rsid wsp:val=&quot;00C03747&quot;/&gt;&lt;wsp:rsid wsp:val=&quot;00C03F96&quot;/&gt;&lt;wsp:rsid wsp:val=&quot;00C0471F&quot;/&gt;&lt;wsp:rsid wsp:val=&quot;00C04D10&quot;/&gt;&lt;wsp:rsid wsp:val=&quot;00C04F48&quot;/&gt;&lt;wsp:rsid wsp:val=&quot;00C06E68&quot;/&gt;&lt;wsp:rsid wsp:val=&quot;00C079BA&quot;/&gt;&lt;wsp:rsid wsp:val=&quot;00C07D0A&quot;/&gt;&lt;wsp:rsid wsp:val=&quot;00C07D3A&quot;/&gt;&lt;wsp:rsid wsp:val=&quot;00C11E51&quot;/&gt;&lt;wsp:rsid wsp:val=&quot;00C12F87&quot;/&gt;&lt;wsp:rsid wsp:val=&quot;00C12FF1&quot;/&gt;&lt;wsp:rsid wsp:val=&quot;00C150FE&quot;/&gt;&lt;wsp:rsid wsp:val=&quot;00C156C0&quot;/&gt;&lt;wsp:rsid wsp:val=&quot;00C15C4E&quot;/&gt;&lt;wsp:rsid wsp:val=&quot;00C17741&quot;/&gt;&lt;wsp:rsid wsp:val=&quot;00C17BA6&quot;/&gt;&lt;wsp:rsid wsp:val=&quot;00C2097D&quot;/&gt;&lt;wsp:rsid wsp:val=&quot;00C21368&quot;/&gt;&lt;wsp:rsid wsp:val=&quot;00C21498&quot;/&gt;&lt;wsp:rsid wsp:val=&quot;00C21EC4&quot;/&gt;&lt;wsp:rsid wsp:val=&quot;00C21EDD&quot;/&gt;&lt;wsp:rsid wsp:val=&quot;00C22317&quot;/&gt;&lt;wsp:rsid wsp:val=&quot;00C22881&quot;/&gt;&lt;wsp:rsid wsp:val=&quot;00C22BB5&quot;/&gt;&lt;wsp:rsid wsp:val=&quot;00C2481F&quot;/&gt;&lt;wsp:rsid wsp:val=&quot;00C25715&quot;/&gt;&lt;wsp:rsid wsp:val=&quot;00C26027&quot;/&gt;&lt;wsp:rsid wsp:val=&quot;00C270ED&quot;/&gt;&lt;wsp:rsid wsp:val=&quot;00C277BA&quot;/&gt;&lt;wsp:rsid wsp:val=&quot;00C30056&quot;/&gt;&lt;wsp:rsid wsp:val=&quot;00C308C0&quot;/&gt;&lt;wsp:rsid wsp:val=&quot;00C30CF4&quot;/&gt;&lt;wsp:rsid wsp:val=&quot;00C31A5A&quot;/&gt;&lt;wsp:rsid wsp:val=&quot;00C31AC0&quot;/&gt;&lt;wsp:rsid wsp:val=&quot;00C32913&quot;/&gt;&lt;wsp:rsid wsp:val=&quot;00C33744&quot;/&gt;&lt;wsp:rsid wsp:val=&quot;00C342C7&quot;/&gt;&lt;wsp:rsid wsp:val=&quot;00C34989&quot;/&gt;&lt;wsp:rsid wsp:val=&quot;00C35362&quot;/&gt;&lt;wsp:rsid wsp:val=&quot;00C35C11&quot;/&gt;&lt;wsp:rsid wsp:val=&quot;00C35D8B&quot;/&gt;&lt;wsp:rsid wsp:val=&quot;00C35DD7&quot;/&gt;&lt;wsp:rsid wsp:val=&quot;00C36028&quot;/&gt;&lt;wsp:rsid wsp:val=&quot;00C36449&quot;/&gt;&lt;wsp:rsid wsp:val=&quot;00C370C5&quot;/&gt;&lt;wsp:rsid wsp:val=&quot;00C379AA&quot;/&gt;&lt;wsp:rsid wsp:val=&quot;00C37DDF&quot;/&gt;&lt;wsp:rsid wsp:val=&quot;00C40ACA&quot;/&gt;&lt;wsp:rsid wsp:val=&quot;00C40D11&quot;/&gt;&lt;wsp:rsid wsp:val=&quot;00C40FC8&quot;/&gt;&lt;wsp:rsid wsp:val=&quot;00C4196D&quot;/&gt;&lt;wsp:rsid wsp:val=&quot;00C41CBC&quot;/&gt;&lt;wsp:rsid wsp:val=&quot;00C43F59&quot;/&gt;&lt;wsp:rsid wsp:val=&quot;00C43FC7&quot;/&gt;&lt;wsp:rsid wsp:val=&quot;00C44362&quot;/&gt;&lt;wsp:rsid wsp:val=&quot;00C45134&quot;/&gt;&lt;wsp:rsid wsp:val=&quot;00C45CBC&quot;/&gt;&lt;wsp:rsid wsp:val=&quot;00C46052&quot;/&gt;&lt;wsp:rsid wsp:val=&quot;00C461E6&quot;/&gt;&lt;wsp:rsid wsp:val=&quot;00C46BCD&quot;/&gt;&lt;wsp:rsid wsp:val=&quot;00C47C4A&quot;/&gt;&lt;wsp:rsid wsp:val=&quot;00C5039E&quot;/&gt;&lt;wsp:rsid wsp:val=&quot;00C52896&quot;/&gt;&lt;wsp:rsid wsp:val=&quot;00C52FEA&quot;/&gt;&lt;wsp:rsid wsp:val=&quot;00C538D5&quot;/&gt;&lt;wsp:rsid wsp:val=&quot;00C53E51&quot;/&gt;&lt;wsp:rsid wsp:val=&quot;00C5404E&quot;/&gt;&lt;wsp:rsid wsp:val=&quot;00C54F13&quot;/&gt;&lt;wsp:rsid wsp:val=&quot;00C54FA4&quot;/&gt;&lt;wsp:rsid wsp:val=&quot;00C55FCE&quot;/&gt;&lt;wsp:rsid wsp:val=&quot;00C5620E&quot;/&gt;&lt;wsp:rsid wsp:val=&quot;00C56245&quot;/&gt;&lt;wsp:rsid wsp:val=&quot;00C5630B&quot;/&gt;&lt;wsp:rsid wsp:val=&quot;00C564B1&quot;/&gt;&lt;wsp:rsid wsp:val=&quot;00C567BB&quot;/&gt;&lt;wsp:rsid wsp:val=&quot;00C57513&quot;/&gt;&lt;wsp:rsid wsp:val=&quot;00C57CA0&quot;/&gt;&lt;wsp:rsid wsp:val=&quot;00C60EE8&quot;/&gt;&lt;wsp:rsid wsp:val=&quot;00C61792&quot;/&gt;&lt;wsp:rsid wsp:val=&quot;00C61DF9&quot;/&gt;&lt;wsp:rsid wsp:val=&quot;00C61FD8&quot;/&gt;&lt;wsp:rsid wsp:val=&quot;00C62A64&quot;/&gt;&lt;wsp:rsid wsp:val=&quot;00C62F70&quot;/&gt;&lt;wsp:rsid wsp:val=&quot;00C6300E&quot;/&gt;&lt;wsp:rsid wsp:val=&quot;00C63633&quot;/&gt;&lt;wsp:rsid wsp:val=&quot;00C63BC5&quot;/&gt;&lt;wsp:rsid wsp:val=&quot;00C63BCA&quot;/&gt;&lt;wsp:rsid wsp:val=&quot;00C64A0D&quot;/&gt;&lt;wsp:rsid wsp:val=&quot;00C65027&quot;/&gt;&lt;wsp:rsid wsp:val=&quot;00C657DF&quot;/&gt;&lt;wsp:rsid wsp:val=&quot;00C65869&quot;/&gt;&lt;wsp:rsid wsp:val=&quot;00C665EE&quot;/&gt;&lt;wsp:rsid wsp:val=&quot;00C6731E&quot;/&gt;&lt;wsp:rsid wsp:val=&quot;00C700AF&quot;/&gt;&lt;wsp:rsid wsp:val=&quot;00C71A0A&quot;/&gt;&lt;wsp:rsid wsp:val=&quot;00C724F8&quot;/&gt;&lt;wsp:rsid wsp:val=&quot;00C7297F&quot;/&gt;&lt;wsp:rsid wsp:val=&quot;00C73000&quot;/&gt;&lt;wsp:rsid wsp:val=&quot;00C74CC5&quot;/&gt;&lt;wsp:rsid wsp:val=&quot;00C74CD8&quot;/&gt;&lt;wsp:rsid wsp:val=&quot;00C7510F&quot;/&gt;&lt;wsp:rsid wsp:val=&quot;00C75689&quot;/&gt;&lt;wsp:rsid wsp:val=&quot;00C77639&quot;/&gt;&lt;wsp:rsid wsp:val=&quot;00C77B1E&quot;/&gt;&lt;wsp:rsid wsp:val=&quot;00C77D27&quot;/&gt;&lt;wsp:rsid wsp:val=&quot;00C8006B&quot;/&gt;&lt;wsp:rsid wsp:val=&quot;00C812C0&quot;/&gt;&lt;wsp:rsid wsp:val=&quot;00C81E94&quot;/&gt;&lt;wsp:rsid wsp:val=&quot;00C81F73&quot;/&gt;&lt;wsp:rsid wsp:val=&quot;00C81FD8&quot;/&gt;&lt;wsp:rsid wsp:val=&quot;00C8214A&quot;/&gt;&lt;wsp:rsid wsp:val=&quot;00C82F7C&quot;/&gt;&lt;wsp:rsid wsp:val=&quot;00C82FB4&quot;/&gt;&lt;wsp:rsid wsp:val=&quot;00C833F3&quot;/&gt;&lt;wsp:rsid wsp:val=&quot;00C837CF&quot;/&gt;&lt;wsp:rsid wsp:val=&quot;00C85412&quot;/&gt;&lt;wsp:rsid wsp:val=&quot;00C857BC&quot;/&gt;&lt;wsp:rsid wsp:val=&quot;00C85AE7&quot;/&gt;&lt;wsp:rsid wsp:val=&quot;00C86CC3&quot;/&gt;&lt;wsp:rsid wsp:val=&quot;00C87A88&quot;/&gt;&lt;wsp:rsid wsp:val=&quot;00C87F7C&quot;/&gt;&lt;wsp:rsid wsp:val=&quot;00C901C6&quot;/&gt;&lt;wsp:rsid wsp:val=&quot;00C9043E&quot;/&gt;&lt;wsp:rsid wsp:val=&quot;00C90738&quot;/&gt;&lt;wsp:rsid wsp:val=&quot;00C90A66&quot;/&gt;&lt;wsp:rsid wsp:val=&quot;00C92314&quot;/&gt;&lt;wsp:rsid wsp:val=&quot;00C92C8D&quot;/&gt;&lt;wsp:rsid wsp:val=&quot;00C92EE5&quot;/&gt;&lt;wsp:rsid wsp:val=&quot;00C93F3C&quot;/&gt;&lt;wsp:rsid wsp:val=&quot;00C94BBF&quot;/&gt;&lt;wsp:rsid wsp:val=&quot;00C9590D&quot;/&gt;&lt;wsp:rsid wsp:val=&quot;00C96622&quot;/&gt;&lt;wsp:rsid wsp:val=&quot;00CA122F&quot;/&gt;&lt;wsp:rsid wsp:val=&quot;00CA1C29&quot;/&gt;&lt;wsp:rsid wsp:val=&quot;00CA1C4D&quot;/&gt;&lt;wsp:rsid wsp:val=&quot;00CA2EEC&quot;/&gt;&lt;wsp:rsid wsp:val=&quot;00CA3A7C&quot;/&gt;&lt;wsp:rsid wsp:val=&quot;00CA3AAC&quot;/&gt;&lt;wsp:rsid wsp:val=&quot;00CA4E47&quot;/&gt;&lt;wsp:rsid wsp:val=&quot;00CA513F&quot;/&gt;&lt;wsp:rsid wsp:val=&quot;00CA5EAA&quot;/&gt;&lt;wsp:rsid wsp:val=&quot;00CA7E54&quot;/&gt;&lt;wsp:rsid wsp:val=&quot;00CB07CA&quot;/&gt;&lt;wsp:rsid wsp:val=&quot;00CB0963&quot;/&gt;&lt;wsp:rsid wsp:val=&quot;00CB13E0&quot;/&gt;&lt;wsp:rsid wsp:val=&quot;00CB2D1F&quot;/&gt;&lt;wsp:rsid wsp:val=&quot;00CB3ED8&quot;/&gt;&lt;wsp:rsid wsp:val=&quot;00CB3F87&quot;/&gt;&lt;wsp:rsid wsp:val=&quot;00CB4539&quot;/&gt;&lt;wsp:rsid wsp:val=&quot;00CB54D8&quot;/&gt;&lt;wsp:rsid wsp:val=&quot;00CB5A33&quot;/&gt;&lt;wsp:rsid wsp:val=&quot;00CB7E85&quot;/&gt;&lt;wsp:rsid wsp:val=&quot;00CC08A2&quot;/&gt;&lt;wsp:rsid wsp:val=&quot;00CC115D&quot;/&gt;&lt;wsp:rsid wsp:val=&quot;00CC30C6&quot;/&gt;&lt;wsp:rsid wsp:val=&quot;00CC468B&quot;/&gt;&lt;wsp:rsid wsp:val=&quot;00CC4ACC&quot;/&gt;&lt;wsp:rsid wsp:val=&quot;00CC4B30&quot;/&gt;&lt;wsp:rsid wsp:val=&quot;00CC6495&quot;/&gt;&lt;wsp:rsid wsp:val=&quot;00CC6DE7&quot;/&gt;&lt;wsp:rsid wsp:val=&quot;00CC766B&quot;/&gt;&lt;wsp:rsid wsp:val=&quot;00CD045C&quot;/&gt;&lt;wsp:rsid wsp:val=&quot;00CD180E&quot;/&gt;&lt;wsp:rsid wsp:val=&quot;00CD277E&quot;/&gt;&lt;wsp:rsid wsp:val=&quot;00CD2E96&quot;/&gt;&lt;wsp:rsid wsp:val=&quot;00CD3167&quot;/&gt;&lt;wsp:rsid wsp:val=&quot;00CD3B28&quot;/&gt;&lt;wsp:rsid wsp:val=&quot;00CD3EC1&quot;/&gt;&lt;wsp:rsid wsp:val=&quot;00CD4527&quot;/&gt;&lt;wsp:rsid wsp:val=&quot;00CD5E6C&quot;/&gt;&lt;wsp:rsid wsp:val=&quot;00CD6092&quot;/&gt;&lt;wsp:rsid wsp:val=&quot;00CD61C3&quot;/&gt;&lt;wsp:rsid wsp:val=&quot;00CD6736&quot;/&gt;&lt;wsp:rsid wsp:val=&quot;00CD68CB&quot;/&gt;&lt;wsp:rsid wsp:val=&quot;00CD6CF4&quot;/&gt;&lt;wsp:rsid wsp:val=&quot;00CD78E2&quot;/&gt;&lt;wsp:rsid wsp:val=&quot;00CE01D4&quot;/&gt;&lt;wsp:rsid wsp:val=&quot;00CE020A&quot;/&gt;&lt;wsp:rsid wsp:val=&quot;00CE15F9&quot;/&gt;&lt;wsp:rsid wsp:val=&quot;00CE17CA&quot;/&gt;&lt;wsp:rsid wsp:val=&quot;00CE1B19&quot;/&gt;&lt;wsp:rsid wsp:val=&quot;00CE2511&quot;/&gt;&lt;wsp:rsid wsp:val=&quot;00CE379C&quot;/&gt;&lt;wsp:rsid wsp:val=&quot;00CE3846&quot;/&gt;&lt;wsp:rsid wsp:val=&quot;00CE476D&quot;/&gt;&lt;wsp:rsid wsp:val=&quot;00CE5B57&quot;/&gt;&lt;wsp:rsid wsp:val=&quot;00CE5EC1&quot;/&gt;&lt;wsp:rsid wsp:val=&quot;00CE5EC7&quot;/&gt;&lt;wsp:rsid wsp:val=&quot;00CE71D0&quot;/&gt;&lt;wsp:rsid wsp:val=&quot;00CE728E&quot;/&gt;&lt;wsp:rsid wsp:val=&quot;00CE77A0&quot;/&gt;&lt;wsp:rsid wsp:val=&quot;00CF0F1B&quot;/&gt;&lt;wsp:rsid wsp:val=&quot;00CF1BA5&quot;/&gt;&lt;wsp:rsid wsp:val=&quot;00CF2CC0&quot;/&gt;&lt;wsp:rsid wsp:val=&quot;00CF2FBB&quot;/&gt;&lt;wsp:rsid wsp:val=&quot;00CF3ADF&quot;/&gt;&lt;wsp:rsid wsp:val=&quot;00CF3B6E&quot;/&gt;&lt;wsp:rsid wsp:val=&quot;00CF3C3D&quot;/&gt;&lt;wsp:rsid wsp:val=&quot;00CF54D2&quot;/&gt;&lt;wsp:rsid wsp:val=&quot;00CF69DE&quot;/&gt;&lt;wsp:rsid wsp:val=&quot;00CF6EEE&quot;/&gt;&lt;wsp:rsid wsp:val=&quot;00CF7DF7&quot;/&gt;&lt;wsp:rsid wsp:val=&quot;00CF7E09&quot;/&gt;&lt;wsp:rsid wsp:val=&quot;00D02180&quot;/&gt;&lt;wsp:rsid wsp:val=&quot;00D02790&quot;/&gt;&lt;wsp:rsid wsp:val=&quot;00D042B3&quot;/&gt;&lt;wsp:rsid wsp:val=&quot;00D051DC&quot;/&gt;&lt;wsp:rsid wsp:val=&quot;00D05220&quot;/&gt;&lt;wsp:rsid wsp:val=&quot;00D06288&quot;/&gt;&lt;wsp:rsid wsp:val=&quot;00D06323&quot;/&gt;&lt;wsp:rsid wsp:val=&quot;00D067EA&quot;/&gt;&lt;wsp:rsid wsp:val=&quot;00D06D96&quot;/&gt;&lt;wsp:rsid wsp:val=&quot;00D07621&quot;/&gt;&lt;wsp:rsid wsp:val=&quot;00D07BF3&quot;/&gt;&lt;wsp:rsid wsp:val=&quot;00D101ED&quot;/&gt;&lt;wsp:rsid wsp:val=&quot;00D104CF&quot;/&gt;&lt;wsp:rsid wsp:val=&quot;00D10EDA&quot;/&gt;&lt;wsp:rsid wsp:val=&quot;00D120C5&quot;/&gt;&lt;wsp:rsid wsp:val=&quot;00D1220A&quot;/&gt;&lt;wsp:rsid wsp:val=&quot;00D126BB&quot;/&gt;&lt;wsp:rsid wsp:val=&quot;00D127B0&quot;/&gt;&lt;wsp:rsid wsp:val=&quot;00D13AED&quot;/&gt;&lt;wsp:rsid wsp:val=&quot;00D13F9F&quot;/&gt;&lt;wsp:rsid wsp:val=&quot;00D140F1&quot;/&gt;&lt;wsp:rsid wsp:val=&quot;00D144A9&quot;/&gt;&lt;wsp:rsid wsp:val=&quot;00D14868&quot;/&gt;&lt;wsp:rsid wsp:val=&quot;00D15F18&quot;/&gt;&lt;wsp:rsid wsp:val=&quot;00D175F4&quot;/&gt;&lt;wsp:rsid wsp:val=&quot;00D17F6C&quot;/&gt;&lt;wsp:rsid wsp:val=&quot;00D20039&quot;/&gt;&lt;wsp:rsid wsp:val=&quot;00D20CA3&quot;/&gt;&lt;wsp:rsid wsp:val=&quot;00D216A7&quot;/&gt;&lt;wsp:rsid wsp:val=&quot;00D21A04&quot;/&gt;&lt;wsp:rsid wsp:val=&quot;00D22310&quot;/&gt;&lt;wsp:rsid wsp:val=&quot;00D22CB1&quot;/&gt;&lt;wsp:rsid wsp:val=&quot;00D235CE&quot;/&gt;&lt;wsp:rsid wsp:val=&quot;00D23EC1&quot;/&gt;&lt;wsp:rsid wsp:val=&quot;00D2459E&quot;/&gt;&lt;wsp:rsid wsp:val=&quot;00D24F87&quot;/&gt;&lt;wsp:rsid wsp:val=&quot;00D25358&quot;/&gt;&lt;wsp:rsid wsp:val=&quot;00D25536&quot;/&gt;&lt;wsp:rsid wsp:val=&quot;00D2631F&quot;/&gt;&lt;wsp:rsid wsp:val=&quot;00D302FE&quot;/&gt;&lt;wsp:rsid wsp:val=&quot;00D30C98&quot;/&gt;&lt;wsp:rsid wsp:val=&quot;00D31257&quot;/&gt;&lt;wsp:rsid wsp:val=&quot;00D31504&quot;/&gt;&lt;wsp:rsid wsp:val=&quot;00D32951&quot;/&gt;&lt;wsp:rsid wsp:val=&quot;00D32F1E&quot;/&gt;&lt;wsp:rsid wsp:val=&quot;00D3311D&quot;/&gt;&lt;wsp:rsid wsp:val=&quot;00D3312B&quot;/&gt;&lt;wsp:rsid wsp:val=&quot;00D342E2&quot;/&gt;&lt;wsp:rsid wsp:val=&quot;00D34538&quot;/&gt;&lt;wsp:rsid wsp:val=&quot;00D34FD1&quot;/&gt;&lt;wsp:rsid wsp:val=&quot;00D36109&quot;/&gt;&lt;wsp:rsid wsp:val=&quot;00D36666&quot;/&gt;&lt;wsp:rsid wsp:val=&quot;00D372D6&quot;/&gt;&lt;wsp:rsid wsp:val=&quot;00D37D72&quot;/&gt;&lt;wsp:rsid wsp:val=&quot;00D40163&quot;/&gt;&lt;wsp:rsid wsp:val=&quot;00D40DAD&quot;/&gt;&lt;wsp:rsid wsp:val=&quot;00D418C6&quot;/&gt;&lt;wsp:rsid wsp:val=&quot;00D41B26&quot;/&gt;&lt;wsp:rsid wsp:val=&quot;00D43010&quot;/&gt;&lt;wsp:rsid wsp:val=&quot;00D43C52&quot;/&gt;&lt;wsp:rsid wsp:val=&quot;00D43F66&quot;/&gt;&lt;wsp:rsid wsp:val=&quot;00D44625&quot;/&gt;&lt;wsp:rsid wsp:val=&quot;00D45BA3&quot;/&gt;&lt;wsp:rsid wsp:val=&quot;00D45D23&quot;/&gt;&lt;wsp:rsid wsp:val=&quot;00D46B54&quot;/&gt;&lt;wsp:rsid wsp:val=&quot;00D46DDA&quot;/&gt;&lt;wsp:rsid wsp:val=&quot;00D50640&quot;/&gt;&lt;wsp:rsid wsp:val=&quot;00D510AD&quot;/&gt;&lt;wsp:rsid wsp:val=&quot;00D5181C&quot;/&gt;&lt;wsp:rsid wsp:val=&quot;00D52915&quot;/&gt;&lt;wsp:rsid wsp:val=&quot;00D53561&quot;/&gt;&lt;wsp:rsid wsp:val=&quot;00D53835&quot;/&gt;&lt;wsp:rsid wsp:val=&quot;00D53AA2&quot;/&gt;&lt;wsp:rsid wsp:val=&quot;00D54263&quot;/&gt;&lt;wsp:rsid wsp:val=&quot;00D547BA&quot;/&gt;&lt;wsp:rsid wsp:val=&quot;00D56448&quot;/&gt;&lt;wsp:rsid wsp:val=&quot;00D56BBD&quot;/&gt;&lt;wsp:rsid wsp:val=&quot;00D56D91&quot;/&gt;&lt;wsp:rsid wsp:val=&quot;00D56DB9&quot;/&gt;&lt;wsp:rsid wsp:val=&quot;00D57824&quot;/&gt;&lt;wsp:rsid wsp:val=&quot;00D57A39&quot;/&gt;&lt;wsp:rsid wsp:val=&quot;00D57F30&quot;/&gt;&lt;wsp:rsid wsp:val=&quot;00D60606&quot;/&gt;&lt;wsp:rsid wsp:val=&quot;00D607FA&quot;/&gt;&lt;wsp:rsid wsp:val=&quot;00D60C99&quot;/&gt;&lt;wsp:rsid wsp:val=&quot;00D610F7&quot;/&gt;&lt;wsp:rsid wsp:val=&quot;00D6159C&quot;/&gt;&lt;wsp:rsid wsp:val=&quot;00D6170A&quot;/&gt;&lt;wsp:rsid wsp:val=&quot;00D61B24&quot;/&gt;&lt;wsp:rsid wsp:val=&quot;00D62204&quot;/&gt;&lt;wsp:rsid wsp:val=&quot;00D6230F&quot;/&gt;&lt;wsp:rsid wsp:val=&quot;00D62852&quot;/&gt;&lt;wsp:rsid wsp:val=&quot;00D63712&quot;/&gt;&lt;wsp:rsid wsp:val=&quot;00D638AE&quot;/&gt;&lt;wsp:rsid wsp:val=&quot;00D63E61&quot;/&gt;&lt;wsp:rsid wsp:val=&quot;00D64017&quot;/&gt;&lt;wsp:rsid wsp:val=&quot;00D6436E&quot;/&gt;&lt;wsp:rsid wsp:val=&quot;00D64A3E&quot;/&gt;&lt;wsp:rsid wsp:val=&quot;00D65BA7&quot;/&gt;&lt;wsp:rsid wsp:val=&quot;00D6667C&quot;/&gt;&lt;wsp:rsid wsp:val=&quot;00D67430&quot;/&gt;&lt;wsp:rsid wsp:val=&quot;00D67BC2&quot;/&gt;&lt;wsp:rsid wsp:val=&quot;00D710F3&quot;/&gt;&lt;wsp:rsid wsp:val=&quot;00D71302&quot;/&gt;&lt;wsp:rsid wsp:val=&quot;00D7135C&quot;/&gt;&lt;wsp:rsid wsp:val=&quot;00D742A8&quot;/&gt;&lt;wsp:rsid wsp:val=&quot;00D74311&quot;/&gt;&lt;wsp:rsid wsp:val=&quot;00D744D0&quot;/&gt;&lt;wsp:rsid wsp:val=&quot;00D746EB&quot;/&gt;&lt;wsp:rsid wsp:val=&quot;00D7689D&quot;/&gt;&lt;wsp:rsid wsp:val=&quot;00D8083B&quot;/&gt;&lt;wsp:rsid wsp:val=&quot;00D809E2&quot;/&gt;&lt;wsp:rsid wsp:val=&quot;00D81183&quot;/&gt;&lt;wsp:rsid wsp:val=&quot;00D81206&quot;/&gt;&lt;wsp:rsid wsp:val=&quot;00D817C5&quot;/&gt;&lt;wsp:rsid wsp:val=&quot;00D81A72&quot;/&gt;&lt;wsp:rsid wsp:val=&quot;00D81E97&quot;/&gt;&lt;wsp:rsid wsp:val=&quot;00D82322&quot;/&gt;&lt;wsp:rsid wsp:val=&quot;00D82914&quot;/&gt;&lt;wsp:rsid wsp:val=&quot;00D83028&quot;/&gt;&lt;wsp:rsid wsp:val=&quot;00D8342F&quot;/&gt;&lt;wsp:rsid wsp:val=&quot;00D83B0A&quot;/&gt;&lt;wsp:rsid wsp:val=&quot;00D8489E&quot;/&gt;&lt;wsp:rsid wsp:val=&quot;00D84A33&quot;/&gt;&lt;wsp:rsid wsp:val=&quot;00D85D43&quot;/&gt;&lt;wsp:rsid wsp:val=&quot;00D86471&quot;/&gt;&lt;wsp:rsid wsp:val=&quot;00D86F55&quot;/&gt;&lt;wsp:rsid wsp:val=&quot;00D87EE8&quot;/&gt;&lt;wsp:rsid wsp:val=&quot;00D90AD0&quot;/&gt;&lt;wsp:rsid wsp:val=&quot;00D90BE7&quot;/&gt;&lt;wsp:rsid wsp:val=&quot;00D91D6D&quot;/&gt;&lt;wsp:rsid wsp:val=&quot;00D91F9D&quot;/&gt;&lt;wsp:rsid wsp:val=&quot;00D93863&quot;/&gt;&lt;wsp:rsid wsp:val=&quot;00D9399E&quot;/&gt;&lt;wsp:rsid wsp:val=&quot;00D9419D&quot;/&gt;&lt;wsp:rsid wsp:val=&quot;00D950AD&quot;/&gt;&lt;wsp:rsid wsp:val=&quot;00D951A9&quot;/&gt;&lt;wsp:rsid wsp:val=&quot;00D956A9&quot;/&gt;&lt;wsp:rsid wsp:val=&quot;00D95D17&quot;/&gt;&lt;wsp:rsid wsp:val=&quot;00D96102&quot;/&gt;&lt;wsp:rsid wsp:val=&quot;00D9655B&quot;/&gt;&lt;wsp:rsid wsp:val=&quot;00D96DDD&quot;/&gt;&lt;wsp:rsid wsp:val=&quot;00D974E9&quot;/&gt;&lt;wsp:rsid wsp:val=&quot;00D97C92&quot;/&gt;&lt;wsp:rsid wsp:val=&quot;00D97D4E&quot;/&gt;&lt;wsp:rsid wsp:val=&quot;00DA07AE&quot;/&gt;&lt;wsp:rsid wsp:val=&quot;00DA0D27&quot;/&gt;&lt;wsp:rsid wsp:val=&quot;00DA1AF8&quot;/&gt;&lt;wsp:rsid wsp:val=&quot;00DA1C33&quot;/&gt;&lt;wsp:rsid wsp:val=&quot;00DA2364&quot;/&gt;&lt;wsp:rsid wsp:val=&quot;00DA3481&quot;/&gt;&lt;wsp:rsid wsp:val=&quot;00DA3A2C&quot;/&gt;&lt;wsp:rsid wsp:val=&quot;00DA3BD2&quot;/&gt;&lt;wsp:rsid wsp:val=&quot;00DA54A2&quot;/&gt;&lt;wsp:rsid wsp:val=&quot;00DA6E32&quot;/&gt;&lt;wsp:rsid wsp:val=&quot;00DA79AA&quot;/&gt;&lt;wsp:rsid wsp:val=&quot;00DB00FD&quot;/&gt;&lt;wsp:rsid wsp:val=&quot;00DB0977&quot;/&gt;&lt;wsp:rsid wsp:val=&quot;00DB1483&quot;/&gt;&lt;wsp:rsid wsp:val=&quot;00DB1CB1&quot;/&gt;&lt;wsp:rsid wsp:val=&quot;00DB215C&quot;/&gt;&lt;wsp:rsid wsp:val=&quot;00DB2864&quot;/&gt;&lt;wsp:rsid wsp:val=&quot;00DB2D9C&quot;/&gt;&lt;wsp:rsid wsp:val=&quot;00DB33A7&quot;/&gt;&lt;wsp:rsid wsp:val=&quot;00DB37CE&quot;/&gt;&lt;wsp:rsid wsp:val=&quot;00DB4346&quot;/&gt;&lt;wsp:rsid wsp:val=&quot;00DB52C8&quot;/&gt;&lt;wsp:rsid wsp:val=&quot;00DB535A&quot;/&gt;&lt;wsp:rsid wsp:val=&quot;00DB59E4&quot;/&gt;&lt;wsp:rsid wsp:val=&quot;00DB5B19&quot;/&gt;&lt;wsp:rsid wsp:val=&quot;00DB5FF1&quot;/&gt;&lt;wsp:rsid wsp:val=&quot;00DB63D3&quot;/&gt;&lt;wsp:rsid wsp:val=&quot;00DB6407&quot;/&gt;&lt;wsp:rsid wsp:val=&quot;00DC1336&quot;/&gt;&lt;wsp:rsid wsp:val=&quot;00DC165E&quot;/&gt;&lt;wsp:rsid wsp:val=&quot;00DC21F0&quot;/&gt;&lt;wsp:rsid wsp:val=&quot;00DC25FF&quot;/&gt;&lt;wsp:rsid wsp:val=&quot;00DC2A04&quot;/&gt;&lt;wsp:rsid wsp:val=&quot;00DC31BF&quot;/&gt;&lt;wsp:rsid wsp:val=&quot;00DC31F1&quot;/&gt;&lt;wsp:rsid wsp:val=&quot;00DC33CD&quot;/&gt;&lt;wsp:rsid wsp:val=&quot;00DC4044&quot;/&gt;&lt;wsp:rsid wsp:val=&quot;00DC49FC&quot;/&gt;&lt;wsp:rsid wsp:val=&quot;00DC60A0&quot;/&gt;&lt;wsp:rsid wsp:val=&quot;00DC6D0C&quot;/&gt;&lt;wsp:rsid wsp:val=&quot;00DC71AD&quot;/&gt;&lt;wsp:rsid wsp:val=&quot;00DC7818&quot;/&gt;&lt;wsp:rsid wsp:val=&quot;00DD1066&quot;/&gt;&lt;wsp:rsid wsp:val=&quot;00DD1A6F&quot;/&gt;&lt;wsp:rsid wsp:val=&quot;00DD1B66&quot;/&gt;&lt;wsp:rsid wsp:val=&quot;00DD1C6C&quot;/&gt;&lt;wsp:rsid wsp:val=&quot;00DD2264&quot;/&gt;&lt;wsp:rsid wsp:val=&quot;00DD253A&quot;/&gt;&lt;wsp:rsid wsp:val=&quot;00DD400A&quot;/&gt;&lt;wsp:rsid wsp:val=&quot;00DD4714&quot;/&gt;&lt;wsp:rsid wsp:val=&quot;00DD4EC4&quot;/&gt;&lt;wsp:rsid wsp:val=&quot;00DD677C&quot;/&gt;&lt;wsp:rsid wsp:val=&quot;00DD7956&quot;/&gt;&lt;wsp:rsid wsp:val=&quot;00DD79EF&quot;/&gt;&lt;wsp:rsid wsp:val=&quot;00DE03CF&quot;/&gt;&lt;wsp:rsid wsp:val=&quot;00DE1A90&quot;/&gt;&lt;wsp:rsid wsp:val=&quot;00DE2CC6&quot;/&gt;&lt;wsp:rsid wsp:val=&quot;00DE4580&quot;/&gt;&lt;wsp:rsid wsp:val=&quot;00DE50E5&quot;/&gt;&lt;wsp:rsid wsp:val=&quot;00DE5A95&quot;/&gt;&lt;wsp:rsid wsp:val=&quot;00DE5DB4&quot;/&gt;&lt;wsp:rsid wsp:val=&quot;00DE6017&quot;/&gt;&lt;wsp:rsid wsp:val=&quot;00DE6D58&quot;/&gt;&lt;wsp:rsid wsp:val=&quot;00DE74BF&quot;/&gt;&lt;wsp:rsid wsp:val=&quot;00DE78EF&quot;/&gt;&lt;wsp:rsid wsp:val=&quot;00DE7DE5&quot;/&gt;&lt;wsp:rsid wsp:val=&quot;00DE7EDF&quot;/&gt;&lt;wsp:rsid wsp:val=&quot;00DF00B8&quot;/&gt;&lt;wsp:rsid wsp:val=&quot;00DF0488&quot;/&gt;&lt;wsp:rsid wsp:val=&quot;00DF05D9&quot;/&gt;&lt;wsp:rsid wsp:val=&quot;00DF06A2&quot;/&gt;&lt;wsp:rsid wsp:val=&quot;00DF3066&quot;/&gt;&lt;wsp:rsid wsp:val=&quot;00DF34CF&quot;/&gt;&lt;wsp:rsid wsp:val=&quot;00DF35CC&quot;/&gt;&lt;wsp:rsid wsp:val=&quot;00DF4B2A&quot;/&gt;&lt;wsp:rsid wsp:val=&quot;00DF4CE0&quot;/&gt;&lt;wsp:rsid wsp:val=&quot;00DF5314&quot;/&gt;&lt;wsp:rsid wsp:val=&quot;00DF5333&quot;/&gt;&lt;wsp:rsid wsp:val=&quot;00DF5912&quot;/&gt;&lt;wsp:rsid wsp:val=&quot;00DF65BC&quot;/&gt;&lt;wsp:rsid wsp:val=&quot;00DF6647&quot;/&gt;&lt;wsp:rsid wsp:val=&quot;00DF6978&quot;/&gt;&lt;wsp:rsid wsp:val=&quot;00DF6B08&quot;/&gt;&lt;wsp:rsid wsp:val=&quot;00DF72E5&quot;/&gt;&lt;wsp:rsid wsp:val=&quot;00DF77ED&quot;/&gt;&lt;wsp:rsid wsp:val=&quot;00E0025D&quot;/&gt;&lt;wsp:rsid wsp:val=&quot;00E00543&quot;/&gt;&lt;wsp:rsid wsp:val=&quot;00E00A45&quot;/&gt;&lt;wsp:rsid wsp:val=&quot;00E00FEE&quot;/&gt;&lt;wsp:rsid wsp:val=&quot;00E0102D&quot;/&gt;&lt;wsp:rsid wsp:val=&quot;00E0139D&quot;/&gt;&lt;wsp:rsid wsp:val=&quot;00E02285&quot;/&gt;&lt;wsp:rsid wsp:val=&quot;00E0293E&quot;/&gt;&lt;wsp:rsid wsp:val=&quot;00E02FCE&quot;/&gt;&lt;wsp:rsid wsp:val=&quot;00E037B4&quot;/&gt;&lt;wsp:rsid wsp:val=&quot;00E03A20&quot;/&gt;&lt;wsp:rsid wsp:val=&quot;00E03D8B&quot;/&gt;&lt;wsp:rsid wsp:val=&quot;00E04042&quot;/&gt;&lt;wsp:rsid wsp:val=&quot;00E04ADE&quot;/&gt;&lt;wsp:rsid wsp:val=&quot;00E05CD3&quot;/&gt;&lt;wsp:rsid wsp:val=&quot;00E07704&quot;/&gt;&lt;wsp:rsid wsp:val=&quot;00E0790A&quot;/&gt;&lt;wsp:rsid wsp:val=&quot;00E07B3B&quot;/&gt;&lt;wsp:rsid wsp:val=&quot;00E11755&quot;/&gt;&lt;wsp:rsid wsp:val=&quot;00E11D36&quot;/&gt;&lt;wsp:rsid wsp:val=&quot;00E12B74&quot;/&gt;&lt;wsp:rsid wsp:val=&quot;00E154A8&quot;/&gt;&lt;wsp:rsid wsp:val=&quot;00E16067&quot;/&gt;&lt;wsp:rsid wsp:val=&quot;00E164F2&quot;/&gt;&lt;wsp:rsid wsp:val=&quot;00E17062&quot;/&gt;&lt;wsp:rsid wsp:val=&quot;00E202AC&quot;/&gt;&lt;wsp:rsid wsp:val=&quot;00E20967&quot;/&gt;&lt;wsp:rsid wsp:val=&quot;00E21088&quot;/&gt;&lt;wsp:rsid wsp:val=&quot;00E2134D&quot;/&gt;&lt;wsp:rsid wsp:val=&quot;00E2224C&quot;/&gt;&lt;wsp:rsid wsp:val=&quot;00E232E2&quot;/&gt;&lt;wsp:rsid wsp:val=&quot;00E23FF3&quot;/&gt;&lt;wsp:rsid wsp:val=&quot;00E2510A&quot;/&gt;&lt;wsp:rsid wsp:val=&quot;00E26340&quot;/&gt;&lt;wsp:rsid wsp:val=&quot;00E26ACE&quot;/&gt;&lt;wsp:rsid wsp:val=&quot;00E26CFB&quot;/&gt;&lt;wsp:rsid wsp:val=&quot;00E2711B&quot;/&gt;&lt;wsp:rsid wsp:val=&quot;00E27EE5&quot;/&gt;&lt;wsp:rsid wsp:val=&quot;00E308C8&quot;/&gt;&lt;wsp:rsid wsp:val=&quot;00E30B40&quot;/&gt;&lt;wsp:rsid wsp:val=&quot;00E3111A&quot;/&gt;&lt;wsp:rsid wsp:val=&quot;00E32496&quot;/&gt;&lt;wsp:rsid wsp:val=&quot;00E32B4D&quot;/&gt;&lt;wsp:rsid wsp:val=&quot;00E32C3B&quot;/&gt;&lt;wsp:rsid wsp:val=&quot;00E335ED&quot;/&gt;&lt;wsp:rsid wsp:val=&quot;00E33DBB&quot;/&gt;&lt;wsp:rsid wsp:val=&quot;00E346DD&quot;/&gt;&lt;wsp:rsid wsp:val=&quot;00E35775&quot;/&gt;&lt;wsp:rsid wsp:val=&quot;00E37AE4&quot;/&gt;&lt;wsp:rsid wsp:val=&quot;00E419A4&quot;/&gt;&lt;wsp:rsid wsp:val=&quot;00E4282A&quot;/&gt;&lt;wsp:rsid wsp:val=&quot;00E42994&quot;/&gt;&lt;wsp:rsid wsp:val=&quot;00E42ACE&quot;/&gt;&lt;wsp:rsid wsp:val=&quot;00E42BA7&quot;/&gt;&lt;wsp:rsid wsp:val=&quot;00E42BDB&quot;/&gt;&lt;wsp:rsid wsp:val=&quot;00E42C18&quot;/&gt;&lt;wsp:rsid wsp:val=&quot;00E43B69&quot;/&gt;&lt;wsp:rsid wsp:val=&quot;00E451FF&quot;/&gt;&lt;wsp:rsid wsp:val=&quot;00E45554&quot;/&gt;&lt;wsp:rsid wsp:val=&quot;00E4639A&quot;/&gt;&lt;wsp:rsid wsp:val=&quot;00E46A24&quot;/&gt;&lt;wsp:rsid wsp:val=&quot;00E46B62&quot;/&gt;&lt;wsp:rsid wsp:val=&quot;00E4713C&quot;/&gt;&lt;wsp:rsid wsp:val=&quot;00E475D9&quot;/&gt;&lt;wsp:rsid wsp:val=&quot;00E47D02&quot;/&gt;&lt;wsp:rsid wsp:val=&quot;00E50998&quot;/&gt;&lt;wsp:rsid wsp:val=&quot;00E51095&quot;/&gt;&lt;wsp:rsid wsp:val=&quot;00E51C27&quot;/&gt;&lt;wsp:rsid wsp:val=&quot;00E51D02&quot;/&gt;&lt;wsp:rsid wsp:val=&quot;00E53415&quot;/&gt;&lt;wsp:rsid wsp:val=&quot;00E537DA&quot;/&gt;&lt;wsp:rsid wsp:val=&quot;00E53E12&quot;/&gt;&lt;wsp:rsid wsp:val=&quot;00E53FD8&quot;/&gt;&lt;wsp:rsid wsp:val=&quot;00E54C1A&quot;/&gt;&lt;wsp:rsid wsp:val=&quot;00E54EF8&quot;/&gt;&lt;wsp:rsid wsp:val=&quot;00E550EE&quot;/&gt;&lt;wsp:rsid wsp:val=&quot;00E55D77&quot;/&gt;&lt;wsp:rsid wsp:val=&quot;00E56391&quot;/&gt;&lt;wsp:rsid wsp:val=&quot;00E56410&quot;/&gt;&lt;wsp:rsid wsp:val=&quot;00E570E1&quot;/&gt;&lt;wsp:rsid wsp:val=&quot;00E57150&quot;/&gt;&lt;wsp:rsid wsp:val=&quot;00E57B3E&quot;/&gt;&lt;wsp:rsid wsp:val=&quot;00E57C84&quot;/&gt;&lt;wsp:rsid wsp:val=&quot;00E6001C&quot;/&gt;&lt;wsp:rsid wsp:val=&quot;00E61061&quot;/&gt;&lt;wsp:rsid wsp:val=&quot;00E61511&quot;/&gt;&lt;wsp:rsid wsp:val=&quot;00E6242F&quot;/&gt;&lt;wsp:rsid wsp:val=&quot;00E627DD&quot;/&gt;&lt;wsp:rsid wsp:val=&quot;00E62903&quot;/&gt;&lt;wsp:rsid wsp:val=&quot;00E62BDC&quot;/&gt;&lt;wsp:rsid wsp:val=&quot;00E62F86&quot;/&gt;&lt;wsp:rsid wsp:val=&quot;00E63558&quot;/&gt;&lt;wsp:rsid wsp:val=&quot;00E63662&quot;/&gt;&lt;wsp:rsid wsp:val=&quot;00E63812&quot;/&gt;&lt;wsp:rsid wsp:val=&quot;00E640C2&quot;/&gt;&lt;wsp:rsid wsp:val=&quot;00E64DB6&quot;/&gt;&lt;wsp:rsid wsp:val=&quot;00E64F86&quot;/&gt;&lt;wsp:rsid wsp:val=&quot;00E653BD&quot;/&gt;&lt;wsp:rsid wsp:val=&quot;00E658C9&quot;/&gt;&lt;wsp:rsid wsp:val=&quot;00E659A6&quot;/&gt;&lt;wsp:rsid wsp:val=&quot;00E66507&quot;/&gt;&lt;wsp:rsid wsp:val=&quot;00E66AC3&quot;/&gt;&lt;wsp:rsid wsp:val=&quot;00E66DE7&quot;/&gt;&lt;wsp:rsid wsp:val=&quot;00E674C2&quot;/&gt;&lt;wsp:rsid wsp:val=&quot;00E67AF5&quot;/&gt;&lt;wsp:rsid wsp:val=&quot;00E70324&quot;/&gt;&lt;wsp:rsid wsp:val=&quot;00E70B12&quot;/&gt;&lt;wsp:rsid wsp:val=&quot;00E70CE8&quot;/&gt;&lt;wsp:rsid wsp:val=&quot;00E7156E&quot;/&gt;&lt;wsp:rsid wsp:val=&quot;00E7199E&quot;/&gt;&lt;wsp:rsid wsp:val=&quot;00E72723&quot;/&gt;&lt;wsp:rsid wsp:val=&quot;00E73523&quot;/&gt;&lt;wsp:rsid wsp:val=&quot;00E7362A&quot;/&gt;&lt;wsp:rsid wsp:val=&quot;00E739E5&quot;/&gt;&lt;wsp:rsid wsp:val=&quot;00E73AED&quot;/&gt;&lt;wsp:rsid wsp:val=&quot;00E73CE8&quot;/&gt;&lt;wsp:rsid wsp:val=&quot;00E73F73&quot;/&gt;&lt;wsp:rsid wsp:val=&quot;00E74250&quot;/&gt;&lt;wsp:rsid wsp:val=&quot;00E75132&quot;/&gt;&lt;wsp:rsid wsp:val=&quot;00E75373&quot;/&gt;&lt;wsp:rsid wsp:val=&quot;00E75B0D&quot;/&gt;&lt;wsp:rsid wsp:val=&quot;00E7631D&quot;/&gt;&lt;wsp:rsid wsp:val=&quot;00E77D4D&quot;/&gt;&lt;wsp:rsid wsp:val=&quot;00E77F13&quot;/&gt;&lt;wsp:rsid wsp:val=&quot;00E77F3C&quot;/&gt;&lt;wsp:rsid wsp:val=&quot;00E80251&quot;/&gt;&lt;wsp:rsid wsp:val=&quot;00E80535&quot;/&gt;&lt;wsp:rsid wsp:val=&quot;00E81680&quot;/&gt;&lt;wsp:rsid wsp:val=&quot;00E81D69&quot;/&gt;&lt;wsp:rsid wsp:val=&quot;00E837EC&quot;/&gt;&lt;wsp:rsid wsp:val=&quot;00E83FBA&quot;/&gt;&lt;wsp:rsid wsp:val=&quot;00E84240&quot;/&gt;&lt;wsp:rsid wsp:val=&quot;00E848BE&quot;/&gt;&lt;wsp:rsid wsp:val=&quot;00E84BBD&quot;/&gt;&lt;wsp:rsid wsp:val=&quot;00E84C96&quot;/&gt;&lt;wsp:rsid wsp:val=&quot;00E8544A&quot;/&gt;&lt;wsp:rsid wsp:val=&quot;00E85464&quot;/&gt;&lt;wsp:rsid wsp:val=&quot;00E85B6D&quot;/&gt;&lt;wsp:rsid wsp:val=&quot;00E85D74&quot;/&gt;&lt;wsp:rsid wsp:val=&quot;00E85F41&quot;/&gt;&lt;wsp:rsid wsp:val=&quot;00E86916&quot;/&gt;&lt;wsp:rsid wsp:val=&quot;00E869A0&quot;/&gt;&lt;wsp:rsid wsp:val=&quot;00E86A44&quot;/&gt;&lt;wsp:rsid wsp:val=&quot;00E90920&quot;/&gt;&lt;wsp:rsid wsp:val=&quot;00E910BB&quot;/&gt;&lt;wsp:rsid wsp:val=&quot;00E91246&quot;/&gt;&lt;wsp:rsid wsp:val=&quot;00E91322&quot;/&gt;&lt;wsp:rsid wsp:val=&quot;00E91883&quot;/&gt;&lt;wsp:rsid wsp:val=&quot;00E918F3&quot;/&gt;&lt;wsp:rsid wsp:val=&quot;00E91994&quot;/&gt;&lt;wsp:rsid wsp:val=&quot;00E93824&quot;/&gt;&lt;wsp:rsid wsp:val=&quot;00E93BAE&quot;/&gt;&lt;wsp:rsid wsp:val=&quot;00E94787&quot;/&gt;&lt;wsp:rsid wsp:val=&quot;00E94A27&quot;/&gt;&lt;wsp:rsid wsp:val=&quot;00E94B0A&quot;/&gt;&lt;wsp:rsid wsp:val=&quot;00E94D67&quot;/&gt;&lt;wsp:rsid wsp:val=&quot;00E94F32&quot;/&gt;&lt;wsp:rsid wsp:val=&quot;00E95906&quot;/&gt;&lt;wsp:rsid wsp:val=&quot;00E95BFC&quot;/&gt;&lt;wsp:rsid wsp:val=&quot;00E9635A&quot;/&gt;&lt;wsp:rsid wsp:val=&quot;00E964EE&quot;/&gt;&lt;wsp:rsid wsp:val=&quot;00E97690&quot;/&gt;&lt;wsp:rsid wsp:val=&quot;00EA0C5B&quot;/&gt;&lt;wsp:rsid wsp:val=&quot;00EA127F&quot;/&gt;&lt;wsp:rsid wsp:val=&quot;00EA1B3A&quot;/&gt;&lt;wsp:rsid wsp:val=&quot;00EA21FB&quot;/&gt;&lt;wsp:rsid wsp:val=&quot;00EA27C4&quot;/&gt;&lt;wsp:rsid wsp:val=&quot;00EA2818&quot;/&gt;&lt;wsp:rsid wsp:val=&quot;00EA4283&quot;/&gt;&lt;wsp:rsid wsp:val=&quot;00EA4A7A&quot;/&gt;&lt;wsp:rsid wsp:val=&quot;00EA5498&quot;/&gt;&lt;wsp:rsid wsp:val=&quot;00EA5581&quot;/&gt;&lt;wsp:rsid wsp:val=&quot;00EA58B7&quot;/&gt;&lt;wsp:rsid wsp:val=&quot;00EA7849&quot;/&gt;&lt;wsp:rsid wsp:val=&quot;00EA7CE7&quot;/&gt;&lt;wsp:rsid wsp:val=&quot;00EB0326&quot;/&gt;&lt;wsp:rsid wsp:val=&quot;00EB08C7&quot;/&gt;&lt;wsp:rsid wsp:val=&quot;00EB0DA5&quot;/&gt;&lt;wsp:rsid wsp:val=&quot;00EB1895&quot;/&gt;&lt;wsp:rsid wsp:val=&quot;00EB1EBA&quot;/&gt;&lt;wsp:rsid wsp:val=&quot;00EB3CFE&quot;/&gt;&lt;wsp:rsid wsp:val=&quot;00EB3D9A&quot;/&gt;&lt;wsp:rsid wsp:val=&quot;00EB3ED6&quot;/&gt;&lt;wsp:rsid wsp:val=&quot;00EB4E26&quot;/&gt;&lt;wsp:rsid wsp:val=&quot;00EB52D8&quot;/&gt;&lt;wsp:rsid wsp:val=&quot;00EB6540&quot;/&gt;&lt;wsp:rsid wsp:val=&quot;00EB6EB0&quot;/&gt;&lt;wsp:rsid wsp:val=&quot;00EB75C2&quot;/&gt;&lt;wsp:rsid wsp:val=&quot;00EB7953&quot;/&gt;&lt;wsp:rsid wsp:val=&quot;00EC2FA7&quot;/&gt;&lt;wsp:rsid wsp:val=&quot;00EC2FC2&quot;/&gt;&lt;wsp:rsid wsp:val=&quot;00EC3027&quot;/&gt;&lt;wsp:rsid wsp:val=&quot;00EC35F5&quot;/&gt;&lt;wsp:rsid wsp:val=&quot;00EC3644&quot;/&gt;&lt;wsp:rsid wsp:val=&quot;00EC3ABB&quot;/&gt;&lt;wsp:rsid wsp:val=&quot;00EC458C&quot;/&gt;&lt;wsp:rsid wsp:val=&quot;00EC4AF0&quot;/&gt;&lt;wsp:rsid wsp:val=&quot;00EC4D39&quot;/&gt;&lt;wsp:rsid wsp:val=&quot;00EC53D8&quot;/&gt;&lt;wsp:rsid wsp:val=&quot;00EC54FA&quot;/&gt;&lt;wsp:rsid wsp:val=&quot;00EC62EC&quot;/&gt;&lt;wsp:rsid wsp:val=&quot;00EC6463&quot;/&gt;&lt;wsp:rsid wsp:val=&quot;00EC6931&quot;/&gt;&lt;wsp:rsid wsp:val=&quot;00EC7C5C&quot;/&gt;&lt;wsp:rsid wsp:val=&quot;00EC7F3B&quot;/&gt;&lt;wsp:rsid wsp:val=&quot;00ED08A0&quot;/&gt;&lt;wsp:rsid wsp:val=&quot;00ED1D22&quot;/&gt;&lt;wsp:rsid wsp:val=&quot;00ED1ED0&quot;/&gt;&lt;wsp:rsid wsp:val=&quot;00ED2D46&quot;/&gt;&lt;wsp:rsid wsp:val=&quot;00ED4035&quot;/&gt;&lt;wsp:rsid wsp:val=&quot;00ED51D1&quot;/&gt;&lt;wsp:rsid wsp:val=&quot;00ED5209&quot;/&gt;&lt;wsp:rsid wsp:val=&quot;00ED5443&quot;/&gt;&lt;wsp:rsid wsp:val=&quot;00ED57FC&quot;/&gt;&lt;wsp:rsid wsp:val=&quot;00ED5E22&quot;/&gt;&lt;wsp:rsid wsp:val=&quot;00ED5F4D&quot;/&gt;&lt;wsp:rsid wsp:val=&quot;00ED6214&quot;/&gt;&lt;wsp:rsid wsp:val=&quot;00ED6321&quot;/&gt;&lt;wsp:rsid wsp:val=&quot;00ED63F8&quot;/&gt;&lt;wsp:rsid wsp:val=&quot;00EE005C&quot;/&gt;&lt;wsp:rsid wsp:val=&quot;00EE07EB&quot;/&gt;&lt;wsp:rsid wsp:val=&quot;00EE0EBA&quot;/&gt;&lt;wsp:rsid wsp:val=&quot;00EE16AC&quot;/&gt;&lt;wsp:rsid wsp:val=&quot;00EE184B&quot;/&gt;&lt;wsp:rsid wsp:val=&quot;00EE18EA&quot;/&gt;&lt;wsp:rsid wsp:val=&quot;00EE1F8B&quot;/&gt;&lt;wsp:rsid wsp:val=&quot;00EE2002&quot;/&gt;&lt;wsp:rsid wsp:val=&quot;00EE24C7&quot;/&gt;&lt;wsp:rsid wsp:val=&quot;00EE27DE&quot;/&gt;&lt;wsp:rsid wsp:val=&quot;00EE2B45&quot;/&gt;&lt;wsp:rsid wsp:val=&quot;00EE2D92&quot;/&gt;&lt;wsp:rsid wsp:val=&quot;00EE3902&quot;/&gt;&lt;wsp:rsid wsp:val=&quot;00EE3DEB&quot;/&gt;&lt;wsp:rsid wsp:val=&quot;00EE455D&quot;/&gt;&lt;wsp:rsid wsp:val=&quot;00EE4A40&quot;/&gt;&lt;wsp:rsid wsp:val=&quot;00EE4B78&quot;/&gt;&lt;wsp:rsid wsp:val=&quot;00EE4BD7&quot;/&gt;&lt;wsp:rsid wsp:val=&quot;00EE7057&quot;/&gt;&lt;wsp:rsid wsp:val=&quot;00EF04D8&quot;/&gt;&lt;wsp:rsid wsp:val=&quot;00EF0C49&quot;/&gt;&lt;wsp:rsid wsp:val=&quot;00EF154B&quot;/&gt;&lt;wsp:rsid wsp:val=&quot;00EF19C3&quot;/&gt;&lt;wsp:rsid wsp:val=&quot;00EF1B1C&quot;/&gt;&lt;wsp:rsid wsp:val=&quot;00EF1BB4&quot;/&gt;&lt;wsp:rsid wsp:val=&quot;00EF2A1D&quot;/&gt;&lt;wsp:rsid wsp:val=&quot;00EF2E4F&quot;/&gt;&lt;wsp:rsid wsp:val=&quot;00EF3013&quot;/&gt;&lt;wsp:rsid wsp:val=&quot;00EF3CF9&quot;/&gt;&lt;wsp:rsid wsp:val=&quot;00EF3E20&quot;/&gt;&lt;wsp:rsid wsp:val=&quot;00EF4B3B&quot;/&gt;&lt;wsp:rsid wsp:val=&quot;00EF4D7D&quot;/&gt;&lt;wsp:rsid wsp:val=&quot;00EF63CC&quot;/&gt;&lt;wsp:rsid wsp:val=&quot;00EF74F1&quot;/&gt;&lt;wsp:rsid wsp:val=&quot;00EF7AE6&quot;/&gt;&lt;wsp:rsid wsp:val=&quot;00F016FA&quot;/&gt;&lt;wsp:rsid wsp:val=&quot;00F01D5F&quot;/&gt;&lt;wsp:rsid wsp:val=&quot;00F01D7F&quot;/&gt;&lt;wsp:rsid wsp:val=&quot;00F025C4&quot;/&gt;&lt;wsp:rsid wsp:val=&quot;00F028D8&quot;/&gt;&lt;wsp:rsid wsp:val=&quot;00F02F87&quot;/&gt;&lt;wsp:rsid wsp:val=&quot;00F05381&quot;/&gt;&lt;wsp:rsid wsp:val=&quot;00F05AA8&quot;/&gt;&lt;wsp:rsid wsp:val=&quot;00F0738E&quot;/&gt;&lt;wsp:rsid wsp:val=&quot;00F076F1&quot;/&gt;&lt;wsp:rsid wsp:val=&quot;00F07817&quot;/&gt;&lt;wsp:rsid wsp:val=&quot;00F12A22&quot;/&gt;&lt;wsp:rsid wsp:val=&quot;00F14094&quot;/&gt;&lt;wsp:rsid wsp:val=&quot;00F15CD2&quot;/&gt;&lt;wsp:rsid wsp:val=&quot;00F16141&quot;/&gt;&lt;wsp:rsid wsp:val=&quot;00F165ED&quot;/&gt;&lt;wsp:rsid wsp:val=&quot;00F16BC0&quot;/&gt;&lt;wsp:rsid wsp:val=&quot;00F17120&quot;/&gt;&lt;wsp:rsid wsp:val=&quot;00F17219&quot;/&gt;&lt;wsp:rsid wsp:val=&quot;00F174A7&quot;/&gt;&lt;wsp:rsid wsp:val=&quot;00F177BD&quot;/&gt;&lt;wsp:rsid wsp:val=&quot;00F17C01&quot;/&gt;&lt;wsp:rsid wsp:val=&quot;00F2068C&quot;/&gt;&lt;wsp:rsid wsp:val=&quot;00F208BB&quot;/&gt;&lt;wsp:rsid wsp:val=&quot;00F20A1B&quot;/&gt;&lt;wsp:rsid wsp:val=&quot;00F20A5D&quot;/&gt;&lt;wsp:rsid wsp:val=&quot;00F213C6&quot;/&gt;&lt;wsp:rsid wsp:val=&quot;00F213F3&quot;/&gt;&lt;wsp:rsid wsp:val=&quot;00F21EB9&quot;/&gt;&lt;wsp:rsid wsp:val=&quot;00F22608&quot;/&gt;&lt;wsp:rsid wsp:val=&quot;00F22768&quot;/&gt;&lt;wsp:rsid wsp:val=&quot;00F22C1B&quot;/&gt;&lt;wsp:rsid wsp:val=&quot;00F2432B&quot;/&gt;&lt;wsp:rsid wsp:val=&quot;00F2475B&quot;/&gt;&lt;wsp:rsid wsp:val=&quot;00F26CB8&quot;/&gt;&lt;wsp:rsid wsp:val=&quot;00F2786F&quot;/&gt;&lt;wsp:rsid wsp:val=&quot;00F30CF7&quot;/&gt;&lt;wsp:rsid wsp:val=&quot;00F31E22&quot;/&gt;&lt;wsp:rsid wsp:val=&quot;00F332BD&quot;/&gt;&lt;wsp:rsid wsp:val=&quot;00F3338D&quot;/&gt;&lt;wsp:rsid wsp:val=&quot;00F33A86&quot;/&gt;&lt;wsp:rsid wsp:val=&quot;00F33C71&quot;/&gt;&lt;wsp:rsid wsp:val=&quot;00F340E0&quot;/&gt;&lt;wsp:rsid wsp:val=&quot;00F3420C&quot;/&gt;&lt;wsp:rsid wsp:val=&quot;00F34284&quot;/&gt;&lt;wsp:rsid wsp:val=&quot;00F3482F&quot;/&gt;&lt;wsp:rsid wsp:val=&quot;00F34901&quot;/&gt;&lt;wsp:rsid wsp:val=&quot;00F34EA3&quot;/&gt;&lt;wsp:rsid wsp:val=&quot;00F358AE&quot;/&gt;&lt;wsp:rsid wsp:val=&quot;00F35F33&quot;/&gt;&lt;wsp:rsid wsp:val=&quot;00F36F47&quot;/&gt;&lt;wsp:rsid wsp:val=&quot;00F36F49&quot;/&gt;&lt;wsp:rsid wsp:val=&quot;00F37DAE&quot;/&gt;&lt;wsp:rsid wsp:val=&quot;00F40AB3&quot;/&gt;&lt;wsp:rsid wsp:val=&quot;00F40D48&quot;/&gt;&lt;wsp:rsid wsp:val=&quot;00F40D53&quot;/&gt;&lt;wsp:rsid wsp:val=&quot;00F411E6&quot;/&gt;&lt;wsp:rsid wsp:val=&quot;00F41E7E&quot;/&gt;&lt;wsp:rsid wsp:val=&quot;00F4297D&quot;/&gt;&lt;wsp:rsid wsp:val=&quot;00F4330E&quot;/&gt;&lt;wsp:rsid wsp:val=&quot;00F43B1C&quot;/&gt;&lt;wsp:rsid wsp:val=&quot;00F43E0D&quot;/&gt;&lt;wsp:rsid wsp:val=&quot;00F4493C&quot;/&gt;&lt;wsp:rsid wsp:val=&quot;00F44F50&quot;/&gt;&lt;wsp:rsid wsp:val=&quot;00F4528D&quot;/&gt;&lt;wsp:rsid wsp:val=&quot;00F45649&quot;/&gt;&lt;wsp:rsid wsp:val=&quot;00F458D8&quot;/&gt;&lt;wsp:rsid wsp:val=&quot;00F46091&quot;/&gt;&lt;wsp:rsid wsp:val=&quot;00F4611E&quot;/&gt;&lt;wsp:rsid wsp:val=&quot;00F46D2A&quot;/&gt;&lt;wsp:rsid wsp:val=&quot;00F46F0E&quot;/&gt;&lt;wsp:rsid wsp:val=&quot;00F47547&quot;/&gt;&lt;wsp:rsid wsp:val=&quot;00F47A59&quot;/&gt;&lt;wsp:rsid wsp:val=&quot;00F50BB3&quot;/&gt;&lt;wsp:rsid wsp:val=&quot;00F514D2&quot;/&gt;&lt;wsp:rsid wsp:val=&quot;00F51777&quot;/&gt;&lt;wsp:rsid wsp:val=&quot;00F537CA&quot;/&gt;&lt;wsp:rsid wsp:val=&quot;00F53C0D&quot;/&gt;&lt;wsp:rsid wsp:val=&quot;00F54076&quot;/&gt;&lt;wsp:rsid wsp:val=&quot;00F5415C&quot;/&gt;&lt;wsp:rsid wsp:val=&quot;00F54BA3&quot;/&gt;&lt;wsp:rsid wsp:val=&quot;00F54C40&quot;/&gt;&lt;wsp:rsid wsp:val=&quot;00F550B1&quot;/&gt;&lt;wsp:rsid wsp:val=&quot;00F556BE&quot;/&gt;&lt;wsp:rsid wsp:val=&quot;00F5580F&quot;/&gt;&lt;wsp:rsid wsp:val=&quot;00F55C3F&quot;/&gt;&lt;wsp:rsid wsp:val=&quot;00F56624&quot;/&gt;&lt;wsp:rsid wsp:val=&quot;00F56C2F&quot;/&gt;&lt;wsp:rsid wsp:val=&quot;00F57BBF&quot;/&gt;&lt;wsp:rsid wsp:val=&quot;00F6070E&quot;/&gt;&lt;wsp:rsid wsp:val=&quot;00F61AFB&quot;/&gt;&lt;wsp:rsid wsp:val=&quot;00F620DE&quot;/&gt;&lt;wsp:rsid wsp:val=&quot;00F622D8&quot;/&gt;&lt;wsp:rsid wsp:val=&quot;00F63885&quot;/&gt;&lt;wsp:rsid wsp:val=&quot;00F63B70&quot;/&gt;&lt;wsp:rsid wsp:val=&quot;00F63EBA&quot;/&gt;&lt;wsp:rsid wsp:val=&quot;00F63EE4&quot;/&gt;&lt;wsp:rsid wsp:val=&quot;00F65811&quot;/&gt;&lt;wsp:rsid wsp:val=&quot;00F65DF1&quot;/&gt;&lt;wsp:rsid wsp:val=&quot;00F6628E&quot;/&gt;&lt;wsp:rsid wsp:val=&quot;00F66E8F&quot;/&gt;&lt;wsp:rsid wsp:val=&quot;00F67658&quot;/&gt;&lt;wsp:rsid wsp:val=&quot;00F67AA6&quot;/&gt;&lt;wsp:rsid wsp:val=&quot;00F67E2C&quot;/&gt;&lt;wsp:rsid wsp:val=&quot;00F700C6&quot;/&gt;&lt;wsp:rsid wsp:val=&quot;00F70168&quot;/&gt;&lt;wsp:rsid wsp:val=&quot;00F7017E&quot;/&gt;&lt;wsp:rsid wsp:val=&quot;00F70326&quot;/&gt;&lt;wsp:rsid wsp:val=&quot;00F70DEE&quot;/&gt;&lt;wsp:rsid wsp:val=&quot;00F713DC&quot;/&gt;&lt;wsp:rsid wsp:val=&quot;00F71891&quot;/&gt;&lt;wsp:rsid wsp:val=&quot;00F724A7&quot;/&gt;&lt;wsp:rsid wsp:val=&quot;00F72C01&quot;/&gt;&lt;wsp:rsid wsp:val=&quot;00F73F55&quot;/&gt;&lt;wsp:rsid wsp:val=&quot;00F74B7D&quot;/&gt;&lt;wsp:rsid wsp:val=&quot;00F751D4&quot;/&gt;&lt;wsp:rsid wsp:val=&quot;00F75456&quot;/&gt;&lt;wsp:rsid wsp:val=&quot;00F7554D&quot;/&gt;&lt;wsp:rsid wsp:val=&quot;00F75C89&quot;/&gt;&lt;wsp:rsid wsp:val=&quot;00F7679F&quot;/&gt;&lt;wsp:rsid wsp:val=&quot;00F77D64&quot;/&gt;&lt;wsp:rsid wsp:val=&quot;00F80B83&quot;/&gt;&lt;wsp:rsid wsp:val=&quot;00F8107F&quot;/&gt;&lt;wsp:rsid wsp:val=&quot;00F811BF&quot;/&gt;&lt;wsp:rsid wsp:val=&quot;00F8237C&quot;/&gt;&lt;wsp:rsid wsp:val=&quot;00F82E21&quot;/&gt;&lt;wsp:rsid wsp:val=&quot;00F831B4&quot;/&gt;&lt;wsp:rsid wsp:val=&quot;00F83DBA&quot;/&gt;&lt;wsp:rsid wsp:val=&quot;00F84499&quot;/&gt;&lt;wsp:rsid wsp:val=&quot;00F84E6D&quot;/&gt;&lt;wsp:rsid wsp:val=&quot;00F850F1&quot;/&gt;&lt;wsp:rsid wsp:val=&quot;00F85F6C&quot;/&gt;&lt;wsp:rsid wsp:val=&quot;00F90856&quot;/&gt;&lt;wsp:rsid wsp:val=&quot;00F90A2D&quot;/&gt;&lt;wsp:rsid wsp:val=&quot;00F90A7E&quot;/&gt;&lt;wsp:rsid wsp:val=&quot;00F918F2&quot;/&gt;&lt;wsp:rsid wsp:val=&quot;00F91EAA&quot;/&gt;&lt;wsp:rsid wsp:val=&quot;00F920D5&quot;/&gt;&lt;wsp:rsid wsp:val=&quot;00F921CE&quot;/&gt;&lt;wsp:rsid wsp:val=&quot;00F922C3&quot;/&gt;&lt;wsp:rsid wsp:val=&quot;00F925E7&quot;/&gt;&lt;wsp:rsid wsp:val=&quot;00F93070&quot;/&gt;&lt;wsp:rsid wsp:val=&quot;00F93412&quot;/&gt;&lt;wsp:rsid wsp:val=&quot;00F95BF7&quot;/&gt;&lt;wsp:rsid wsp:val=&quot;00F97EF4&quot;/&gt;&lt;wsp:rsid wsp:val=&quot;00FA01FD&quot;/&gt;&lt;wsp:rsid wsp:val=&quot;00FA1368&quot;/&gt;&lt;wsp:rsid wsp:val=&quot;00FA180C&quot;/&gt;&lt;wsp:rsid wsp:val=&quot;00FA2799&quot;/&gt;&lt;wsp:rsid wsp:val=&quot;00FA39CD&quot;/&gt;&lt;wsp:rsid wsp:val=&quot;00FA41C9&quot;/&gt;&lt;wsp:rsid wsp:val=&quot;00FA44A4&quot;/&gt;&lt;wsp:rsid wsp:val=&quot;00FA4F63&quot;/&gt;&lt;wsp:rsid wsp:val=&quot;00FA5634&quot;/&gt;&lt;wsp:rsid wsp:val=&quot;00FA56F3&quot;/&gt;&lt;wsp:rsid wsp:val=&quot;00FA5B9F&quot;/&gt;&lt;wsp:rsid wsp:val=&quot;00FA6082&quot;/&gt;&lt;wsp:rsid wsp:val=&quot;00FA65B1&quot;/&gt;&lt;wsp:rsid wsp:val=&quot;00FA66DC&quot;/&gt;&lt;wsp:rsid wsp:val=&quot;00FA6FB5&quot;/&gt;&lt;wsp:rsid wsp:val=&quot;00FA7235&quot;/&gt;&lt;wsp:rsid wsp:val=&quot;00FA78EA&quot;/&gt;&lt;wsp:rsid wsp:val=&quot;00FA7E49&quot;/&gt;&lt;wsp:rsid wsp:val=&quot;00FA7FAF&quot;/&gt;&lt;wsp:rsid wsp:val=&quot;00FB14D7&quot;/&gt;&lt;wsp:rsid wsp:val=&quot;00FB23DA&quot;/&gt;&lt;wsp:rsid wsp:val=&quot;00FB2B76&quot;/&gt;&lt;wsp:rsid wsp:val=&quot;00FB30D1&quot;/&gt;&lt;wsp:rsid wsp:val=&quot;00FB3B2D&quot;/&gt;&lt;wsp:rsid wsp:val=&quot;00FB3BE1&quot;/&gt;&lt;wsp:rsid wsp:val=&quot;00FB3EBA&quot;/&gt;&lt;wsp:rsid wsp:val=&quot;00FB4EB9&quot;/&gt;&lt;wsp:rsid wsp:val=&quot;00FB5F15&quot;/&gt;&lt;wsp:rsid wsp:val=&quot;00FB614E&quot;/&gt;&lt;wsp:rsid wsp:val=&quot;00FB6434&quot;/&gt;&lt;wsp:rsid wsp:val=&quot;00FB6D84&quot;/&gt;&lt;wsp:rsid wsp:val=&quot;00FB6E79&quot;/&gt;&lt;wsp:rsid wsp:val=&quot;00FB6F78&quot;/&gt;&lt;wsp:rsid wsp:val=&quot;00FB7603&quot;/&gt;&lt;wsp:rsid wsp:val=&quot;00FB7728&quot;/&gt;&lt;wsp:rsid wsp:val=&quot;00FC00AD&quot;/&gt;&lt;wsp:rsid wsp:val=&quot;00FC0298&quot;/&gt;&lt;wsp:rsid wsp:val=&quot;00FC037C&quot;/&gt;&lt;wsp:rsid wsp:val=&quot;00FC1726&quot;/&gt;&lt;wsp:rsid wsp:val=&quot;00FC1BC2&quot;/&gt;&lt;wsp:rsid wsp:val=&quot;00FC255B&quot;/&gt;&lt;wsp:rsid wsp:val=&quot;00FC29BF&quot;/&gt;&lt;wsp:rsid wsp:val=&quot;00FC2B58&quot;/&gt;&lt;wsp:rsid wsp:val=&quot;00FC2F67&quot;/&gt;&lt;wsp:rsid wsp:val=&quot;00FC36E7&quot;/&gt;&lt;wsp:rsid wsp:val=&quot;00FC5D4E&quot;/&gt;&lt;wsp:rsid wsp:val=&quot;00FC6864&quot;/&gt;&lt;wsp:rsid wsp:val=&quot;00FC6FD4&quot;/&gt;&lt;wsp:rsid wsp:val=&quot;00FC7432&quot;/&gt;&lt;wsp:rsid wsp:val=&quot;00FC7BD9&quot;/&gt;&lt;wsp:rsid wsp:val=&quot;00FC7EF5&quot;/&gt;&lt;wsp:rsid wsp:val=&quot;00FD0072&quot;/&gt;&lt;wsp:rsid wsp:val=&quot;00FD09A4&quot;/&gt;&lt;wsp:rsid wsp:val=&quot;00FD1835&quot;/&gt;&lt;wsp:rsid wsp:val=&quot;00FD1D92&quot;/&gt;&lt;wsp:rsid wsp:val=&quot;00FD3510&quot;/&gt;&lt;wsp:rsid wsp:val=&quot;00FD3DF2&quot;/&gt;&lt;wsp:rsid wsp:val=&quot;00FD4050&quot;/&gt;&lt;wsp:rsid wsp:val=&quot;00FD5113&quot;/&gt;&lt;wsp:rsid wsp:val=&quot;00FD59A9&quot;/&gt;&lt;wsp:rsid wsp:val=&quot;00FD5E63&quot;/&gt;&lt;wsp:rsid wsp:val=&quot;00FD62B1&quot;/&gt;&lt;wsp:rsid wsp:val=&quot;00FD66D8&quot;/&gt;&lt;wsp:rsid wsp:val=&quot;00FD771C&quot;/&gt;&lt;wsp:rsid wsp:val=&quot;00FD7991&quot;/&gt;&lt;wsp:rsid wsp:val=&quot;00FE01B4&quot;/&gt;&lt;wsp:rsid wsp:val=&quot;00FE0903&quot;/&gt;&lt;wsp:rsid wsp:val=&quot;00FE0B78&quot;/&gt;&lt;wsp:rsid wsp:val=&quot;00FE2BF2&quot;/&gt;&lt;wsp:rsid wsp:val=&quot;00FE2D4F&quot;/&gt;&lt;wsp:rsid wsp:val=&quot;00FE3437&quot;/&gt;&lt;wsp:rsid wsp:val=&quot;00FE37DF&quot;/&gt;&lt;wsp:rsid wsp:val=&quot;00FE48D1&quot;/&gt;&lt;wsp:rsid wsp:val=&quot;00FE5CBC&quot;/&gt;&lt;wsp:rsid wsp:val=&quot;00FE674D&quot;/&gt;&lt;wsp:rsid wsp:val=&quot;00FE6E85&quot;/&gt;&lt;wsp:rsid wsp:val=&quot;00FF313E&quot;/&gt;&lt;wsp:rsid wsp:val=&quot;00FF319E&quot;/&gt;&lt;wsp:rsid wsp:val=&quot;00FF53AC&quot;/&gt;&lt;wsp:rsid wsp:val=&quot;00FF5558&quot;/&gt;&lt;wsp:rsid wsp:val=&quot;00FF7352&quot;/&gt;&lt;wsp:rsid wsp:val=&quot;00FF7793&quot;/&gt;&lt;wsp:rsid wsp:val=&quot;168E458F&quot;/&gt;&lt;wsp:rsid wsp:val=&quot;5CD76573&quot;/&gt;&lt;wsp:rsid wsp:val=&quot;62B81204&quot;/&gt;&lt;/wsp:rsids&gt;&lt;/w:docPr&gt;&lt;w:body&gt;&lt;w:p wsp:rsidR=&quot;00000000&quot; wsp:rsidRDefault=&quot;00B11594&quot;&gt;&lt;m:oMathPara&gt;&lt;m:oMath&gt;&lt;m:f&gt;&lt;m:fPr&gt;&lt;m:ctrlPr&gt;&lt;w:rPr&gt;&lt;w:rFonts w:ascii=&quot;Cambria Math&quot;/&gt;&lt;wx:font wx:val=&quot;Cambria Math&quot;/&gt;&lt;w:sz w:val=&quot;28&quot;/&gt;&lt;w:sz-cs w:val=&quot;28&quot;/&gt;&lt;/w:rPr&gt;&lt;/m:ctrlPr&gt;&lt;/m:fPr&gt;&lt;m:num&gt;&lt;m:sSub&gt;&lt;m:sSubPr&gt;&lt;m:ctrlPr&gt;&lt;w:rPr&gt;&lt;w:rFonts w:ascii=&quot;Cambria Math&quot;/&gt;&lt;wx:font wx:val=&quot;Cambria Math&quot;/&gt;&lt;w:sz w:val=&quot;28&quot;/&gt;&lt;w:sz-cs w:val=&quot;28&quot;/&gt;&lt;/w:rPr&gt;&lt;/m:ctrlPr&gt;&lt;/m:sSubPr&gt;&lt;m:e&gt;&lt;m:r&gt;&lt;m:rPr&gt;&lt;m:sty m:val=&quot;p&quot;/&gt;&lt;/m:rPr&gt;&lt;w:rPr&gt;&lt;w:rFonts w:ascii=&quot;Cambria Math&quot;/&gt;&lt;wx:font wx:val=&quot;Cambria Math&quot;/&gt;&lt;w:sz w:val=&quot;28&quot;/&gt;&lt;w:sz-cs w:val=&quot;28&quot;/&gt;&lt;/w:rPr&gt;&lt;m:t&gt;q&lt;/m:t&gt;&lt;/m:r&gt;&lt;/m:e&gt;&lt;m:sub&gt;&lt;m:r&gt;&lt;m:rPr&gt;&lt;m:sty m:val=&quot;p&quot;/&gt;&lt;/m:rPr&gt;&lt;w:rPr&gt;&lt;w:rFonts w:ascii=&quot;Cambria Math&quot;/&gt;&lt;wx:font wx:val=&quot;Cambria Math&quot;/&gt;&lt;w:sz w:val=&quot;28&quot;/&gt;&lt;w:sz-cs w:val=&quot;28&quot;/&gt;&lt;/w:rPr&gt;&lt;m:t&gt;4&lt;/m:t&gt;&lt;/m:r&gt;&lt;/m:sub&gt;&lt;/m:sSub&gt;&lt;m:r&gt;&lt;m:rPr&gt;&lt;m:sty m:val=&quot;p&quot;/&gt;&lt;/m:rPr&gt;&lt;w:rPr&gt;&lt;w:sz w:val=&quot;28&quot;/&gt;&lt;w:sz-cs w:val=&quot;28&quot;/&gt;&lt;/w:rPr&gt;&lt;m:t&gt;×&lt;/m:t&gt;&lt;/m:r&gt;&lt;m:sSub&gt;&lt;m:sSubPr&gt;&lt;m:ctrlPr&gt;&lt;w:rPr&gt;&lt;w:rFonts w:ascii=&quot;Cambria Math&quot;/&gt;&lt;wx:font wx:val=&quot;Cambria Math&quot;/&gt;&lt;w:sz w:val=&quot;28&quot;/&gt;&lt;w:sz-cs w:val=&quot;28&quot;/&gt;&lt;/w:rPr&gt;&lt;/m:ctrlPr&gt;&lt;/m:sSubPr==========================&gt;&lt;pm:e&gt;&lt;m:r&gt;&lt;m:rPr&gt;&lt;m:sty m:val=&quot;p&quot;/&gt;&lt;/m:rPr&gt;&lt;w:rPr&gt;&lt;w:rFonts w:ascii=&quot;Cambria Math&quot;/&gt;&lt;wx:font wx:val=&quot;Cambria Math&quot;/&gt;&lt;w:sz w:val=&quot;28&quot;/&gt;&lt;w:sz-cs w:val=&quot;28&quot;/&gt;&lt;/w:rPr&gt;&lt;m:t&gt;Q&lt;/m:t&gt;&lt;/m:r&gt;&lt;/m:e&gt;&lt;m:sub&gt;&lt;m:r&gt;&lt;m:rPr&gt;&lt;m:sty m:val=&quot;p&quot;/&gt;&lt;/m:rPr&gt;&lt;w:rPr&gt;&lt;w:rFonts w:ascii=&quot;Cambria Math&quot;/&gt;&lt;wx:font wx:val=&quot;Cambria Math&quot;/&gt;&lt;w:sz w:val=&quot;28&quot;/&gt;&lt;w:sz-cs w:val=&quot;28&quot;/&gt;&lt;/w:rPr&gt;&lt;m:t&gt;net&lt;/m:t&gt;&lt;/m:r&gt;&lt;m:r&gt;&lt;m:rPr&gt;&lt;m:sty m:val=&quot;p&quot;/&gt;&lt;/m:rPr&gt;&lt;w:rPr&gt;&lt;wx:font wx:val=&quot;宋体&quot;/&gt;&lt;w:sz w:val=&quot;28&quot;/&gt;&lt;w:sz-cs w:val=&quot;28&quot;/&gt;&lt;/wm:::rrrPPPrrr&gt;&gt;&gt;&lt;&lt;&lt;wmw:::rtrP&gt;Pr?r&gt;瑀&gt;&lt;&lt;&gt;&lt;w/&lt;w:mw:r::rFtrFo&gt;Fon&lt;ont/ntsmts :s wr w:&gt;w:a&lt;:asm:rcii&gt;&lt;m:rPr&gt;&lt;m:sty m:val=&quot;p&quot;/&gt;&lt;/m:rPr&gt;&lt;w:rPr&gt;&lt;w:rFonts w:ascii=&quot;Cambria Math&quot;/&gt;&lt;wx:font wx:val=&quot;Cambria Math&quot;/&gt;&lt;w:sz w:val=&quot;28&quot;/&gt;&lt;w:sz-cs w:val=&quot;28&quot;/&gt;&lt;/w:rPr&gt;&lt;m:t&gt;a:r&lt;/rm:tP&gt;&lt;/rm:r&gt;&gt;&lt;/&lt;m:swub&gt;:&lt;/mr:sSPub&gt;r&lt;/m&gt;:num&gt;&lt;m:den&gt;&lt;m:r&gt;&lt;m:rPr&gt;&lt;m:sty m:val=&quot;p&quot;/&gt;&lt;/m:rPr&gt;&lt;w:rPr&gt;&lt;w:rFonts w:ascii=&quot;Cambria Math&quot;/&gt;&lt;wx:font wx:val=&quot;Cambria Math&quot;/&gt;&lt;w:sz w:val=&quot;28&quot;/&gt;&lt;w:sz-cs w:val=&quot;28&quot;/&gt;&lt;/w:rPr&gt;&lt;m:t&gt;100&lt;/m:t&gt;&lt;/m:r&gt;&lt;m:r&gt;&lt;m:rPr&gt;&lt;m:sty m:val=&quot;p&quot;/&gt;&lt;/m:rPr&gt;&lt;w:rPr&gt;&lt;w:sz w:val=&quot;28&quot;/&gt;&lt;w:sz-cs w:val=&quot;28&quot;/&gt;&lt;/w:rPr&gt;&lt;m:t&gt;×&lt;/lm:t&gt;&quot;&lt;/m:/r&gt;&lt;mP:r&gt;&lt;wm:rPrr&gt;&lt;m:sFty m:val=&quot;p&quot;/&gt;&lt;/m:rPr&gt;&lt;w:rPr&gt;&lt;w:rFonts w:ascii=&quot;Cambria Math&quot;/&gt;&lt;wx:font wx:val=&quot;Cambria Math&quot;/&gt;&lt;w:sz w:val=&quot;28&quot;/&gt;&lt;w:sz-cs w:val=&quot;28&quot;/&gt;&lt;/w:rPr&gt;:&lt;m:t=&gt;338/70&lt;/mm:t&gt;r&lt;/m::r&gt;&lt;/&gt;m:desn&gt;&lt;/:m:f&gt;=&lt;/m:&quot;oMatwh&gt;&lt;/-m:oMwathPlara&gt;8&lt;/w:&lt;p&gt;&lt;wr:sec&lt;tPr &gt;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v:imagedata r:id="rId34" chromakey="#FFFFFF" o:title=""/>
                  <o:lock v:ext="edit" aspectratio="t"/>
                  <w10:wrap type="none"/>
                  <w10:anchorlock/>
                </v:shape>
              </w:pict>
            </w:r>
            <w:r>
              <w:rPr>
                <w:rFonts w:hint="default" w:ascii="Times New Roman" w:hAnsi="Times New Roman" w:cs="Times New Roman"/>
                <w:b w:val="0"/>
                <w:bCs w:val="0"/>
                <w:color w:val="auto"/>
                <w:sz w:val="24"/>
                <w:szCs w:val="24"/>
                <w:highlight w:val="none"/>
              </w:rPr>
              <w:instrText xml:space="preserve"> </w:instrText>
            </w:r>
            <w:r>
              <w:rPr>
                <w:rFonts w:hint="default" w:ascii="Times New Roman" w:hAnsi="Times New Roman" w:cs="Times New Roman"/>
                <w:b w:val="0"/>
                <w:bCs w:val="0"/>
                <w:color w:val="auto"/>
                <w:sz w:val="24"/>
                <w:szCs w:val="24"/>
                <w:highlight w:val="none"/>
              </w:rPr>
              <w:fldChar w:fldCharType="end"/>
            </w:r>
            <m:oMath>
              <m:f>
                <m:fPr>
                  <m:ctrlPr>
                    <w:rPr>
                      <w:rFonts w:hint="default" w:ascii="Cambria Math" w:hAnsi="Cambria Math" w:cs="Times New Roman"/>
                      <w:b w:val="0"/>
                      <w:bCs w:val="0"/>
                      <w:color w:val="auto"/>
                      <w:sz w:val="24"/>
                      <w:szCs w:val="24"/>
                      <w:highlight w:val="none"/>
                    </w:rPr>
                  </m:ctrlPr>
                </m:fPr>
                <m:num>
                  <m:sSub>
                    <m:sSubPr>
                      <m:ctrlPr>
                        <w:rPr>
                          <w:rFonts w:hint="default" w:ascii="Cambria Math" w:hAnsi="Cambria Math" w:cs="Times New Roman"/>
                          <w:b w:val="0"/>
                          <w:bCs w:val="0"/>
                          <w:color w:val="auto"/>
                          <w:sz w:val="24"/>
                          <w:szCs w:val="24"/>
                          <w:highlight w:val="none"/>
                        </w:rPr>
                      </m:ctrlPr>
                    </m:sSubPr>
                    <m:e>
                      <m:r>
                        <m:rPr>
                          <m:sty m:val="p"/>
                        </m:rPr>
                        <w:rPr>
                          <w:rFonts w:hint="default" w:ascii="Cambria Math" w:hAnsi="Cambria Math" w:cs="Times New Roman"/>
                          <w:color w:val="auto"/>
                          <w:sz w:val="24"/>
                          <w:szCs w:val="24"/>
                          <w:highlight w:val="none"/>
                        </w:rPr>
                        <m:t>q</m:t>
                      </m:r>
                      <m:ctrlPr>
                        <w:rPr>
                          <w:rFonts w:hint="default" w:ascii="Cambria Math" w:hAnsi="Cambria Math" w:cs="Times New Roman"/>
                          <w:b w:val="0"/>
                          <w:bCs w:val="0"/>
                          <w:color w:val="auto"/>
                          <w:sz w:val="24"/>
                          <w:szCs w:val="24"/>
                          <w:highlight w:val="none"/>
                        </w:rPr>
                      </m:ctrlPr>
                    </m:e>
                    <m:sub>
                      <m:r>
                        <m:rPr>
                          <m:sty m:val="p"/>
                        </m:rPr>
                        <w:rPr>
                          <w:rFonts w:hint="default" w:ascii="Cambria Math" w:hAnsi="Cambria Math" w:cs="Times New Roman"/>
                          <w:color w:val="auto"/>
                          <w:sz w:val="24"/>
                          <w:szCs w:val="24"/>
                          <w:highlight w:val="none"/>
                        </w:rPr>
                        <m:t>4</m:t>
                      </m:r>
                      <m:ctrlPr>
                        <w:rPr>
                          <w:rFonts w:hint="default" w:ascii="Cambria Math" w:hAnsi="Cambria Math" w:cs="Times New Roman"/>
                          <w:b w:val="0"/>
                          <w:bCs w:val="0"/>
                          <w:color w:val="auto"/>
                          <w:sz w:val="24"/>
                          <w:szCs w:val="24"/>
                          <w:highlight w:val="none"/>
                        </w:rPr>
                      </m:ctrlPr>
                    </m:sub>
                  </m:sSub>
                  <m:r>
                    <m:rPr>
                      <m:sty m:val="p"/>
                    </m:rPr>
                    <w:rPr>
                      <w:rFonts w:hint="default" w:ascii="Cambria Math" w:hAnsi="Cambria Math" w:cs="Times New Roman"/>
                      <w:color w:val="auto"/>
                      <w:sz w:val="24"/>
                      <w:szCs w:val="24"/>
                      <w:highlight w:val="none"/>
                    </w:rPr>
                    <m:t>×</m:t>
                  </m:r>
                  <m:sSub>
                    <m:sSubPr>
                      <m:ctrlPr>
                        <w:rPr>
                          <w:rFonts w:hint="default" w:ascii="Cambria Math" w:hAnsi="Cambria Math" w:cs="Times New Roman"/>
                          <w:b w:val="0"/>
                          <w:bCs w:val="0"/>
                          <w:color w:val="auto"/>
                          <w:sz w:val="24"/>
                          <w:szCs w:val="24"/>
                          <w:highlight w:val="none"/>
                        </w:rPr>
                      </m:ctrlPr>
                    </m:sSubPr>
                    <m:e>
                      <m:r>
                        <m:rPr>
                          <m:sty m:val="p"/>
                        </m:rPr>
                        <w:rPr>
                          <w:rFonts w:hint="default" w:ascii="Cambria Math" w:hAnsi="Cambria Math" w:cs="Times New Roman"/>
                          <w:color w:val="auto"/>
                          <w:sz w:val="24"/>
                          <w:szCs w:val="24"/>
                          <w:highlight w:val="none"/>
                        </w:rPr>
                        <m:t>Q</m:t>
                      </m:r>
                      <m:ctrlPr>
                        <w:rPr>
                          <w:rFonts w:hint="default" w:ascii="Cambria Math" w:hAnsi="Cambria Math" w:cs="Times New Roman"/>
                          <w:b w:val="0"/>
                          <w:bCs w:val="0"/>
                          <w:color w:val="auto"/>
                          <w:sz w:val="24"/>
                          <w:szCs w:val="24"/>
                          <w:highlight w:val="none"/>
                        </w:rPr>
                      </m:ctrlPr>
                    </m:e>
                    <m:sub>
                      <m:r>
                        <m:rPr>
                          <m:sty m:val="p"/>
                        </m:rPr>
                        <w:rPr>
                          <w:rFonts w:hint="default" w:ascii="Cambria Math" w:hAnsi="Cambria Math" w:cs="Times New Roman"/>
                          <w:color w:val="auto"/>
                          <w:sz w:val="24"/>
                          <w:szCs w:val="24"/>
                          <w:highlight w:val="none"/>
                        </w:rPr>
                        <m:t>net，ar</m:t>
                      </m:r>
                      <m:ctrlPr>
                        <w:rPr>
                          <w:rFonts w:hint="default" w:ascii="Cambria Math" w:hAnsi="Cambria Math" w:cs="Times New Roman"/>
                          <w:b w:val="0"/>
                          <w:bCs w:val="0"/>
                          <w:color w:val="auto"/>
                          <w:sz w:val="24"/>
                          <w:szCs w:val="24"/>
                          <w:highlight w:val="none"/>
                        </w:rPr>
                      </m:ctrlPr>
                    </m:sub>
                  </m:sSub>
                  <m:ctrlPr>
                    <w:rPr>
                      <w:rFonts w:hint="default" w:ascii="Cambria Math" w:hAnsi="Cambria Math" w:cs="Times New Roman"/>
                      <w:b w:val="0"/>
                      <w:bCs w:val="0"/>
                      <w:color w:val="auto"/>
                      <w:sz w:val="24"/>
                      <w:szCs w:val="24"/>
                      <w:highlight w:val="none"/>
                    </w:rPr>
                  </m:ctrlPr>
                </m:num>
                <m:den>
                  <m:r>
                    <m:rPr>
                      <m:sty m:val="p"/>
                    </m:rPr>
                    <w:rPr>
                      <w:rFonts w:hint="default" w:ascii="Cambria Math" w:hAnsi="Cambria Math" w:cs="Times New Roman"/>
                      <w:color w:val="auto"/>
                      <w:sz w:val="24"/>
                      <w:szCs w:val="24"/>
                      <w:highlight w:val="none"/>
                    </w:rPr>
                    <m:t>100×33870</m:t>
                  </m:r>
                  <m:ctrlPr>
                    <w:rPr>
                      <w:rFonts w:hint="default" w:ascii="Cambria Math" w:hAnsi="Cambria Math" w:cs="Times New Roman"/>
                      <w:b w:val="0"/>
                      <w:bCs w:val="0"/>
                      <w:color w:val="auto"/>
                      <w:sz w:val="24"/>
                      <w:szCs w:val="24"/>
                      <w:highlight w:val="none"/>
                    </w:rPr>
                  </m:ctrlPr>
                </m:den>
              </m:f>
            </m:oMath>
            <w:r>
              <w:rPr>
                <w:rFonts w:hint="default" w:ascii="Times New Roman" w:hAnsi="Times New Roman" w:cs="Times New Roman"/>
                <w:b w:val="0"/>
                <w:bCs w:val="0"/>
                <w:color w:val="auto"/>
                <w:sz w:val="24"/>
                <w:szCs w:val="24"/>
                <w:highlight w:val="none"/>
              </w:rPr>
              <w:t>）</w:t>
            </w:r>
          </w:p>
          <w:p>
            <w:pPr>
              <w:keepNext w:val="0"/>
              <w:keepLines w:val="0"/>
              <w:pageBreakBefore w:val="0"/>
              <w:widowControl/>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式中：E</w:t>
            </w:r>
            <w:r>
              <w:rPr>
                <w:rFonts w:hint="default" w:ascii="Times New Roman" w:hAnsi="Times New Roman" w:cs="Times New Roman"/>
                <w:b w:val="0"/>
                <w:bCs w:val="0"/>
                <w:color w:val="auto"/>
                <w:sz w:val="24"/>
                <w:szCs w:val="24"/>
                <w:highlight w:val="none"/>
                <w:vertAlign w:val="subscript"/>
              </w:rPr>
              <w:t>hc</w:t>
            </w:r>
            <w:r>
              <w:rPr>
                <w:rFonts w:hint="default" w:ascii="Times New Roman" w:hAnsi="Times New Roman" w:cs="Times New Roman"/>
                <w:b w:val="0"/>
                <w:bCs w:val="0"/>
                <w:color w:val="auto"/>
                <w:sz w:val="24"/>
                <w:szCs w:val="24"/>
                <w:highlight w:val="none"/>
              </w:rPr>
              <w:t>----核算时段内灰渣产生量，t；</w:t>
            </w:r>
          </w:p>
          <w:p>
            <w:pPr>
              <w:keepNext w:val="0"/>
              <w:keepLines w:val="0"/>
              <w:pageBreakBefore w:val="0"/>
              <w:widowControl/>
              <w:shd w:val="clear"/>
              <w:kinsoku/>
              <w:wordWrap/>
              <w:overflowPunct/>
              <w:topLinePunct w:val="0"/>
              <w:autoSpaceDE/>
              <w:autoSpaceDN/>
              <w:bidi w:val="0"/>
              <w:spacing w:line="360" w:lineRule="auto"/>
              <w:ind w:right="0" w:firstLine="1200" w:firstLineChars="500"/>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R----核算时段内锅炉燃料耗量，</w:t>
            </w:r>
            <w:r>
              <w:rPr>
                <w:rFonts w:hint="eastAsia" w:cs="Times New Roman"/>
                <w:b w:val="0"/>
                <w:bCs w:val="0"/>
                <w:color w:val="auto"/>
                <w:sz w:val="24"/>
                <w:szCs w:val="24"/>
                <w:highlight w:val="none"/>
                <w:lang w:val="en-US" w:eastAsia="zh-CN"/>
              </w:rPr>
              <w:t>722.4</w:t>
            </w:r>
            <w:r>
              <w:rPr>
                <w:rFonts w:hint="default" w:ascii="Times New Roman" w:hAnsi="Times New Roman" w:cs="Times New Roman"/>
                <w:b w:val="0"/>
                <w:bCs w:val="0"/>
                <w:color w:val="auto"/>
                <w:sz w:val="24"/>
                <w:szCs w:val="24"/>
                <w:highlight w:val="none"/>
              </w:rPr>
              <w:t>t；</w:t>
            </w:r>
          </w:p>
          <w:p>
            <w:pPr>
              <w:keepNext w:val="0"/>
              <w:keepLines w:val="0"/>
              <w:pageBreakBefore w:val="0"/>
              <w:widowControl/>
              <w:shd w:val="clear"/>
              <w:kinsoku/>
              <w:wordWrap/>
              <w:overflowPunct/>
              <w:topLinePunct w:val="0"/>
              <w:autoSpaceDE/>
              <w:autoSpaceDN/>
              <w:bidi w:val="0"/>
              <w:spacing w:line="360" w:lineRule="auto"/>
              <w:ind w:right="0" w:firstLine="1200" w:firstLineChars="500"/>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A</w:t>
            </w:r>
            <w:r>
              <w:rPr>
                <w:rFonts w:hint="default" w:ascii="Times New Roman" w:hAnsi="Times New Roman" w:cs="Times New Roman"/>
                <w:b w:val="0"/>
                <w:bCs w:val="0"/>
                <w:color w:val="auto"/>
                <w:sz w:val="24"/>
                <w:szCs w:val="24"/>
                <w:highlight w:val="none"/>
                <w:vertAlign w:val="subscript"/>
              </w:rPr>
              <w:t>ar</w:t>
            </w:r>
            <w:r>
              <w:rPr>
                <w:rFonts w:hint="default" w:ascii="Times New Roman" w:hAnsi="Times New Roman" w:cs="Times New Roman"/>
                <w:b w:val="0"/>
                <w:bCs w:val="0"/>
                <w:color w:val="auto"/>
                <w:sz w:val="24"/>
                <w:szCs w:val="24"/>
                <w:highlight w:val="none"/>
              </w:rPr>
              <w:t>----收到基灰分的质量分数，%；</w:t>
            </w:r>
            <w:r>
              <w:rPr>
                <w:rFonts w:hint="eastAsia" w:cs="Times New Roman"/>
                <w:b w:val="0"/>
                <w:bCs w:val="0"/>
                <w:color w:val="auto"/>
                <w:sz w:val="24"/>
                <w:szCs w:val="24"/>
                <w:highlight w:val="none"/>
                <w:lang w:val="en-US" w:eastAsia="zh-CN"/>
              </w:rPr>
              <w:t>14.78</w:t>
            </w:r>
            <w:r>
              <w:rPr>
                <w:rFonts w:hint="default" w:ascii="Times New Roman" w:hAnsi="Times New Roman" w:cs="Times New Roman"/>
                <w:b w:val="0"/>
                <w:bCs w:val="0"/>
                <w:color w:val="auto"/>
                <w:sz w:val="24"/>
                <w:szCs w:val="24"/>
                <w:highlight w:val="none"/>
              </w:rPr>
              <w:t>%；</w:t>
            </w:r>
          </w:p>
          <w:p>
            <w:pPr>
              <w:keepNext w:val="0"/>
              <w:keepLines w:val="0"/>
              <w:pageBreakBefore w:val="0"/>
              <w:widowControl/>
              <w:shd w:val="clear"/>
              <w:kinsoku/>
              <w:wordWrap/>
              <w:overflowPunct/>
              <w:topLinePunct w:val="0"/>
              <w:autoSpaceDE/>
              <w:autoSpaceDN/>
              <w:bidi w:val="0"/>
              <w:spacing w:line="360" w:lineRule="auto"/>
              <w:ind w:right="0" w:firstLine="1200" w:firstLineChars="500"/>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q</w:t>
            </w:r>
            <w:r>
              <w:rPr>
                <w:rFonts w:hint="default" w:ascii="Times New Roman" w:hAnsi="Times New Roman" w:cs="Times New Roman"/>
                <w:b w:val="0"/>
                <w:bCs w:val="0"/>
                <w:color w:val="auto"/>
                <w:sz w:val="24"/>
                <w:szCs w:val="24"/>
                <w:highlight w:val="none"/>
                <w:vertAlign w:val="subscript"/>
              </w:rPr>
              <w:t>4</w:t>
            </w:r>
            <w:r>
              <w:rPr>
                <w:rFonts w:hint="default" w:ascii="Times New Roman" w:hAnsi="Times New Roman" w:cs="Times New Roman"/>
                <w:b w:val="0"/>
                <w:bCs w:val="0"/>
                <w:color w:val="auto"/>
                <w:sz w:val="24"/>
                <w:szCs w:val="24"/>
                <w:highlight w:val="none"/>
              </w:rPr>
              <w:t>----锅炉机械不完全燃烧热损失，</w:t>
            </w:r>
            <w:r>
              <w:rPr>
                <w:rFonts w:hint="eastAsia" w:cs="Times New Roman"/>
                <w:b w:val="0"/>
                <w:bCs w:val="0"/>
                <w:color w:val="auto"/>
                <w:sz w:val="24"/>
                <w:szCs w:val="24"/>
                <w:highlight w:val="none"/>
                <w:lang w:val="en-US" w:eastAsia="zh-CN"/>
              </w:rPr>
              <w:t>8</w:t>
            </w:r>
            <w:r>
              <w:rPr>
                <w:rFonts w:hint="default" w:ascii="Times New Roman" w:hAnsi="Times New Roman" w:cs="Times New Roman"/>
                <w:b w:val="0"/>
                <w:bCs w:val="0"/>
                <w:color w:val="auto"/>
                <w:sz w:val="24"/>
                <w:szCs w:val="24"/>
                <w:highlight w:val="none"/>
              </w:rPr>
              <w:t>%；</w:t>
            </w:r>
          </w:p>
          <w:p>
            <w:pPr>
              <w:keepNext w:val="0"/>
              <w:keepLines w:val="0"/>
              <w:pageBreakBefore w:val="0"/>
              <w:widowControl/>
              <w:shd w:val="clear"/>
              <w:kinsoku/>
              <w:wordWrap/>
              <w:overflowPunct/>
              <w:topLinePunct w:val="0"/>
              <w:autoSpaceDE/>
              <w:autoSpaceDN/>
              <w:bidi w:val="0"/>
              <w:spacing w:line="360" w:lineRule="auto"/>
              <w:ind w:right="0" w:firstLine="1200" w:firstLineChars="500"/>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Q</w:t>
            </w:r>
            <w:r>
              <w:rPr>
                <w:rFonts w:hint="default" w:ascii="Times New Roman" w:hAnsi="Times New Roman" w:cs="Times New Roman"/>
                <w:b w:val="0"/>
                <w:bCs w:val="0"/>
                <w:color w:val="auto"/>
                <w:sz w:val="24"/>
                <w:szCs w:val="24"/>
                <w:highlight w:val="none"/>
                <w:vertAlign w:val="subscript"/>
              </w:rPr>
              <w:t>net，ar</w:t>
            </w:r>
            <w:r>
              <w:rPr>
                <w:rFonts w:hint="default" w:ascii="Times New Roman" w:hAnsi="Times New Roman" w:cs="Times New Roman"/>
                <w:b w:val="0"/>
                <w:bCs w:val="0"/>
                <w:color w:val="auto"/>
                <w:sz w:val="24"/>
                <w:szCs w:val="24"/>
                <w:highlight w:val="none"/>
              </w:rPr>
              <w:t>----收到基低位发热量，</w:t>
            </w:r>
            <w:r>
              <w:rPr>
                <w:rFonts w:hint="eastAsia" w:cs="Times New Roman"/>
                <w:b w:val="0"/>
                <w:bCs w:val="0"/>
                <w:color w:val="auto"/>
                <w:sz w:val="24"/>
                <w:szCs w:val="24"/>
                <w:highlight w:val="none"/>
                <w:lang w:val="en-US" w:eastAsia="zh-CN"/>
              </w:rPr>
              <w:t>13.249</w:t>
            </w:r>
            <w:r>
              <w:rPr>
                <w:rFonts w:hint="default" w:ascii="Times New Roman" w:hAnsi="Times New Roman" w:cs="Times New Roman"/>
                <w:b w:val="0"/>
                <w:bCs w:val="0"/>
                <w:color w:val="auto"/>
                <w:sz w:val="24"/>
                <w:szCs w:val="24"/>
                <w:highlight w:val="none"/>
              </w:rPr>
              <w:t>MJ/kg；</w:t>
            </w:r>
          </w:p>
          <w:p>
            <w:pPr>
              <w:keepNext w:val="0"/>
              <w:keepLines w:val="0"/>
              <w:pageBreakBefore w:val="0"/>
              <w:widowControl w:val="0"/>
              <w:shd w:val="clear"/>
              <w:kinsoku/>
              <w:wordWrap/>
              <w:overflowPunct/>
              <w:topLinePunct w:val="0"/>
              <w:autoSpaceDE/>
              <w:autoSpaceDN/>
              <w:bidi w:val="0"/>
              <w:spacing w:line="360" w:lineRule="auto"/>
              <w:ind w:left="0" w:leftChars="0" w:right="0" w:firstLine="480" w:firstLineChars="200"/>
              <w:jc w:val="both"/>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E</w:t>
            </w:r>
            <w:r>
              <w:rPr>
                <w:rFonts w:hint="default" w:ascii="Times New Roman" w:hAnsi="Times New Roman" w:eastAsia="宋体" w:cs="Times New Roman"/>
                <w:b w:val="0"/>
                <w:bCs w:val="0"/>
                <w:color w:val="auto"/>
                <w:kern w:val="2"/>
                <w:sz w:val="24"/>
                <w:szCs w:val="24"/>
                <w:highlight w:val="none"/>
                <w:vertAlign w:val="subscript"/>
                <w:lang w:val="en-US" w:eastAsia="zh-CN" w:bidi="ar-SA"/>
              </w:rPr>
              <w:t>hc</w:t>
            </w:r>
            <w:r>
              <w:rPr>
                <w:rFonts w:hint="default" w:ascii="Times New Roman" w:hAnsi="Times New Roman" w:eastAsia="宋体" w:cs="Times New Roman"/>
                <w:b w:val="0"/>
                <w:bCs w:val="0"/>
                <w:color w:val="auto"/>
                <w:kern w:val="2"/>
                <w:sz w:val="24"/>
                <w:szCs w:val="24"/>
                <w:highlight w:val="none"/>
                <w:lang w:val="en-US" w:eastAsia="zh-CN" w:bidi="ar-SA"/>
              </w:rPr>
              <w:t>=</w:t>
            </w:r>
            <w:r>
              <w:rPr>
                <w:rFonts w:hint="eastAsia" w:cs="Times New Roman"/>
                <w:b w:val="0"/>
                <w:bCs w:val="0"/>
                <w:color w:val="auto"/>
                <w:kern w:val="2"/>
                <w:sz w:val="24"/>
                <w:szCs w:val="24"/>
                <w:highlight w:val="none"/>
                <w:lang w:val="en-US" w:eastAsia="zh-CN" w:bidi="ar-SA"/>
              </w:rPr>
              <w:t>722.4</w:t>
            </w:r>
            <w:r>
              <w:rPr>
                <w:rFonts w:hint="default" w:ascii="Times New Roman" w:hAnsi="Times New Roman" w:eastAsia="宋体" w:cs="Times New Roman"/>
                <w:b w:val="0"/>
                <w:bCs w:val="0"/>
                <w:color w:val="auto"/>
                <w:kern w:val="2"/>
                <w:sz w:val="24"/>
                <w:szCs w:val="24"/>
                <w:highlight w:val="none"/>
                <w:lang w:val="en-US" w:eastAsia="zh-CN" w:bidi="ar-SA"/>
              </w:rPr>
              <w:t>×（</w:t>
            </w:r>
            <w:r>
              <w:rPr>
                <w:rFonts w:hint="eastAsia" w:cs="Times New Roman"/>
                <w:b w:val="0"/>
                <w:bCs w:val="0"/>
                <w:color w:val="auto"/>
                <w:kern w:val="2"/>
                <w:sz w:val="24"/>
                <w:szCs w:val="24"/>
                <w:highlight w:val="none"/>
                <w:lang w:val="en-US" w:eastAsia="zh-CN" w:bidi="ar-SA"/>
              </w:rPr>
              <w:t>14.78</w:t>
            </w:r>
            <w:r>
              <w:rPr>
                <w:rFonts w:hint="default" w:ascii="Times New Roman" w:hAnsi="Times New Roman" w:eastAsia="宋体" w:cs="Times New Roman"/>
                <w:b w:val="0"/>
                <w:bCs w:val="0"/>
                <w:color w:val="auto"/>
                <w:kern w:val="2"/>
                <w:sz w:val="24"/>
                <w:szCs w:val="24"/>
                <w:highlight w:val="none"/>
                <w:lang w:val="en-US" w:eastAsia="zh-CN" w:bidi="ar-SA"/>
              </w:rPr>
              <w:t>/100+</w:t>
            </w:r>
            <w:r>
              <w:rPr>
                <w:rFonts w:hint="eastAsia" w:cs="Times New Roman"/>
                <w:b w:val="0"/>
                <w:bCs w:val="0"/>
                <w:color w:val="auto"/>
                <w:kern w:val="2"/>
                <w:sz w:val="24"/>
                <w:szCs w:val="24"/>
                <w:highlight w:val="none"/>
                <w:lang w:val="en-US" w:eastAsia="zh-CN" w:bidi="ar-SA"/>
              </w:rPr>
              <w:t>8</w:t>
            </w:r>
            <w:r>
              <w:rPr>
                <w:rFonts w:hint="default" w:ascii="Times New Roman" w:hAnsi="Times New Roman" w:eastAsia="宋体" w:cs="Times New Roman"/>
                <w:b w:val="0"/>
                <w:bCs w:val="0"/>
                <w:color w:val="auto"/>
                <w:kern w:val="2"/>
                <w:sz w:val="24"/>
                <w:szCs w:val="24"/>
                <w:highlight w:val="none"/>
                <w:lang w:val="en-US" w:eastAsia="zh-CN" w:bidi="ar-SA"/>
              </w:rPr>
              <w:t>×</w:t>
            </w:r>
            <w:r>
              <w:rPr>
                <w:rFonts w:hint="eastAsia" w:cs="Times New Roman"/>
                <w:b w:val="0"/>
                <w:bCs w:val="0"/>
                <w:color w:val="auto"/>
                <w:kern w:val="2"/>
                <w:sz w:val="24"/>
                <w:szCs w:val="24"/>
                <w:highlight w:val="none"/>
                <w:lang w:val="en-US" w:eastAsia="zh-CN" w:bidi="ar-SA"/>
              </w:rPr>
              <w:t>13249</w:t>
            </w:r>
            <w:r>
              <w:rPr>
                <w:rFonts w:hint="default" w:ascii="Times New Roman" w:hAnsi="Times New Roman" w:eastAsia="宋体" w:cs="Times New Roman"/>
                <w:b w:val="0"/>
                <w:bCs w:val="0"/>
                <w:color w:val="auto"/>
                <w:kern w:val="2"/>
                <w:sz w:val="24"/>
                <w:szCs w:val="24"/>
                <w:highlight w:val="none"/>
                <w:lang w:val="en-US" w:eastAsia="zh-CN" w:bidi="ar-SA"/>
              </w:rPr>
              <w:t>/100/33870）=</w:t>
            </w:r>
            <w:r>
              <w:rPr>
                <w:rFonts w:hint="eastAsia" w:cs="Times New Roman"/>
                <w:b w:val="0"/>
                <w:bCs w:val="0"/>
                <w:color w:val="auto"/>
                <w:kern w:val="2"/>
                <w:sz w:val="24"/>
                <w:szCs w:val="24"/>
                <w:highlight w:val="none"/>
                <w:lang w:val="en-US" w:eastAsia="zh-CN" w:bidi="ar-SA"/>
              </w:rPr>
              <w:t>129.38</w:t>
            </w:r>
            <w:r>
              <w:rPr>
                <w:rFonts w:hint="default" w:ascii="Times New Roman" w:hAnsi="Times New Roman" w:eastAsia="宋体" w:cs="Times New Roman"/>
                <w:b w:val="0"/>
                <w:bCs w:val="0"/>
                <w:color w:val="auto"/>
                <w:kern w:val="2"/>
                <w:sz w:val="24"/>
                <w:szCs w:val="24"/>
                <w:highlight w:val="none"/>
                <w:lang w:val="en-US" w:eastAsia="zh-CN" w:bidi="ar-SA"/>
              </w:rPr>
              <w:t>t</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锅炉</w:t>
            </w:r>
            <w:r>
              <w:rPr>
                <w:rFonts w:hint="eastAsia" w:cs="Times New Roman"/>
                <w:b w:val="0"/>
                <w:bCs w:val="0"/>
                <w:color w:val="auto"/>
                <w:sz w:val="24"/>
                <w:szCs w:val="24"/>
                <w:highlight w:val="none"/>
                <w:lang w:eastAsia="zh-CN"/>
              </w:rPr>
              <w:t>灰渣</w:t>
            </w:r>
            <w:r>
              <w:rPr>
                <w:rFonts w:hint="default" w:ascii="Times New Roman" w:hAnsi="Times New Roman" w:cs="Times New Roman"/>
                <w:b w:val="0"/>
                <w:bCs w:val="0"/>
                <w:color w:val="auto"/>
                <w:sz w:val="24"/>
                <w:szCs w:val="24"/>
                <w:highlight w:val="none"/>
              </w:rPr>
              <w:t>产生量为</w:t>
            </w:r>
            <w:r>
              <w:rPr>
                <w:rFonts w:hint="eastAsia" w:cs="Times New Roman"/>
                <w:b w:val="0"/>
                <w:bCs w:val="0"/>
                <w:color w:val="auto"/>
                <w:sz w:val="24"/>
                <w:szCs w:val="24"/>
                <w:highlight w:val="none"/>
                <w:lang w:val="en-US" w:eastAsia="zh-CN"/>
              </w:rPr>
              <w:t>129.38</w:t>
            </w:r>
            <w:r>
              <w:rPr>
                <w:rFonts w:hint="default" w:ascii="Times New Roman" w:hAnsi="Times New Roman" w:cs="Times New Roman"/>
                <w:b w:val="0"/>
                <w:bCs w:val="0"/>
                <w:color w:val="auto"/>
                <w:sz w:val="24"/>
                <w:szCs w:val="24"/>
                <w:highlight w:val="none"/>
              </w:rPr>
              <w:t>t/a</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项目不设置炉渣仓，</w:t>
            </w:r>
            <w:r>
              <w:rPr>
                <w:rFonts w:hint="default" w:ascii="Times New Roman" w:hAnsi="Times New Roman" w:cs="Times New Roman"/>
                <w:b w:val="0"/>
                <w:bCs w:val="0"/>
                <w:color w:val="auto"/>
                <w:sz w:val="24"/>
                <w:szCs w:val="24"/>
                <w:highlight w:val="none"/>
                <w:lang w:eastAsia="zh-CN"/>
              </w:rPr>
              <w:t>在锅炉房</w:t>
            </w:r>
            <w:r>
              <w:rPr>
                <w:rFonts w:hint="default" w:ascii="Times New Roman" w:hAnsi="Times New Roman" w:eastAsia="宋体" w:cs="Times New Roman"/>
                <w:b w:val="0"/>
                <w:bCs w:val="0"/>
                <w:color w:val="auto"/>
                <w:sz w:val="24"/>
                <w:szCs w:val="24"/>
                <w:highlight w:val="none"/>
              </w:rPr>
              <w:t>内设置封闭式灰渣间</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锅炉灰渣</w:t>
            </w:r>
            <w:r>
              <w:rPr>
                <w:rFonts w:hint="default" w:ascii="Times New Roman" w:hAnsi="Times New Roman" w:cs="Times New Roman"/>
                <w:b w:val="0"/>
                <w:bCs w:val="0"/>
                <w:color w:val="auto"/>
                <w:sz w:val="24"/>
                <w:szCs w:val="24"/>
                <w:highlight w:val="none"/>
                <w:lang w:val="en-US" w:eastAsia="zh-CN"/>
              </w:rPr>
              <w:t>直接袋装封装，贮存在灰渣间内，</w:t>
            </w:r>
            <w:r>
              <w:rPr>
                <w:rFonts w:hint="default" w:ascii="Times New Roman" w:hAnsi="Times New Roman" w:eastAsia="宋体" w:cs="Times New Roman"/>
                <w:b w:val="0"/>
                <w:bCs w:val="0"/>
                <w:color w:val="auto"/>
                <w:sz w:val="24"/>
                <w:szCs w:val="24"/>
                <w:highlight w:val="none"/>
              </w:rPr>
              <w:t>暂存后定期外售综合利用。</w:t>
            </w:r>
          </w:p>
          <w:p>
            <w:pPr>
              <w:keepNext w:val="0"/>
              <w:keepLines w:val="0"/>
              <w:pageBreakBefore w:val="0"/>
              <w:widowControl w:val="0"/>
              <w:shd w:val="clear"/>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7</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除尘器废布袋</w:t>
            </w:r>
          </w:p>
          <w:p>
            <w:pPr>
              <w:keepNext w:val="0"/>
              <w:keepLines w:val="0"/>
              <w:pageBreakBefore w:val="0"/>
              <w:shd w:val="clear"/>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布袋</w:t>
            </w:r>
            <w:r>
              <w:rPr>
                <w:rFonts w:hint="default" w:ascii="Times New Roman" w:hAnsi="Times New Roman" w:eastAsia="宋体" w:cs="Times New Roman"/>
                <w:b w:val="0"/>
                <w:bCs w:val="0"/>
                <w:color w:val="auto"/>
                <w:sz w:val="24"/>
                <w:szCs w:val="24"/>
                <w:highlight w:val="none"/>
              </w:rPr>
              <w:t>除尘器废布袋</w:t>
            </w:r>
            <w:r>
              <w:rPr>
                <w:rFonts w:hint="default" w:ascii="Times New Roman" w:hAnsi="Times New Roman" w:eastAsia="宋体" w:cs="Times New Roman"/>
                <w:b w:val="0"/>
                <w:bCs w:val="0"/>
                <w:color w:val="auto"/>
                <w:sz w:val="24"/>
                <w:szCs w:val="24"/>
                <w:highlight w:val="none"/>
                <w:lang w:eastAsia="zh-CN"/>
              </w:rPr>
              <w:t>产生量为</w:t>
            </w:r>
            <w:r>
              <w:rPr>
                <w:rFonts w:hint="default" w:ascii="Times New Roman" w:hAnsi="Times New Roman" w:eastAsia="宋体" w:cs="Times New Roman"/>
                <w:b w:val="0"/>
                <w:bCs w:val="0"/>
                <w:color w:val="auto"/>
                <w:sz w:val="24"/>
                <w:szCs w:val="24"/>
                <w:highlight w:val="none"/>
              </w:rPr>
              <w:t>0.</w:t>
            </w:r>
            <w:r>
              <w:rPr>
                <w:rFonts w:hint="default" w:ascii="Times New Roman" w:hAnsi="Times New Roman" w:eastAsia="宋体" w:cs="Times New Roman"/>
                <w:b w:val="0"/>
                <w:bCs w:val="0"/>
                <w:color w:val="auto"/>
                <w:sz w:val="24"/>
                <w:szCs w:val="24"/>
                <w:highlight w:val="none"/>
                <w:lang w:val="en-US" w:eastAsia="zh-CN"/>
              </w:rPr>
              <w:t>01</w:t>
            </w:r>
            <w:r>
              <w:rPr>
                <w:rFonts w:hint="default" w:ascii="Times New Roman" w:hAnsi="Times New Roman" w:eastAsia="宋体" w:cs="Times New Roman"/>
                <w:b w:val="0"/>
                <w:bCs w:val="0"/>
                <w:color w:val="auto"/>
                <w:sz w:val="24"/>
                <w:szCs w:val="24"/>
                <w:highlight w:val="none"/>
              </w:rPr>
              <w:t>t/a</w:t>
            </w:r>
            <w:r>
              <w:rPr>
                <w:rFonts w:hint="default" w:ascii="Times New Roman" w:hAnsi="Times New Roman" w:eastAsia="宋体" w:cs="Times New Roman"/>
                <w:b w:val="0"/>
                <w:bCs w:val="0"/>
                <w:color w:val="auto"/>
                <w:sz w:val="24"/>
                <w:szCs w:val="24"/>
                <w:highlight w:val="none"/>
                <w:lang w:eastAsia="zh-CN"/>
              </w:rPr>
              <w:t>，不在厂区暂存，</w:t>
            </w:r>
            <w:r>
              <w:rPr>
                <w:rFonts w:hint="default" w:ascii="Times New Roman" w:hAnsi="Times New Roman" w:eastAsia="宋体" w:cs="Times New Roman"/>
                <w:b w:val="0"/>
                <w:bCs w:val="0"/>
                <w:color w:val="auto"/>
                <w:sz w:val="24"/>
                <w:szCs w:val="24"/>
              </w:rPr>
              <w:t>集中收集，</w:t>
            </w:r>
            <w:r>
              <w:rPr>
                <w:rFonts w:hint="default" w:ascii="Times New Roman" w:hAnsi="Times New Roman" w:eastAsia="宋体" w:cs="Times New Roman"/>
                <w:b w:val="0"/>
                <w:bCs w:val="0"/>
                <w:color w:val="auto"/>
                <w:sz w:val="24"/>
                <w:szCs w:val="24"/>
                <w:highlight w:val="none"/>
              </w:rPr>
              <w:t>外售综合利用</w:t>
            </w:r>
            <w:r>
              <w:rPr>
                <w:rFonts w:hint="default" w:ascii="Times New Roman" w:hAnsi="Times New Roman" w:eastAsia="宋体" w:cs="Times New Roman"/>
                <w:b w:val="0"/>
                <w:bCs w:val="0"/>
                <w:color w:val="auto"/>
                <w:sz w:val="24"/>
                <w:szCs w:val="24"/>
                <w:highlight w:val="none"/>
                <w:lang w:val="en-US" w:eastAsia="zh-CN"/>
              </w:rPr>
              <w:t>。</w:t>
            </w:r>
          </w:p>
          <w:p>
            <w:pPr>
              <w:keepNext w:val="0"/>
              <w:keepLines w:val="0"/>
              <w:pageBreakBefore w:val="0"/>
              <w:shd w:val="clear"/>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cs="Times New Roman"/>
                <w:b w:val="0"/>
                <w:bCs w:val="0"/>
                <w:color w:val="auto"/>
                <w:kern w:val="0"/>
                <w:sz w:val="24"/>
                <w:szCs w:val="24"/>
              </w:rPr>
            </w:pPr>
            <w:r>
              <w:rPr>
                <w:rFonts w:hint="default" w:ascii="Times New Roman" w:hAnsi="Times New Roman" w:cs="Times New Roman"/>
                <w:b w:val="0"/>
                <w:bCs w:val="0"/>
                <w:color w:val="auto"/>
                <w:kern w:val="0"/>
                <w:sz w:val="24"/>
                <w:szCs w:val="24"/>
              </w:rPr>
              <w:t>（</w:t>
            </w:r>
            <w:r>
              <w:rPr>
                <w:rFonts w:hint="default" w:ascii="Times New Roman" w:hAnsi="Times New Roman" w:cs="Times New Roman"/>
                <w:b w:val="0"/>
                <w:bCs w:val="0"/>
                <w:color w:val="auto"/>
                <w:kern w:val="0"/>
                <w:sz w:val="24"/>
                <w:szCs w:val="24"/>
                <w:lang w:val="en-US" w:eastAsia="zh-CN"/>
              </w:rPr>
              <w:t>8</w:t>
            </w:r>
            <w:r>
              <w:rPr>
                <w:rFonts w:hint="default" w:ascii="Times New Roman" w:hAnsi="Times New Roman" w:cs="Times New Roman"/>
                <w:b w:val="0"/>
                <w:bCs w:val="0"/>
                <w:color w:val="auto"/>
                <w:kern w:val="0"/>
                <w:sz w:val="24"/>
                <w:szCs w:val="24"/>
              </w:rPr>
              <w:t>）废离子交换树脂</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项目软水制备系统运行过程中会产生废</w:t>
            </w:r>
            <w:r>
              <w:rPr>
                <w:rFonts w:hint="default" w:ascii="Times New Roman" w:hAnsi="Times New Roman" w:eastAsia="宋体" w:cs="Times New Roman"/>
                <w:b w:val="0"/>
                <w:bCs w:val="0"/>
                <w:color w:val="auto"/>
                <w:sz w:val="24"/>
                <w:szCs w:val="24"/>
              </w:rPr>
              <w:t>离子交换树脂，更换周期约为1年/次，产生量为0.1t/a，废离子交换树脂</w:t>
            </w:r>
            <w:r>
              <w:rPr>
                <w:rFonts w:hint="default" w:ascii="Times New Roman" w:hAnsi="Times New Roman" w:eastAsia="宋体" w:cs="Times New Roman"/>
                <w:b w:val="0"/>
                <w:bCs w:val="0"/>
                <w:color w:val="auto"/>
                <w:sz w:val="24"/>
                <w:szCs w:val="24"/>
                <w:highlight w:val="none"/>
                <w:lang w:eastAsia="zh-CN"/>
              </w:rPr>
              <w:t>不在厂区暂存，</w:t>
            </w:r>
            <w:r>
              <w:rPr>
                <w:rFonts w:hint="default" w:ascii="Times New Roman" w:hAnsi="Times New Roman" w:eastAsia="宋体" w:cs="Times New Roman"/>
                <w:b w:val="0"/>
                <w:bCs w:val="0"/>
                <w:color w:val="auto"/>
                <w:sz w:val="24"/>
                <w:szCs w:val="24"/>
              </w:rPr>
              <w:t>集中收集，由厂家回收再利用。</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cs="Times New Roman"/>
                <w:b w:val="0"/>
                <w:bCs w:val="0"/>
                <w:color w:val="auto"/>
                <w:sz w:val="24"/>
                <w:szCs w:val="24"/>
                <w:lang w:val="en-US" w:eastAsia="zh-CN"/>
              </w:rPr>
              <w:t xml:space="preserve">4.3 </w:t>
            </w:r>
            <w:r>
              <w:rPr>
                <w:rFonts w:hint="default" w:ascii="Times New Roman" w:hAnsi="Times New Roman" w:cs="Times New Roman"/>
                <w:b w:val="0"/>
                <w:bCs w:val="0"/>
                <w:color w:val="auto"/>
                <w:sz w:val="24"/>
                <w:szCs w:val="24"/>
              </w:rPr>
              <w:t>固废</w:t>
            </w:r>
            <w:r>
              <w:rPr>
                <w:rFonts w:hint="default" w:ascii="Times New Roman" w:hAnsi="Times New Roman" w:cs="Times New Roman"/>
                <w:b w:val="0"/>
                <w:bCs w:val="0"/>
                <w:color w:val="auto"/>
                <w:sz w:val="24"/>
                <w:szCs w:val="24"/>
                <w:lang w:eastAsia="zh-CN"/>
              </w:rPr>
              <w:t>环境管理要求</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（1）各种固体废物处置设施、堆放场所和填埋场，必须有防火、防扬散、防流失、防渗漏或者其他防止污染环境的措施。</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（2）按固体废物“资源化、减量化、无害化”处置原则，落实各类固体废物的收集、处置和综合利用措施，实现零排放。</w:t>
            </w:r>
          </w:p>
          <w:p>
            <w:pPr>
              <w:keepNext w:val="0"/>
              <w:keepLines w:val="0"/>
              <w:pageBreakBefore w:val="0"/>
              <w:shd w:val="clear"/>
              <w:kinsoku/>
              <w:wordWrap/>
              <w:overflowPunct/>
              <w:topLinePunct w:val="0"/>
              <w:autoSpaceDE/>
              <w:autoSpaceDN/>
              <w:bidi w:val="0"/>
              <w:spacing w:line="360" w:lineRule="auto"/>
              <w:ind w:right="0"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（3）一般工业固废贮存场所应按《一般工业固体废物贮存和填埋污染控制标准》（GB18599-2020）要求。</w:t>
            </w:r>
          </w:p>
          <w:p>
            <w:pPr>
              <w:keepNext w:val="0"/>
              <w:keepLines w:val="0"/>
              <w:pageBreakBefore w:val="0"/>
              <w:widowControl w:val="0"/>
              <w:shd w:val="clear"/>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cs="Times New Roman"/>
                <w:b w:val="0"/>
                <w:bCs w:val="0"/>
                <w:color w:val="auto"/>
                <w:sz w:val="24"/>
                <w:szCs w:val="24"/>
                <w:lang w:val="en-US" w:eastAsia="zh-CN"/>
              </w:rPr>
              <w:t>5、</w:t>
            </w:r>
            <w:r>
              <w:rPr>
                <w:rFonts w:hint="default" w:ascii="Times New Roman" w:hAnsi="Times New Roman" w:eastAsia="宋体" w:cs="Times New Roman"/>
                <w:b w:val="0"/>
                <w:bCs w:val="0"/>
                <w:color w:val="auto"/>
                <w:sz w:val="24"/>
                <w:szCs w:val="24"/>
              </w:rPr>
              <w:t>地下水、土壤</w:t>
            </w:r>
          </w:p>
          <w:p>
            <w:pPr>
              <w:keepNext w:val="0"/>
              <w:keepLines w:val="0"/>
              <w:pageBreakBefore w:val="0"/>
              <w:widowControl w:val="0"/>
              <w:shd w:val="clear"/>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本项目不存在土壤、地下水环境污染途径，运营期无地下水、土壤跟踪监测要求。</w:t>
            </w:r>
          </w:p>
          <w:p>
            <w:pPr>
              <w:keepNext w:val="0"/>
              <w:keepLines w:val="0"/>
              <w:pageBreakBefore w:val="0"/>
              <w:widowControl w:val="0"/>
              <w:shd w:val="clear"/>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cs="Times New Roman"/>
                <w:b w:val="0"/>
                <w:bCs w:val="0"/>
                <w:color w:val="auto"/>
                <w:sz w:val="24"/>
                <w:szCs w:val="24"/>
                <w:lang w:val="en-US" w:eastAsia="zh-CN"/>
              </w:rPr>
              <w:t>6、</w:t>
            </w:r>
            <w:r>
              <w:rPr>
                <w:rFonts w:hint="default" w:ascii="Times New Roman" w:hAnsi="Times New Roman" w:eastAsia="宋体" w:cs="Times New Roman"/>
                <w:b w:val="0"/>
                <w:bCs w:val="0"/>
                <w:color w:val="auto"/>
                <w:sz w:val="24"/>
                <w:szCs w:val="24"/>
              </w:rPr>
              <w:t>生态</w:t>
            </w:r>
          </w:p>
          <w:p>
            <w:pPr>
              <w:keepNext w:val="0"/>
              <w:keepLines w:val="0"/>
              <w:pageBreakBefore w:val="0"/>
              <w:widowControl w:val="0"/>
              <w:shd w:val="clear"/>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本项目占地范围内无特殊生态敏感区及重要生态敏感区等生态环境保护目标，对周边生态环境影响较小，无需设置相应生态环境保护措施。</w:t>
            </w:r>
          </w:p>
          <w:p>
            <w:pPr>
              <w:keepNext w:val="0"/>
              <w:keepLines w:val="0"/>
              <w:pageBreakBefore w:val="0"/>
              <w:widowControl w:val="0"/>
              <w:shd w:val="clear"/>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cs="Times New Roman"/>
                <w:b w:val="0"/>
                <w:bCs w:val="0"/>
                <w:color w:val="auto"/>
                <w:sz w:val="24"/>
                <w:szCs w:val="24"/>
                <w:lang w:val="en-US" w:eastAsia="zh-CN"/>
              </w:rPr>
              <w:t>7、</w:t>
            </w:r>
            <w:r>
              <w:rPr>
                <w:rFonts w:hint="default" w:ascii="Times New Roman" w:hAnsi="Times New Roman" w:eastAsia="宋体" w:cs="Times New Roman"/>
                <w:b w:val="0"/>
                <w:bCs w:val="0"/>
                <w:color w:val="auto"/>
                <w:sz w:val="24"/>
                <w:szCs w:val="24"/>
              </w:rPr>
              <w:t>环境风险</w:t>
            </w:r>
          </w:p>
          <w:p>
            <w:pPr>
              <w:keepNext w:val="0"/>
              <w:keepLines w:val="0"/>
              <w:pageBreakBefore w:val="0"/>
              <w:shd w:val="clear"/>
              <w:kinsoku/>
              <w:wordWrap/>
              <w:overflowPunct/>
              <w:topLinePunct w:val="0"/>
              <w:autoSpaceDE/>
              <w:autoSpaceDN/>
              <w:bidi w:val="0"/>
              <w:adjustRightInd w:val="0"/>
              <w:snapToGrid w:val="0"/>
              <w:spacing w:line="360" w:lineRule="auto"/>
              <w:ind w:right="0" w:firstLine="480" w:firstLineChars="200"/>
              <w:textAlignment w:val="auto"/>
              <w:rPr>
                <w:color w:val="auto"/>
                <w:sz w:val="24"/>
                <w:szCs w:val="24"/>
              </w:rPr>
            </w:pPr>
            <w:r>
              <w:rPr>
                <w:rFonts w:hint="default" w:ascii="Times New Roman" w:hAnsi="Times New Roman" w:eastAsia="宋体" w:cs="Times New Roman"/>
                <w:b w:val="0"/>
                <w:bCs w:val="0"/>
                <w:color w:val="auto"/>
                <w:sz w:val="24"/>
                <w:szCs w:val="24"/>
              </w:rPr>
              <w:t>本项目不涉及有毒有害及易燃易爆等危险物质和风险源，无需设置相应环境风险防范措施。</w:t>
            </w:r>
          </w:p>
          <w:p>
            <w:pPr>
              <w:pStyle w:val="9"/>
              <w:shd w:val="clear"/>
              <w:rPr>
                <w:color w:val="auto"/>
              </w:rPr>
            </w:pPr>
          </w:p>
          <w:p>
            <w:pPr>
              <w:pStyle w:val="10"/>
              <w:shd w:val="clear"/>
              <w:rPr>
                <w:color w:val="auto"/>
              </w:rPr>
            </w:pPr>
          </w:p>
          <w:p>
            <w:pPr>
              <w:pStyle w:val="11"/>
              <w:shd w:val="clear"/>
              <w:rPr>
                <w:color w:val="auto"/>
              </w:rPr>
            </w:pPr>
          </w:p>
          <w:p>
            <w:pPr>
              <w:shd w:val="clear"/>
              <w:rPr>
                <w:color w:val="auto"/>
              </w:rPr>
            </w:pPr>
          </w:p>
          <w:p>
            <w:pPr>
              <w:pStyle w:val="9"/>
              <w:shd w:val="clear"/>
              <w:rPr>
                <w:color w:val="auto"/>
              </w:rPr>
            </w:pPr>
          </w:p>
          <w:p>
            <w:pPr>
              <w:pStyle w:val="10"/>
              <w:shd w:val="clear"/>
              <w:rPr>
                <w:color w:val="auto"/>
              </w:rPr>
            </w:pPr>
          </w:p>
          <w:p>
            <w:pPr>
              <w:pStyle w:val="11"/>
              <w:shd w:val="clear"/>
              <w:rPr>
                <w:color w:val="auto"/>
              </w:rPr>
            </w:pPr>
          </w:p>
          <w:p>
            <w:pPr>
              <w:shd w:val="clear"/>
              <w:rPr>
                <w:color w:val="auto"/>
              </w:rPr>
            </w:pPr>
          </w:p>
          <w:p>
            <w:pPr>
              <w:pStyle w:val="9"/>
              <w:shd w:val="clear"/>
              <w:rPr>
                <w:color w:val="auto"/>
              </w:rPr>
            </w:pPr>
          </w:p>
          <w:p>
            <w:pPr>
              <w:pStyle w:val="10"/>
              <w:shd w:val="clear"/>
              <w:rPr>
                <w:color w:val="auto"/>
              </w:rPr>
            </w:pPr>
          </w:p>
          <w:p>
            <w:pPr>
              <w:pStyle w:val="11"/>
              <w:shd w:val="clear"/>
              <w:rPr>
                <w:color w:val="auto"/>
              </w:rPr>
            </w:pPr>
          </w:p>
          <w:p>
            <w:pPr>
              <w:shd w:val="clear"/>
              <w:rPr>
                <w:color w:val="auto"/>
              </w:rPr>
            </w:pPr>
          </w:p>
          <w:p>
            <w:pPr>
              <w:pStyle w:val="9"/>
              <w:shd w:val="clear"/>
              <w:rPr>
                <w:color w:val="auto"/>
              </w:rPr>
            </w:pPr>
          </w:p>
          <w:p>
            <w:pPr>
              <w:pStyle w:val="10"/>
              <w:shd w:val="clear"/>
              <w:rPr>
                <w:color w:val="auto"/>
              </w:rPr>
            </w:pPr>
          </w:p>
          <w:p>
            <w:pPr>
              <w:pStyle w:val="11"/>
              <w:shd w:val="clear"/>
              <w:rPr>
                <w:color w:val="auto"/>
              </w:rPr>
            </w:pPr>
          </w:p>
          <w:p>
            <w:pPr>
              <w:shd w:val="clear"/>
              <w:rPr>
                <w:color w:val="auto"/>
              </w:rPr>
            </w:pPr>
          </w:p>
          <w:p>
            <w:pPr>
              <w:pStyle w:val="9"/>
              <w:shd w:val="clear"/>
              <w:rPr>
                <w:color w:val="auto"/>
              </w:rPr>
            </w:pPr>
          </w:p>
          <w:p>
            <w:pPr>
              <w:pStyle w:val="10"/>
              <w:shd w:val="clear"/>
              <w:rPr>
                <w:color w:val="auto"/>
              </w:rPr>
            </w:pPr>
          </w:p>
          <w:p>
            <w:pPr>
              <w:pStyle w:val="11"/>
              <w:shd w:val="clear"/>
              <w:rPr>
                <w:color w:val="auto"/>
              </w:rPr>
            </w:pPr>
          </w:p>
          <w:p>
            <w:pPr>
              <w:shd w:val="clear"/>
              <w:rPr>
                <w:color w:val="auto"/>
              </w:rPr>
            </w:pPr>
          </w:p>
          <w:p>
            <w:pPr>
              <w:pStyle w:val="9"/>
              <w:shd w:val="clear"/>
              <w:rPr>
                <w:color w:val="auto"/>
              </w:rPr>
            </w:pPr>
          </w:p>
          <w:p>
            <w:pPr>
              <w:pStyle w:val="10"/>
              <w:shd w:val="clear"/>
              <w:rPr>
                <w:color w:val="auto"/>
              </w:rPr>
            </w:pPr>
          </w:p>
          <w:p>
            <w:pPr>
              <w:pStyle w:val="11"/>
              <w:shd w:val="clear"/>
              <w:rPr>
                <w:color w:val="auto"/>
              </w:rPr>
            </w:pPr>
          </w:p>
          <w:p>
            <w:pPr>
              <w:shd w:val="clear"/>
              <w:rPr>
                <w:color w:val="auto"/>
              </w:rPr>
            </w:pPr>
          </w:p>
          <w:p>
            <w:pPr>
              <w:pStyle w:val="9"/>
              <w:shd w:val="clear"/>
              <w:rPr>
                <w:color w:val="auto"/>
              </w:rPr>
            </w:pPr>
          </w:p>
          <w:p>
            <w:pPr>
              <w:pStyle w:val="10"/>
              <w:shd w:val="clear"/>
              <w:rPr>
                <w:color w:val="auto"/>
              </w:rPr>
            </w:pPr>
          </w:p>
          <w:p>
            <w:pPr>
              <w:pStyle w:val="11"/>
              <w:shd w:val="clear"/>
              <w:rPr>
                <w:color w:val="auto"/>
              </w:rPr>
            </w:pPr>
          </w:p>
        </w:tc>
      </w:tr>
    </w:tbl>
    <w:p>
      <w:pPr>
        <w:shd w:val="clear"/>
        <w:adjustRightInd w:val="0"/>
        <w:snapToGrid w:val="0"/>
        <w:spacing w:line="360" w:lineRule="auto"/>
        <w:rPr>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19"/>
        <w:shd w:val="clear"/>
        <w:tabs>
          <w:tab w:val="right" w:leader="dot" w:pos="8844"/>
        </w:tabs>
        <w:spacing w:after="240" w:afterLines="100"/>
        <w:jc w:val="center"/>
        <w:outlineLvl w:val="0"/>
        <w:rPr>
          <w:rFonts w:eastAsia="黑体"/>
          <w:snapToGrid w:val="0"/>
          <w:color w:val="auto"/>
          <w:sz w:val="30"/>
          <w:szCs w:val="30"/>
        </w:rPr>
      </w:pPr>
      <w:bookmarkStart w:id="12" w:name="_Toc7617"/>
      <w:r>
        <w:rPr>
          <w:rFonts w:eastAsia="黑体"/>
          <w:snapToGrid w:val="0"/>
          <w:color w:val="auto"/>
          <w:sz w:val="30"/>
          <w:szCs w:val="30"/>
        </w:rPr>
        <w:t>五、</w:t>
      </w:r>
      <w:bookmarkStart w:id="13" w:name="_Hlk54167917"/>
      <w:r>
        <w:rPr>
          <w:rFonts w:eastAsia="黑体"/>
          <w:snapToGrid w:val="0"/>
          <w:color w:val="auto"/>
          <w:sz w:val="30"/>
          <w:szCs w:val="30"/>
        </w:rPr>
        <w:t>环境保护措施监督检查清单</w:t>
      </w:r>
      <w:bookmarkEnd w:id="12"/>
      <w:bookmarkEnd w:id="13"/>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1276"/>
        <w:gridCol w:w="1134"/>
        <w:gridCol w:w="2989"/>
        <w:gridCol w:w="22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80" w:hRule="atLeast"/>
          <w:jc w:val="center"/>
        </w:trPr>
        <w:tc>
          <w:tcPr>
            <w:tcW w:w="1112" w:type="dxa"/>
            <w:tcBorders>
              <w:tl2br w:val="single" w:color="auto" w:sz="4" w:space="0"/>
            </w:tcBorders>
          </w:tcPr>
          <w:p>
            <w:pPr>
              <w:shd w:val="clear"/>
              <w:adjustRightInd w:val="0"/>
              <w:snapToGrid w:val="0"/>
              <w:ind w:firstLine="420" w:firstLineChars="200"/>
              <w:rPr>
                <w:color w:val="auto"/>
                <w:szCs w:val="21"/>
              </w:rPr>
            </w:pPr>
            <w:r>
              <w:rPr>
                <w:color w:val="auto"/>
                <w:szCs w:val="21"/>
              </w:rPr>
              <w:t>内容</w:t>
            </w:r>
          </w:p>
          <w:p>
            <w:pPr>
              <w:shd w:val="clear"/>
              <w:adjustRightInd w:val="0"/>
              <w:snapToGrid w:val="0"/>
              <w:rPr>
                <w:color w:val="auto"/>
                <w:szCs w:val="21"/>
              </w:rPr>
            </w:pPr>
            <w:r>
              <w:rPr>
                <w:color w:val="auto"/>
                <w:szCs w:val="21"/>
              </w:rPr>
              <w:t>要素</w:t>
            </w:r>
          </w:p>
        </w:tc>
        <w:tc>
          <w:tcPr>
            <w:tcW w:w="1276" w:type="dxa"/>
            <w:vAlign w:val="center"/>
          </w:tcPr>
          <w:p>
            <w:pPr>
              <w:shd w:val="clear"/>
              <w:adjustRightInd w:val="0"/>
              <w:snapToGrid w:val="0"/>
              <w:jc w:val="center"/>
              <w:rPr>
                <w:color w:val="auto"/>
                <w:szCs w:val="21"/>
              </w:rPr>
            </w:pPr>
            <w:r>
              <w:rPr>
                <w:color w:val="auto"/>
                <w:szCs w:val="21"/>
              </w:rPr>
              <w:t>排放口(编号、名称)/污染源</w:t>
            </w:r>
          </w:p>
        </w:tc>
        <w:tc>
          <w:tcPr>
            <w:tcW w:w="1134" w:type="dxa"/>
            <w:vAlign w:val="center"/>
          </w:tcPr>
          <w:p>
            <w:pPr>
              <w:shd w:val="clear"/>
              <w:adjustRightInd w:val="0"/>
              <w:snapToGrid w:val="0"/>
              <w:jc w:val="center"/>
              <w:rPr>
                <w:color w:val="auto"/>
                <w:szCs w:val="21"/>
              </w:rPr>
            </w:pPr>
            <w:r>
              <w:rPr>
                <w:color w:val="auto"/>
                <w:szCs w:val="21"/>
              </w:rPr>
              <w:t>污染物项目</w:t>
            </w:r>
          </w:p>
        </w:tc>
        <w:tc>
          <w:tcPr>
            <w:tcW w:w="2989" w:type="dxa"/>
            <w:vAlign w:val="center"/>
          </w:tcPr>
          <w:p>
            <w:pPr>
              <w:shd w:val="clear"/>
              <w:adjustRightInd w:val="0"/>
              <w:snapToGrid w:val="0"/>
              <w:jc w:val="center"/>
              <w:rPr>
                <w:color w:val="auto"/>
                <w:szCs w:val="21"/>
              </w:rPr>
            </w:pPr>
            <w:r>
              <w:rPr>
                <w:color w:val="auto"/>
                <w:szCs w:val="21"/>
              </w:rPr>
              <w:t>环境保护措施</w:t>
            </w:r>
          </w:p>
        </w:tc>
        <w:tc>
          <w:tcPr>
            <w:tcW w:w="2289" w:type="dxa"/>
            <w:vAlign w:val="center"/>
          </w:tcPr>
          <w:p>
            <w:pPr>
              <w:shd w:val="clear"/>
              <w:adjustRightInd w:val="0"/>
              <w:snapToGrid w:val="0"/>
              <w:jc w:val="center"/>
              <w:rPr>
                <w:color w:val="auto"/>
                <w:szCs w:val="21"/>
              </w:rPr>
            </w:pPr>
            <w:r>
              <w:rPr>
                <w:color w:val="auto"/>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12" w:type="dxa"/>
            <w:vMerge w:val="restart"/>
            <w:vAlign w:val="center"/>
          </w:tcPr>
          <w:p>
            <w:pPr>
              <w:shd w:val="clear"/>
              <w:adjustRightInd w:val="0"/>
              <w:snapToGrid w:val="0"/>
              <w:jc w:val="center"/>
              <w:rPr>
                <w:color w:val="auto"/>
                <w:szCs w:val="21"/>
              </w:rPr>
            </w:pPr>
            <w:r>
              <w:rPr>
                <w:color w:val="auto"/>
                <w:szCs w:val="21"/>
              </w:rPr>
              <w:t>大气环境</w:t>
            </w:r>
          </w:p>
        </w:tc>
        <w:tc>
          <w:tcPr>
            <w:tcW w:w="1276" w:type="dxa"/>
            <w:tcBorders>
              <w:bottom w:val="single" w:color="000000" w:sz="4" w:space="0"/>
            </w:tcBorders>
            <w:vAlign w:val="center"/>
          </w:tcPr>
          <w:p>
            <w:pPr>
              <w:shd w:val="clear"/>
              <w:spacing w:line="0" w:lineRule="atLeast"/>
              <w:jc w:val="center"/>
              <w:rPr>
                <w:color w:val="auto"/>
                <w:szCs w:val="21"/>
              </w:rPr>
            </w:pPr>
            <w:r>
              <w:rPr>
                <w:rFonts w:hint="eastAsia"/>
                <w:color w:val="auto"/>
                <w:szCs w:val="21"/>
                <w:lang w:val="en-US" w:eastAsia="zh-CN"/>
              </w:rPr>
              <w:t>1台4</w:t>
            </w:r>
            <w:r>
              <w:rPr>
                <w:rFonts w:hint="eastAsia"/>
                <w:color w:val="auto"/>
                <w:szCs w:val="21"/>
              </w:rPr>
              <w:t>t/h</w:t>
            </w:r>
            <w:r>
              <w:rPr>
                <w:color w:val="auto"/>
                <w:szCs w:val="21"/>
              </w:rPr>
              <w:t>生物质</w:t>
            </w:r>
            <w:r>
              <w:rPr>
                <w:rFonts w:hint="eastAsia"/>
                <w:color w:val="auto"/>
                <w:szCs w:val="21"/>
              </w:rPr>
              <w:t>蒸汽</w:t>
            </w:r>
            <w:r>
              <w:rPr>
                <w:color w:val="auto"/>
                <w:szCs w:val="21"/>
              </w:rPr>
              <w:t>锅炉</w:t>
            </w:r>
            <w:r>
              <w:rPr>
                <w:rFonts w:hint="eastAsia"/>
                <w:color w:val="auto"/>
                <w:szCs w:val="21"/>
              </w:rPr>
              <w:t>DA001</w:t>
            </w:r>
          </w:p>
        </w:tc>
        <w:tc>
          <w:tcPr>
            <w:tcW w:w="1134" w:type="dxa"/>
            <w:tcBorders>
              <w:bottom w:val="single" w:color="000000" w:sz="4" w:space="0"/>
            </w:tcBorders>
            <w:vAlign w:val="center"/>
          </w:tcPr>
          <w:p>
            <w:pPr>
              <w:shd w:val="clear"/>
              <w:adjustRightInd w:val="0"/>
              <w:snapToGrid w:val="0"/>
              <w:jc w:val="center"/>
              <w:rPr>
                <w:color w:val="auto"/>
                <w:szCs w:val="21"/>
              </w:rPr>
            </w:pPr>
            <w:r>
              <w:rPr>
                <w:color w:val="auto"/>
                <w:szCs w:val="21"/>
              </w:rPr>
              <w:t>颗粒物、二氧化硫、氮氧化物</w:t>
            </w:r>
            <w:r>
              <w:rPr>
                <w:rFonts w:hint="eastAsia"/>
                <w:color w:val="auto"/>
                <w:szCs w:val="21"/>
              </w:rPr>
              <w:t>、林格曼黑度</w:t>
            </w:r>
          </w:p>
        </w:tc>
        <w:tc>
          <w:tcPr>
            <w:tcW w:w="2989" w:type="dxa"/>
            <w:tcBorders>
              <w:bottom w:val="single" w:color="000000" w:sz="4" w:space="0"/>
            </w:tcBorders>
            <w:vAlign w:val="center"/>
          </w:tcPr>
          <w:p>
            <w:pPr>
              <w:shd w:val="clear"/>
              <w:adjustRightInd w:val="0"/>
              <w:snapToGrid w:val="0"/>
              <w:jc w:val="center"/>
              <w:rPr>
                <w:color w:val="auto"/>
                <w:szCs w:val="21"/>
              </w:rPr>
            </w:pPr>
            <w:r>
              <w:rPr>
                <w:color w:val="auto"/>
                <w:szCs w:val="21"/>
              </w:rPr>
              <w:t>经布袋除尘器处理后通过3</w:t>
            </w:r>
            <w:r>
              <w:rPr>
                <w:rFonts w:hint="eastAsia"/>
                <w:color w:val="auto"/>
                <w:szCs w:val="21"/>
                <w:lang w:val="en-US" w:eastAsia="zh-CN"/>
              </w:rPr>
              <w:t>5</w:t>
            </w:r>
            <w:r>
              <w:rPr>
                <w:color w:val="auto"/>
                <w:szCs w:val="21"/>
              </w:rPr>
              <w:t>米高烟囱（</w:t>
            </w:r>
            <w:r>
              <w:rPr>
                <w:rFonts w:hint="eastAsia"/>
                <w:color w:val="auto"/>
                <w:szCs w:val="21"/>
              </w:rPr>
              <w:t>DA001</w:t>
            </w:r>
            <w:r>
              <w:rPr>
                <w:color w:val="auto"/>
                <w:szCs w:val="21"/>
              </w:rPr>
              <w:t>）排放，除尘效率为99.9%</w:t>
            </w:r>
          </w:p>
        </w:tc>
        <w:tc>
          <w:tcPr>
            <w:tcW w:w="2289" w:type="dxa"/>
            <w:vAlign w:val="center"/>
          </w:tcPr>
          <w:p>
            <w:pPr>
              <w:shd w:val="clear"/>
              <w:adjustRightInd w:val="0"/>
              <w:snapToGrid w:val="0"/>
              <w:jc w:val="center"/>
              <w:rPr>
                <w:color w:val="auto"/>
                <w:szCs w:val="21"/>
              </w:rPr>
            </w:pPr>
            <w:r>
              <w:rPr>
                <w:color w:val="auto"/>
                <w:szCs w:val="21"/>
              </w:rPr>
              <w:t>《锅炉大气污染物排放标准》（GB13271-2014）</w:t>
            </w:r>
            <w:r>
              <w:rPr>
                <w:rFonts w:hint="eastAsia"/>
                <w:color w:val="auto"/>
                <w:szCs w:val="21"/>
              </w:rPr>
              <w:t>表2新建锅炉大气污染物排放浓度限值中燃煤锅炉要求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12" w:type="dxa"/>
            <w:vMerge w:val="continue"/>
            <w:vAlign w:val="center"/>
          </w:tcPr>
          <w:p>
            <w:pPr>
              <w:shd w:val="clear"/>
              <w:adjustRightInd w:val="0"/>
              <w:snapToGrid w:val="0"/>
              <w:jc w:val="center"/>
              <w:rPr>
                <w:color w:val="auto"/>
                <w:szCs w:val="21"/>
              </w:rPr>
            </w:pPr>
          </w:p>
        </w:tc>
        <w:tc>
          <w:tcPr>
            <w:tcW w:w="1276" w:type="dxa"/>
            <w:vAlign w:val="center"/>
          </w:tcPr>
          <w:p>
            <w:pPr>
              <w:shd w:val="clear"/>
              <w:adjustRightInd w:val="0"/>
              <w:snapToGrid w:val="0"/>
              <w:jc w:val="center"/>
              <w:rPr>
                <w:rFonts w:ascii="宋体" w:hAnsi="宋体" w:cs="宋体"/>
                <w:color w:val="auto"/>
                <w:kern w:val="0"/>
                <w:szCs w:val="21"/>
              </w:rPr>
            </w:pPr>
            <w:r>
              <w:rPr>
                <w:rFonts w:hint="eastAsia" w:ascii="宋体" w:hAnsi="宋体" w:cs="宋体"/>
                <w:color w:val="auto"/>
                <w:kern w:val="0"/>
                <w:szCs w:val="21"/>
              </w:rPr>
              <w:t>蒸煮工序</w:t>
            </w:r>
          </w:p>
          <w:p>
            <w:pPr>
              <w:shd w:val="clear"/>
              <w:adjustRightInd w:val="0"/>
              <w:snapToGrid w:val="0"/>
              <w:jc w:val="center"/>
              <w:rPr>
                <w:color w:val="auto"/>
                <w:szCs w:val="21"/>
              </w:rPr>
            </w:pPr>
            <w:r>
              <w:rPr>
                <w:rFonts w:hint="eastAsia" w:ascii="宋体" w:hAnsi="宋体" w:cs="宋体"/>
                <w:color w:val="auto"/>
                <w:kern w:val="0"/>
                <w:szCs w:val="21"/>
              </w:rPr>
              <w:t>异味</w:t>
            </w:r>
          </w:p>
        </w:tc>
        <w:tc>
          <w:tcPr>
            <w:tcW w:w="1134" w:type="dxa"/>
            <w:tcBorders>
              <w:bottom w:val="single" w:color="000000" w:sz="4" w:space="0"/>
            </w:tcBorders>
            <w:vAlign w:val="center"/>
          </w:tcPr>
          <w:p>
            <w:pPr>
              <w:pStyle w:val="89"/>
              <w:shd w:val="clear"/>
              <w:adjustRightInd w:val="0"/>
              <w:snapToGrid w:val="0"/>
              <w:spacing w:line="240" w:lineRule="auto"/>
              <w:rPr>
                <w:color w:val="auto"/>
                <w:szCs w:val="21"/>
              </w:rPr>
            </w:pPr>
            <w:r>
              <w:rPr>
                <w:rFonts w:hint="eastAsia" w:ascii="宋体" w:eastAsia="宋体" w:cs="宋体"/>
                <w:color w:val="auto"/>
                <w:kern w:val="0"/>
                <w:sz w:val="21"/>
                <w:szCs w:val="21"/>
              </w:rPr>
              <w:t>臭气</w:t>
            </w:r>
          </w:p>
        </w:tc>
        <w:tc>
          <w:tcPr>
            <w:tcW w:w="2989" w:type="dxa"/>
            <w:tcBorders>
              <w:bottom w:val="single" w:color="000000" w:sz="4" w:space="0"/>
            </w:tcBorders>
            <w:vAlign w:val="center"/>
          </w:tcPr>
          <w:p>
            <w:pPr>
              <w:pStyle w:val="89"/>
              <w:shd w:val="clear"/>
              <w:adjustRightInd w:val="0"/>
              <w:snapToGrid w:val="0"/>
              <w:spacing w:line="240" w:lineRule="auto"/>
              <w:rPr>
                <w:color w:val="auto"/>
                <w:szCs w:val="21"/>
              </w:rPr>
            </w:pPr>
            <w:r>
              <w:rPr>
                <w:rFonts w:hint="eastAsia" w:ascii="宋体" w:eastAsia="宋体" w:cs="宋体"/>
                <w:color w:val="auto"/>
                <w:kern w:val="0"/>
                <w:sz w:val="21"/>
                <w:szCs w:val="21"/>
              </w:rPr>
              <w:t>蒸煮工序产生少量异味，在生产车间内散溢，加强车间通风。</w:t>
            </w:r>
          </w:p>
        </w:tc>
        <w:tc>
          <w:tcPr>
            <w:tcW w:w="2289" w:type="dxa"/>
            <w:vAlign w:val="center"/>
          </w:tcPr>
          <w:p>
            <w:pPr>
              <w:shd w:val="clear"/>
              <w:adjustRightInd w:val="0"/>
              <w:snapToGrid w:val="0"/>
              <w:jc w:val="center"/>
              <w:rPr>
                <w:color w:val="auto"/>
                <w:szCs w:val="21"/>
              </w:rPr>
            </w:pPr>
            <w:r>
              <w:rPr>
                <w:color w:val="auto"/>
                <w:szCs w:val="21"/>
              </w:rPr>
              <w:t>《恶臭污染物排放标准》（GB14554-1993）二级厂界排放标准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12" w:type="dxa"/>
            <w:vMerge w:val="continue"/>
            <w:vAlign w:val="center"/>
          </w:tcPr>
          <w:p>
            <w:pPr>
              <w:shd w:val="clear"/>
              <w:adjustRightInd w:val="0"/>
              <w:snapToGrid w:val="0"/>
              <w:jc w:val="center"/>
              <w:rPr>
                <w:color w:val="auto"/>
                <w:szCs w:val="21"/>
              </w:rPr>
            </w:pPr>
          </w:p>
        </w:tc>
        <w:tc>
          <w:tcPr>
            <w:tcW w:w="1276" w:type="dxa"/>
            <w:vAlign w:val="center"/>
          </w:tcPr>
          <w:p>
            <w:pPr>
              <w:pStyle w:val="90"/>
              <w:shd w:val="clear"/>
              <w:spacing w:line="240" w:lineRule="auto"/>
              <w:ind w:firstLine="0" w:firstLineChars="0"/>
              <w:jc w:val="center"/>
              <w:rPr>
                <w:rFonts w:hint="default" w:eastAsia="宋体"/>
                <w:color w:val="auto"/>
                <w:szCs w:val="21"/>
                <w:lang w:val="en-US" w:eastAsia="zh-CN"/>
              </w:rPr>
            </w:pPr>
            <w:r>
              <w:rPr>
                <w:color w:val="auto"/>
                <w:szCs w:val="21"/>
              </w:rPr>
              <w:t>食堂排气筒</w:t>
            </w:r>
            <w:r>
              <w:rPr>
                <w:rFonts w:hint="eastAsia"/>
                <w:color w:val="auto"/>
                <w:szCs w:val="21"/>
                <w:lang w:val="en-US" w:eastAsia="zh-CN"/>
              </w:rPr>
              <w:t>DA002</w:t>
            </w:r>
          </w:p>
        </w:tc>
        <w:tc>
          <w:tcPr>
            <w:tcW w:w="1134" w:type="dxa"/>
            <w:tcBorders>
              <w:bottom w:val="single" w:color="000000" w:sz="4" w:space="0"/>
            </w:tcBorders>
            <w:vAlign w:val="center"/>
          </w:tcPr>
          <w:p>
            <w:pPr>
              <w:shd w:val="clear"/>
              <w:adjustRightInd w:val="0"/>
              <w:snapToGrid w:val="0"/>
              <w:jc w:val="center"/>
              <w:rPr>
                <w:color w:val="auto"/>
                <w:szCs w:val="21"/>
              </w:rPr>
            </w:pPr>
            <w:r>
              <w:rPr>
                <w:color w:val="auto"/>
                <w:szCs w:val="21"/>
              </w:rPr>
              <w:t>食堂油烟</w:t>
            </w:r>
          </w:p>
        </w:tc>
        <w:tc>
          <w:tcPr>
            <w:tcW w:w="2989" w:type="dxa"/>
            <w:tcBorders>
              <w:bottom w:val="single" w:color="000000" w:sz="4" w:space="0"/>
            </w:tcBorders>
            <w:vAlign w:val="center"/>
          </w:tcPr>
          <w:p>
            <w:pPr>
              <w:shd w:val="clear"/>
              <w:adjustRightInd w:val="0"/>
              <w:snapToGrid w:val="0"/>
              <w:jc w:val="center"/>
              <w:rPr>
                <w:color w:val="auto"/>
                <w:szCs w:val="21"/>
              </w:rPr>
            </w:pPr>
            <w:r>
              <w:rPr>
                <w:color w:val="auto"/>
                <w:szCs w:val="21"/>
              </w:rPr>
              <w:t>食堂油烟废气经过油烟净化器进行治理后通过专业排气筒附</w:t>
            </w:r>
            <w:r>
              <w:rPr>
                <w:rFonts w:hint="eastAsia"/>
                <w:color w:val="auto"/>
                <w:szCs w:val="21"/>
              </w:rPr>
              <w:t>屋</w:t>
            </w:r>
            <w:r>
              <w:rPr>
                <w:color w:val="auto"/>
                <w:szCs w:val="21"/>
              </w:rPr>
              <w:t>顶排放</w:t>
            </w:r>
          </w:p>
        </w:tc>
        <w:tc>
          <w:tcPr>
            <w:tcW w:w="2289" w:type="dxa"/>
            <w:vAlign w:val="center"/>
          </w:tcPr>
          <w:p>
            <w:pPr>
              <w:shd w:val="clear"/>
              <w:snapToGrid w:val="0"/>
              <w:rPr>
                <w:bCs/>
                <w:color w:val="auto"/>
                <w:szCs w:val="21"/>
              </w:rPr>
            </w:pPr>
            <w:r>
              <w:rPr>
                <w:color w:val="auto"/>
                <w:szCs w:val="21"/>
              </w:rPr>
              <w:t>满足《饮食业油烟排放标准（试行）》（GB18483-2001）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12" w:type="dxa"/>
            <w:vMerge w:val="restart"/>
            <w:vAlign w:val="center"/>
          </w:tcPr>
          <w:p>
            <w:pPr>
              <w:shd w:val="clear"/>
              <w:adjustRightInd w:val="0"/>
              <w:snapToGrid w:val="0"/>
              <w:jc w:val="center"/>
              <w:rPr>
                <w:color w:val="auto"/>
                <w:szCs w:val="21"/>
              </w:rPr>
            </w:pPr>
            <w:r>
              <w:rPr>
                <w:color w:val="auto"/>
                <w:szCs w:val="21"/>
              </w:rPr>
              <w:t>地表水环境</w:t>
            </w:r>
          </w:p>
        </w:tc>
        <w:tc>
          <w:tcPr>
            <w:tcW w:w="1276" w:type="dxa"/>
            <w:vAlign w:val="center"/>
          </w:tcPr>
          <w:p>
            <w:pPr>
              <w:shd w:val="clear"/>
              <w:adjustRightInd w:val="0"/>
              <w:snapToGrid w:val="0"/>
              <w:jc w:val="center"/>
              <w:rPr>
                <w:bCs/>
                <w:color w:val="auto"/>
                <w:szCs w:val="21"/>
              </w:rPr>
            </w:pPr>
            <w:r>
              <w:rPr>
                <w:rFonts w:hint="eastAsia"/>
                <w:bCs/>
                <w:color w:val="auto"/>
                <w:szCs w:val="21"/>
              </w:rPr>
              <w:t>生活污水</w:t>
            </w:r>
          </w:p>
        </w:tc>
        <w:tc>
          <w:tcPr>
            <w:tcW w:w="1134" w:type="dxa"/>
            <w:vAlign w:val="center"/>
          </w:tcPr>
          <w:p>
            <w:pPr>
              <w:shd w:val="clear"/>
              <w:adjustRightInd w:val="0"/>
              <w:snapToGrid w:val="0"/>
              <w:jc w:val="center"/>
              <w:rPr>
                <w:bCs/>
                <w:color w:val="auto"/>
                <w:szCs w:val="21"/>
              </w:rPr>
            </w:pPr>
            <w:r>
              <w:rPr>
                <w:color w:val="auto"/>
                <w:szCs w:val="21"/>
              </w:rPr>
              <w:t>COD</w:t>
            </w:r>
            <w:r>
              <w:rPr>
                <w:rFonts w:hint="eastAsia"/>
                <w:color w:val="auto"/>
                <w:szCs w:val="21"/>
              </w:rPr>
              <w:t>、氨氮</w:t>
            </w:r>
          </w:p>
        </w:tc>
        <w:tc>
          <w:tcPr>
            <w:tcW w:w="2989" w:type="dxa"/>
            <w:vAlign w:val="center"/>
          </w:tcPr>
          <w:p>
            <w:pPr>
              <w:shd w:val="clear"/>
              <w:adjustRightInd w:val="0"/>
              <w:snapToGrid w:val="0"/>
              <w:jc w:val="center"/>
              <w:rPr>
                <w:bCs/>
                <w:color w:val="auto"/>
                <w:szCs w:val="21"/>
              </w:rPr>
            </w:pPr>
            <w:r>
              <w:rPr>
                <w:rFonts w:hint="eastAsia"/>
                <w:color w:val="auto"/>
              </w:rPr>
              <w:t>生活污水排入防渗</w:t>
            </w:r>
            <w:r>
              <w:rPr>
                <w:rFonts w:hint="eastAsia"/>
                <w:color w:val="auto"/>
                <w:lang w:val="en-US" w:eastAsia="zh-CN"/>
              </w:rPr>
              <w:t>化粪池</w:t>
            </w:r>
            <w:r>
              <w:rPr>
                <w:rFonts w:hint="eastAsia"/>
                <w:color w:val="auto"/>
              </w:rPr>
              <w:t>定期清掏</w:t>
            </w:r>
          </w:p>
        </w:tc>
        <w:tc>
          <w:tcPr>
            <w:tcW w:w="2289" w:type="dxa"/>
            <w:vAlign w:val="center"/>
          </w:tcPr>
          <w:p>
            <w:pPr>
              <w:shd w:val="clear"/>
              <w:adjustRightInd w:val="0"/>
              <w:snapToGrid w:val="0"/>
              <w:jc w:val="center"/>
              <w:rPr>
                <w:bCs/>
                <w:color w:val="auto"/>
                <w:szCs w:val="21"/>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12" w:type="dxa"/>
            <w:vMerge w:val="continue"/>
            <w:vAlign w:val="center"/>
          </w:tcPr>
          <w:p>
            <w:pPr>
              <w:shd w:val="clear"/>
              <w:adjustRightInd w:val="0"/>
              <w:snapToGrid w:val="0"/>
              <w:jc w:val="center"/>
              <w:rPr>
                <w:color w:val="auto"/>
                <w:szCs w:val="21"/>
              </w:rPr>
            </w:pPr>
          </w:p>
        </w:tc>
        <w:tc>
          <w:tcPr>
            <w:tcW w:w="1276" w:type="dxa"/>
            <w:vAlign w:val="center"/>
          </w:tcPr>
          <w:p>
            <w:pPr>
              <w:shd w:val="clear"/>
              <w:adjustRightInd w:val="0"/>
              <w:snapToGrid w:val="0"/>
              <w:jc w:val="center"/>
              <w:rPr>
                <w:bCs/>
                <w:color w:val="auto"/>
                <w:szCs w:val="21"/>
              </w:rPr>
            </w:pPr>
            <w:r>
              <w:rPr>
                <w:rFonts w:hint="eastAsia"/>
                <w:color w:val="auto"/>
              </w:rPr>
              <w:t>清洗及</w:t>
            </w:r>
            <w:r>
              <w:rPr>
                <w:rFonts w:hint="eastAsia"/>
                <w:color w:val="auto"/>
                <w:lang w:eastAsia="zh-CN"/>
              </w:rPr>
              <w:t>蒸煮冷凝水</w:t>
            </w:r>
            <w:r>
              <w:rPr>
                <w:rFonts w:hint="eastAsia"/>
                <w:color w:val="auto"/>
              </w:rPr>
              <w:t>、车间地面冲洗废水、锅炉排污水及软化处理废水</w:t>
            </w:r>
          </w:p>
        </w:tc>
        <w:tc>
          <w:tcPr>
            <w:tcW w:w="1134" w:type="dxa"/>
            <w:vAlign w:val="center"/>
          </w:tcPr>
          <w:p>
            <w:pPr>
              <w:shd w:val="clear"/>
              <w:adjustRightInd w:val="0"/>
              <w:snapToGrid w:val="0"/>
              <w:jc w:val="center"/>
              <w:rPr>
                <w:rFonts w:hint="default" w:eastAsia="宋体"/>
                <w:color w:val="auto"/>
                <w:szCs w:val="21"/>
                <w:lang w:val="en-US" w:eastAsia="zh-CN"/>
              </w:rPr>
            </w:pPr>
            <w:r>
              <w:rPr>
                <w:color w:val="auto"/>
                <w:szCs w:val="21"/>
              </w:rPr>
              <w:t>COD</w:t>
            </w:r>
            <w:r>
              <w:rPr>
                <w:rFonts w:hint="eastAsia"/>
                <w:color w:val="auto"/>
                <w:szCs w:val="21"/>
              </w:rPr>
              <w:t>、</w:t>
            </w:r>
            <w:r>
              <w:rPr>
                <w:color w:val="auto"/>
                <w:szCs w:val="21"/>
              </w:rPr>
              <w:t>BOD</w:t>
            </w:r>
            <w:r>
              <w:rPr>
                <w:color w:val="auto"/>
                <w:szCs w:val="21"/>
                <w:vertAlign w:val="subscript"/>
              </w:rPr>
              <w:t>5</w:t>
            </w:r>
            <w:r>
              <w:rPr>
                <w:rFonts w:hint="eastAsia"/>
                <w:color w:val="auto"/>
                <w:szCs w:val="21"/>
              </w:rPr>
              <w:t>、氨氮、总氮、总磷</w:t>
            </w:r>
            <w:r>
              <w:rPr>
                <w:rFonts w:hint="eastAsia"/>
                <w:color w:val="auto"/>
                <w:szCs w:val="21"/>
                <w:lang w:eastAsia="zh-CN"/>
              </w:rPr>
              <w:t>、</w:t>
            </w:r>
            <w:r>
              <w:rPr>
                <w:rFonts w:hint="eastAsia"/>
                <w:color w:val="auto"/>
                <w:szCs w:val="21"/>
                <w:lang w:val="en-US" w:eastAsia="zh-CN"/>
              </w:rPr>
              <w:t>TDS</w:t>
            </w:r>
          </w:p>
        </w:tc>
        <w:tc>
          <w:tcPr>
            <w:tcW w:w="2989" w:type="dxa"/>
            <w:vAlign w:val="center"/>
          </w:tcPr>
          <w:p>
            <w:pPr>
              <w:shd w:val="clear"/>
              <w:adjustRightInd w:val="0"/>
              <w:snapToGrid w:val="0"/>
              <w:jc w:val="center"/>
              <w:rPr>
                <w:color w:val="auto"/>
              </w:rPr>
            </w:pPr>
            <w:r>
              <w:rPr>
                <w:rFonts w:hint="eastAsia"/>
                <w:color w:val="auto"/>
              </w:rPr>
              <w:t>清洗及</w:t>
            </w:r>
            <w:r>
              <w:rPr>
                <w:rFonts w:hint="eastAsia"/>
                <w:color w:val="auto"/>
                <w:lang w:eastAsia="zh-CN"/>
              </w:rPr>
              <w:t>蒸煮冷凝水</w:t>
            </w:r>
            <w:r>
              <w:rPr>
                <w:rFonts w:hint="eastAsia"/>
                <w:color w:val="auto"/>
              </w:rPr>
              <w:t>与车间地面冲洗废水、锅炉排污水及软化废水</w:t>
            </w:r>
            <w:r>
              <w:rPr>
                <w:rFonts w:hint="eastAsia" w:ascii="宋体" w:cs="宋体"/>
                <w:color w:val="auto"/>
                <w:kern w:val="0"/>
                <w:szCs w:val="21"/>
              </w:rPr>
              <w:t>暂存厂区30m³密闭储罐内，每天进行一次清掏</w:t>
            </w:r>
            <w:r>
              <w:rPr>
                <w:rFonts w:hint="eastAsia"/>
                <w:bCs/>
                <w:color w:val="auto"/>
                <w:szCs w:val="21"/>
              </w:rPr>
              <w:t>，定期由专用罐车拉运至海伦市污水处理厂处理。</w:t>
            </w:r>
          </w:p>
        </w:tc>
        <w:tc>
          <w:tcPr>
            <w:tcW w:w="2289" w:type="dxa"/>
            <w:vAlign w:val="center"/>
          </w:tcPr>
          <w:p>
            <w:pPr>
              <w:shd w:val="clear"/>
              <w:adjustRightInd w:val="0"/>
              <w:snapToGrid w:val="0"/>
              <w:jc w:val="center"/>
              <w:rPr>
                <w:color w:val="auto"/>
              </w:rPr>
            </w:pPr>
            <w:r>
              <w:rPr>
                <w:rFonts w:hint="eastAsia"/>
                <w:color w:val="auto"/>
              </w:rPr>
              <w:t>《污水综合排放标准》（GB8978-1996）三级标准及海伦市污水处理厂进水水质标准。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12" w:type="dxa"/>
            <w:vAlign w:val="center"/>
          </w:tcPr>
          <w:p>
            <w:pPr>
              <w:shd w:val="clear"/>
              <w:adjustRightInd w:val="0"/>
              <w:snapToGrid w:val="0"/>
              <w:jc w:val="center"/>
              <w:rPr>
                <w:color w:val="auto"/>
                <w:szCs w:val="21"/>
              </w:rPr>
            </w:pPr>
            <w:r>
              <w:rPr>
                <w:color w:val="auto"/>
                <w:szCs w:val="21"/>
              </w:rPr>
              <w:t>声环境</w:t>
            </w:r>
          </w:p>
        </w:tc>
        <w:tc>
          <w:tcPr>
            <w:tcW w:w="1276" w:type="dxa"/>
            <w:vAlign w:val="center"/>
          </w:tcPr>
          <w:p>
            <w:pPr>
              <w:pStyle w:val="42"/>
              <w:shd w:val="clear"/>
              <w:ind w:firstLine="0"/>
              <w:contextualSpacing/>
              <w:rPr>
                <w:rFonts w:ascii="Times New Roman" w:hAnsi="Times New Roman"/>
                <w:color w:val="auto"/>
                <w:sz w:val="21"/>
              </w:rPr>
            </w:pPr>
            <w:r>
              <w:rPr>
                <w:rFonts w:hint="eastAsia" w:ascii="Times New Roman" w:hAnsi="Times New Roman"/>
                <w:color w:val="auto"/>
                <w:sz w:val="21"/>
              </w:rPr>
              <w:t>生产设备</w:t>
            </w:r>
          </w:p>
        </w:tc>
        <w:tc>
          <w:tcPr>
            <w:tcW w:w="1134" w:type="dxa"/>
            <w:vAlign w:val="center"/>
          </w:tcPr>
          <w:p>
            <w:pPr>
              <w:shd w:val="clear"/>
              <w:adjustRightInd w:val="0"/>
              <w:snapToGrid w:val="0"/>
              <w:jc w:val="center"/>
              <w:rPr>
                <w:color w:val="auto"/>
                <w:szCs w:val="21"/>
              </w:rPr>
            </w:pPr>
            <w:r>
              <w:rPr>
                <w:color w:val="auto"/>
                <w:szCs w:val="21"/>
              </w:rPr>
              <w:t>噪声</w:t>
            </w:r>
          </w:p>
        </w:tc>
        <w:tc>
          <w:tcPr>
            <w:tcW w:w="2989" w:type="dxa"/>
            <w:vAlign w:val="center"/>
          </w:tcPr>
          <w:p>
            <w:pPr>
              <w:shd w:val="clear"/>
              <w:adjustRightInd w:val="0"/>
              <w:snapToGrid w:val="0"/>
              <w:jc w:val="center"/>
              <w:rPr>
                <w:color w:val="auto"/>
                <w:szCs w:val="21"/>
              </w:rPr>
            </w:pPr>
            <w:r>
              <w:rPr>
                <w:color w:val="auto"/>
                <w:szCs w:val="21"/>
              </w:rPr>
              <w:t>选取低噪声设备，采取减振、隔声等措施</w:t>
            </w:r>
          </w:p>
        </w:tc>
        <w:tc>
          <w:tcPr>
            <w:tcW w:w="2289" w:type="dxa"/>
            <w:vAlign w:val="center"/>
          </w:tcPr>
          <w:p>
            <w:pPr>
              <w:shd w:val="clear"/>
              <w:adjustRightInd w:val="0"/>
              <w:snapToGrid w:val="0"/>
              <w:jc w:val="center"/>
              <w:rPr>
                <w:color w:val="auto"/>
                <w:szCs w:val="21"/>
              </w:rPr>
            </w:pPr>
            <w:r>
              <w:rPr>
                <w:color w:val="auto"/>
                <w:szCs w:val="21"/>
              </w:rPr>
              <w:t>《工业企业厂界环境噪声排放标准》（GB12348-2008）2类标准。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12" w:type="dxa"/>
            <w:vAlign w:val="center"/>
          </w:tcPr>
          <w:p>
            <w:pPr>
              <w:shd w:val="clear"/>
              <w:adjustRightInd w:val="0"/>
              <w:snapToGrid w:val="0"/>
              <w:jc w:val="center"/>
              <w:rPr>
                <w:color w:val="auto"/>
                <w:szCs w:val="21"/>
              </w:rPr>
            </w:pPr>
            <w:r>
              <w:rPr>
                <w:color w:val="auto"/>
                <w:szCs w:val="21"/>
              </w:rPr>
              <w:t>电磁辐射</w:t>
            </w:r>
          </w:p>
        </w:tc>
        <w:tc>
          <w:tcPr>
            <w:tcW w:w="1276" w:type="dxa"/>
            <w:vAlign w:val="center"/>
          </w:tcPr>
          <w:p>
            <w:pPr>
              <w:shd w:val="clear"/>
              <w:ind w:left="-42" w:leftChars="-20" w:right="-42" w:rightChars="-20"/>
              <w:jc w:val="center"/>
              <w:textAlignment w:val="center"/>
              <w:rPr>
                <w:color w:val="auto"/>
                <w:szCs w:val="21"/>
              </w:rPr>
            </w:pPr>
            <w:r>
              <w:rPr>
                <w:color w:val="auto"/>
                <w:szCs w:val="21"/>
              </w:rPr>
              <w:t>无</w:t>
            </w:r>
          </w:p>
        </w:tc>
        <w:tc>
          <w:tcPr>
            <w:tcW w:w="1134" w:type="dxa"/>
            <w:vAlign w:val="center"/>
          </w:tcPr>
          <w:p>
            <w:pPr>
              <w:shd w:val="clear"/>
              <w:adjustRightInd w:val="0"/>
              <w:snapToGrid w:val="0"/>
              <w:jc w:val="center"/>
              <w:rPr>
                <w:color w:val="auto"/>
                <w:szCs w:val="21"/>
              </w:rPr>
            </w:pPr>
            <w:r>
              <w:rPr>
                <w:color w:val="auto"/>
                <w:szCs w:val="21"/>
              </w:rPr>
              <w:t>无</w:t>
            </w:r>
          </w:p>
        </w:tc>
        <w:tc>
          <w:tcPr>
            <w:tcW w:w="2989" w:type="dxa"/>
            <w:vAlign w:val="center"/>
          </w:tcPr>
          <w:p>
            <w:pPr>
              <w:shd w:val="clear"/>
              <w:adjustRightInd w:val="0"/>
              <w:snapToGrid w:val="0"/>
              <w:jc w:val="center"/>
              <w:rPr>
                <w:color w:val="auto"/>
                <w:szCs w:val="21"/>
              </w:rPr>
            </w:pPr>
            <w:r>
              <w:rPr>
                <w:color w:val="auto"/>
                <w:szCs w:val="21"/>
              </w:rPr>
              <w:t>无</w:t>
            </w:r>
          </w:p>
        </w:tc>
        <w:tc>
          <w:tcPr>
            <w:tcW w:w="2289" w:type="dxa"/>
            <w:vAlign w:val="center"/>
          </w:tcPr>
          <w:p>
            <w:pPr>
              <w:shd w:val="clear"/>
              <w:adjustRightInd w:val="0"/>
              <w:snapToGrid w:val="0"/>
              <w:jc w:val="center"/>
              <w:rPr>
                <w:color w:val="auto"/>
                <w:szCs w:val="21"/>
              </w:rPr>
            </w:pPr>
            <w:r>
              <w:rPr>
                <w:color w:val="auto"/>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112" w:type="dxa"/>
            <w:vAlign w:val="center"/>
          </w:tcPr>
          <w:p>
            <w:pPr>
              <w:shd w:val="clear"/>
              <w:adjustRightInd w:val="0"/>
              <w:snapToGrid w:val="0"/>
              <w:jc w:val="center"/>
              <w:rPr>
                <w:color w:val="auto"/>
                <w:szCs w:val="21"/>
              </w:rPr>
            </w:pPr>
            <w:r>
              <w:rPr>
                <w:color w:val="auto"/>
                <w:szCs w:val="21"/>
              </w:rPr>
              <w:t>固体废物</w:t>
            </w:r>
          </w:p>
        </w:tc>
        <w:tc>
          <w:tcPr>
            <w:tcW w:w="7688" w:type="dxa"/>
            <w:gridSpan w:val="4"/>
            <w:vAlign w:val="center"/>
          </w:tcPr>
          <w:p>
            <w:pPr>
              <w:shd w:val="clear"/>
              <w:adjustRightInd w:val="0"/>
              <w:snapToGrid w:val="0"/>
              <w:spacing w:line="360" w:lineRule="auto"/>
              <w:rPr>
                <w:color w:val="auto"/>
                <w:szCs w:val="21"/>
              </w:rPr>
            </w:pPr>
            <w:r>
              <w:rPr>
                <w:color w:val="auto"/>
                <w:szCs w:val="21"/>
              </w:rPr>
              <w:t>生活垃圾由环卫部门统一处理；</w:t>
            </w:r>
            <w:r>
              <w:rPr>
                <w:rFonts w:hint="eastAsia"/>
                <w:color w:val="auto"/>
                <w:szCs w:val="21"/>
              </w:rPr>
              <w:t>废纸箱及废包装袋</w:t>
            </w:r>
            <w:r>
              <w:rPr>
                <w:color w:val="auto"/>
                <w:szCs w:val="21"/>
              </w:rPr>
              <w:t>集中收集外售综合利用</w:t>
            </w:r>
            <w:r>
              <w:rPr>
                <w:rFonts w:hint="eastAsia"/>
                <w:color w:val="auto"/>
                <w:szCs w:val="21"/>
              </w:rPr>
              <w:t>；玉米叶、玉米须、不合格的果穗、青穗以及废弃玉米段</w:t>
            </w:r>
            <w:r>
              <w:rPr>
                <w:color w:val="auto"/>
                <w:szCs w:val="21"/>
              </w:rPr>
              <w:t>集中</w:t>
            </w:r>
            <w:r>
              <w:rPr>
                <w:rFonts w:hint="eastAsia"/>
                <w:color w:val="auto"/>
                <w:szCs w:val="21"/>
              </w:rPr>
              <w:t>收集，外售用作饲料；</w:t>
            </w:r>
            <w:r>
              <w:rPr>
                <w:rFonts w:hint="eastAsia"/>
                <w:bCs/>
                <w:color w:val="auto"/>
                <w:szCs w:val="21"/>
              </w:rPr>
              <w:t>锅炉灰</w:t>
            </w:r>
            <w:r>
              <w:rPr>
                <w:bCs/>
                <w:color w:val="auto"/>
                <w:szCs w:val="21"/>
              </w:rPr>
              <w:t>渣与布袋除尘器收尘</w:t>
            </w:r>
            <w:r>
              <w:rPr>
                <w:rFonts w:hint="eastAsia"/>
                <w:bCs/>
                <w:color w:val="auto"/>
                <w:szCs w:val="21"/>
              </w:rPr>
              <w:t>集中收集于灰渣仓，</w:t>
            </w:r>
            <w:r>
              <w:rPr>
                <w:bCs/>
                <w:color w:val="auto"/>
                <w:szCs w:val="21"/>
              </w:rPr>
              <w:t>外售综合利用</w:t>
            </w:r>
            <w:r>
              <w:rPr>
                <w:rFonts w:hint="eastAsia"/>
                <w:bCs/>
                <w:color w:val="auto"/>
                <w:szCs w:val="21"/>
              </w:rPr>
              <w:t>；废离子交换树脂由厂家回收再利用</w:t>
            </w:r>
            <w:r>
              <w:rPr>
                <w:bCs/>
                <w:color w:val="auto"/>
                <w:szCs w:val="21"/>
              </w:rPr>
              <w:t>。</w:t>
            </w:r>
            <w:r>
              <w:rPr>
                <w:color w:val="auto"/>
                <w:szCs w:val="21"/>
              </w:rPr>
              <w:t>项目固废执行《一般工业固体废物贮存</w:t>
            </w:r>
            <w:r>
              <w:rPr>
                <w:rFonts w:hint="eastAsia"/>
                <w:color w:val="auto"/>
                <w:szCs w:val="21"/>
              </w:rPr>
              <w:t>和填埋</w:t>
            </w:r>
            <w:r>
              <w:rPr>
                <w:color w:val="auto"/>
                <w:szCs w:val="21"/>
              </w:rPr>
              <w:t>污染控制标准》（GB18599-2020）中的有关规定。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112" w:type="dxa"/>
            <w:vAlign w:val="center"/>
          </w:tcPr>
          <w:p>
            <w:pPr>
              <w:shd w:val="clear"/>
              <w:adjustRightInd w:val="0"/>
              <w:snapToGrid w:val="0"/>
              <w:jc w:val="center"/>
              <w:rPr>
                <w:color w:val="auto"/>
                <w:szCs w:val="21"/>
              </w:rPr>
            </w:pPr>
            <w:r>
              <w:rPr>
                <w:color w:val="auto"/>
                <w:szCs w:val="21"/>
              </w:rPr>
              <w:t>土壤及地下水污染防治措施</w:t>
            </w:r>
          </w:p>
        </w:tc>
        <w:tc>
          <w:tcPr>
            <w:tcW w:w="7688" w:type="dxa"/>
            <w:gridSpan w:val="4"/>
            <w:vAlign w:val="center"/>
          </w:tcPr>
          <w:p>
            <w:pPr>
              <w:shd w:val="clear"/>
              <w:adjustRightInd w:val="0"/>
              <w:snapToGrid w:val="0"/>
              <w:spacing w:line="360" w:lineRule="auto"/>
              <w:jc w:val="center"/>
              <w:rPr>
                <w:color w:val="auto"/>
                <w:szCs w:val="21"/>
              </w:rPr>
            </w:pPr>
            <w:r>
              <w:rPr>
                <w:rFonts w:hint="eastAsia"/>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112" w:type="dxa"/>
            <w:vAlign w:val="center"/>
          </w:tcPr>
          <w:p>
            <w:pPr>
              <w:shd w:val="clear"/>
              <w:adjustRightInd w:val="0"/>
              <w:snapToGrid w:val="0"/>
              <w:jc w:val="center"/>
              <w:rPr>
                <w:color w:val="auto"/>
                <w:szCs w:val="21"/>
              </w:rPr>
            </w:pPr>
            <w:r>
              <w:rPr>
                <w:color w:val="auto"/>
                <w:szCs w:val="21"/>
              </w:rPr>
              <w:t>生态保护措施</w:t>
            </w:r>
          </w:p>
        </w:tc>
        <w:tc>
          <w:tcPr>
            <w:tcW w:w="7688" w:type="dxa"/>
            <w:gridSpan w:val="4"/>
            <w:vAlign w:val="center"/>
          </w:tcPr>
          <w:p>
            <w:pPr>
              <w:shd w:val="clear"/>
              <w:adjustRightInd w:val="0"/>
              <w:snapToGrid w:val="0"/>
              <w:spacing w:line="360" w:lineRule="auto"/>
              <w:jc w:val="center"/>
              <w:rPr>
                <w:color w:val="auto"/>
                <w:szCs w:val="21"/>
              </w:rPr>
            </w:pPr>
            <w:r>
              <w:rPr>
                <w:color w:val="auto"/>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112" w:type="dxa"/>
            <w:vAlign w:val="center"/>
          </w:tcPr>
          <w:p>
            <w:pPr>
              <w:shd w:val="clear"/>
              <w:adjustRightInd w:val="0"/>
              <w:snapToGrid w:val="0"/>
              <w:jc w:val="center"/>
              <w:rPr>
                <w:color w:val="auto"/>
                <w:spacing w:val="-8"/>
                <w:szCs w:val="21"/>
              </w:rPr>
            </w:pPr>
            <w:r>
              <w:rPr>
                <w:color w:val="auto"/>
                <w:spacing w:val="-8"/>
                <w:szCs w:val="21"/>
              </w:rPr>
              <w:t>环境风险</w:t>
            </w:r>
          </w:p>
          <w:p>
            <w:pPr>
              <w:shd w:val="clear"/>
              <w:adjustRightInd w:val="0"/>
              <w:snapToGrid w:val="0"/>
              <w:jc w:val="center"/>
              <w:rPr>
                <w:color w:val="auto"/>
                <w:spacing w:val="-8"/>
                <w:szCs w:val="21"/>
              </w:rPr>
            </w:pPr>
            <w:r>
              <w:rPr>
                <w:color w:val="auto"/>
                <w:spacing w:val="-8"/>
                <w:szCs w:val="21"/>
              </w:rPr>
              <w:t>防范措施</w:t>
            </w:r>
          </w:p>
        </w:tc>
        <w:tc>
          <w:tcPr>
            <w:tcW w:w="7688" w:type="dxa"/>
            <w:gridSpan w:val="4"/>
            <w:vAlign w:val="center"/>
          </w:tcPr>
          <w:p>
            <w:pPr>
              <w:shd w:val="clear"/>
              <w:adjustRightInd w:val="0"/>
              <w:snapToGrid w:val="0"/>
              <w:spacing w:line="360" w:lineRule="auto"/>
              <w:jc w:val="center"/>
              <w:rPr>
                <w:color w:val="auto"/>
                <w:szCs w:val="21"/>
              </w:rPr>
            </w:pPr>
            <w:r>
              <w:rPr>
                <w:rFonts w:hint="eastAsia" w:ascii="宋体" w:hAnsi="宋体" w:cs="宋体"/>
                <w:bCs/>
                <w:color w:val="auto"/>
                <w:kern w:val="0"/>
                <w:szCs w:val="21"/>
              </w:rPr>
              <w:t>本企业必须设立安全管理机构，并配备专职安全员，负责本厂的安全工作。安全机构的职能是：贯彻执行国家有关劳动保护、安全、工业卫生的法令和法规，负责全厂的安全生产、防火防爆防毒；组织进行安全检查和安全知识教育；制定安全管理制度，审查安全技术规程并监督检查执行情况，以及各类工伤、事故的综合管理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112" w:type="dxa"/>
            <w:vAlign w:val="center"/>
          </w:tcPr>
          <w:p>
            <w:pPr>
              <w:shd w:val="clear"/>
              <w:adjustRightInd w:val="0"/>
              <w:snapToGrid w:val="0"/>
              <w:jc w:val="center"/>
              <w:rPr>
                <w:color w:val="auto"/>
                <w:spacing w:val="-8"/>
                <w:szCs w:val="21"/>
              </w:rPr>
            </w:pPr>
            <w:r>
              <w:rPr>
                <w:color w:val="auto"/>
                <w:spacing w:val="-8"/>
                <w:szCs w:val="21"/>
              </w:rPr>
              <w:t>其他环境</w:t>
            </w:r>
          </w:p>
          <w:p>
            <w:pPr>
              <w:shd w:val="clear"/>
              <w:adjustRightInd w:val="0"/>
              <w:snapToGrid w:val="0"/>
              <w:jc w:val="center"/>
              <w:rPr>
                <w:color w:val="auto"/>
                <w:spacing w:val="-8"/>
                <w:szCs w:val="21"/>
              </w:rPr>
            </w:pPr>
            <w:r>
              <w:rPr>
                <w:color w:val="auto"/>
                <w:spacing w:val="-8"/>
                <w:szCs w:val="21"/>
              </w:rPr>
              <w:t>管理要求</w:t>
            </w:r>
          </w:p>
        </w:tc>
        <w:tc>
          <w:tcPr>
            <w:tcW w:w="7688" w:type="dxa"/>
            <w:gridSpan w:val="4"/>
            <w:vAlign w:val="center"/>
          </w:tcPr>
          <w:p>
            <w:pPr>
              <w:shd w:val="clear"/>
              <w:adjustRightInd w:val="0"/>
              <w:snapToGrid w:val="0"/>
              <w:spacing w:line="360" w:lineRule="auto"/>
              <w:rPr>
                <w:color w:val="auto"/>
                <w:szCs w:val="21"/>
              </w:rPr>
            </w:pPr>
            <w:r>
              <w:rPr>
                <w:color w:val="auto"/>
                <w:szCs w:val="21"/>
              </w:rPr>
              <w:t>工作区内需指定专门的</w:t>
            </w:r>
            <w:r>
              <w:rPr>
                <w:rFonts w:hint="eastAsia" w:ascii="宋体" w:hAnsi="宋体" w:cs="宋体"/>
                <w:color w:val="auto"/>
                <w:szCs w:val="21"/>
              </w:rPr>
              <w:t>人员，在本项目实施时严格执行“三同时”制度，保证项目运营时三废均能得到有效处理后达标排放。在日常生产中，应加强环保管理，大力推行清洁生产，并加强职工对污染要“以防为主，防治结合”的认识</w:t>
            </w:r>
            <w:r>
              <w:rPr>
                <w:color w:val="auto"/>
                <w:szCs w:val="21"/>
              </w:rPr>
              <w:t>。另外，应加强对设备运行状况的检查，特别是环保设施要做到定期检查，制定检查方案与实施计划，严防出故障，对三废处理装置要定期检修，以确保污染物达标排放。按照相关要求，对排污口进行规范化管理，在正确的排放点位设置标识，以便进行自行验收和规范化管理，按照《排污许可管理办法（试行）》（环境保护部令48号）和《固定污染源排污许可分类管理名录（2019版）》相关要求，在规定时间内取得排污许可证，按证排污。并做好环境管理台账记录，上报季度、年度执行报告等相关要求。</w:t>
            </w: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pStyle w:val="9"/>
              <w:shd w:val="clear"/>
              <w:rPr>
                <w:color w:val="auto"/>
                <w:szCs w:val="21"/>
              </w:rPr>
            </w:pPr>
          </w:p>
          <w:p>
            <w:pPr>
              <w:shd w:val="clear"/>
              <w:rPr>
                <w:color w:val="auto"/>
                <w:szCs w:val="21"/>
              </w:rPr>
            </w:pPr>
          </w:p>
          <w:p>
            <w:pPr>
              <w:pStyle w:val="9"/>
              <w:shd w:val="clear"/>
              <w:rPr>
                <w:color w:val="auto"/>
                <w:szCs w:val="21"/>
              </w:rPr>
            </w:pPr>
          </w:p>
          <w:p>
            <w:pPr>
              <w:shd w:val="clear"/>
              <w:rPr>
                <w:color w:val="auto"/>
                <w:szCs w:val="21"/>
              </w:rPr>
            </w:pPr>
          </w:p>
          <w:p>
            <w:pPr>
              <w:pStyle w:val="9"/>
              <w:shd w:val="clear"/>
              <w:rPr>
                <w:color w:val="auto"/>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p>
          <w:p>
            <w:pPr>
              <w:shd w:val="clear"/>
              <w:adjustRightInd w:val="0"/>
              <w:snapToGrid w:val="0"/>
              <w:spacing w:line="360" w:lineRule="auto"/>
              <w:rPr>
                <w:color w:val="auto"/>
                <w:szCs w:val="21"/>
              </w:rPr>
            </w:pPr>
            <w:r>
              <w:rPr>
                <w:rFonts w:hint="eastAsia"/>
                <w:color w:val="auto"/>
                <w:szCs w:val="21"/>
              </w:rPr>
              <w:t xml:space="preserve"> </w:t>
            </w:r>
          </w:p>
          <w:p>
            <w:pPr>
              <w:shd w:val="clear"/>
              <w:adjustRightInd w:val="0"/>
              <w:snapToGrid w:val="0"/>
              <w:spacing w:line="360" w:lineRule="auto"/>
              <w:jc w:val="center"/>
              <w:rPr>
                <w:color w:val="auto"/>
                <w:szCs w:val="21"/>
              </w:rPr>
            </w:pPr>
          </w:p>
        </w:tc>
      </w:tr>
    </w:tbl>
    <w:p>
      <w:pPr>
        <w:pStyle w:val="23"/>
        <w:shd w:val="clear"/>
        <w:jc w:val="center"/>
        <w:outlineLvl w:val="0"/>
        <w:rPr>
          <w:rFonts w:ascii="Times New Roman" w:hAnsi="Times New Roman"/>
          <w:snapToGrid w:val="0"/>
          <w:color w:val="auto"/>
        </w:rPr>
      </w:pPr>
      <w:r>
        <w:rPr>
          <w:rFonts w:ascii="Times New Roman" w:hAnsi="Times New Roman"/>
          <w:snapToGrid w:val="0"/>
          <w:color w:val="auto"/>
        </w:rPr>
        <w:br w:type="page"/>
      </w:r>
      <w:bookmarkStart w:id="14" w:name="_Toc25559"/>
      <w:r>
        <w:rPr>
          <w:rFonts w:ascii="Times New Roman" w:hAnsi="Times New Roman" w:eastAsia="黑体"/>
          <w:snapToGrid w:val="0"/>
          <w:color w:val="auto"/>
          <w:sz w:val="30"/>
          <w:szCs w:val="30"/>
        </w:rPr>
        <w:t>六、结论</w:t>
      </w:r>
      <w:bookmarkEnd w:id="14"/>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shd w:val="clear"/>
              <w:adjustRightInd w:val="0"/>
              <w:snapToGrid w:val="0"/>
              <w:spacing w:line="360" w:lineRule="auto"/>
              <w:ind w:firstLine="480" w:firstLineChars="200"/>
              <w:rPr>
                <w:bCs/>
                <w:color w:val="auto"/>
                <w:sz w:val="24"/>
              </w:rPr>
            </w:pPr>
            <w:r>
              <w:rPr>
                <w:color w:val="auto"/>
                <w:sz w:val="24"/>
              </w:rPr>
              <w:t>项目</w:t>
            </w:r>
            <w:r>
              <w:rPr>
                <w:bCs/>
                <w:color w:val="auto"/>
                <w:sz w:val="24"/>
              </w:rPr>
              <w:t>符合国家产业政策、地方相关规划，符合“三线一单”。建设单位通过严格落实环评中的各项污染防治措施，可确保本项目产生的各项污染物达标排放，从环境角度考虑，项目选址可行。</w:t>
            </w:r>
          </w:p>
          <w:p>
            <w:pPr>
              <w:shd w:val="clear"/>
              <w:adjustRightInd w:val="0"/>
              <w:snapToGrid w:val="0"/>
              <w:spacing w:line="360" w:lineRule="auto"/>
              <w:ind w:firstLine="480" w:firstLineChars="200"/>
              <w:rPr>
                <w:bCs/>
                <w:color w:val="auto"/>
                <w:sz w:val="24"/>
              </w:rPr>
            </w:pPr>
            <w:r>
              <w:rPr>
                <w:bCs/>
                <w:color w:val="auto"/>
                <w:sz w:val="24"/>
              </w:rPr>
              <w:t>本项目运营期在确保严格落实本报告表提出的污染物防治措施的前提下，对地表水环境、环境空气、声环境等的影响较小，可以被周围环境所接受。因此，本项目的建设从环境保护的角度而言是可行的。</w:t>
            </w:r>
          </w:p>
          <w:p>
            <w:pPr>
              <w:pStyle w:val="52"/>
              <w:shd w:val="clear"/>
              <w:ind w:firstLine="480"/>
              <w:rPr>
                <w:color w:val="auto"/>
              </w:rPr>
            </w:pPr>
          </w:p>
        </w:tc>
      </w:tr>
    </w:tbl>
    <w:p>
      <w:pPr>
        <w:shd w:val="clear"/>
        <w:rPr>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3"/>
        <w:shd w:val="clear"/>
        <w:spacing w:before="0" w:beforeAutospacing="0" w:after="0" w:afterAutospacing="0"/>
        <w:jc w:val="both"/>
        <w:outlineLvl w:val="0"/>
        <w:rPr>
          <w:rFonts w:ascii="Times New Roman" w:hAnsi="Times New Roman" w:eastAsia="黑体"/>
          <w:snapToGrid w:val="0"/>
          <w:color w:val="auto"/>
          <w:sz w:val="30"/>
          <w:szCs w:val="30"/>
        </w:rPr>
      </w:pPr>
      <w:bookmarkStart w:id="15" w:name="_Toc20547"/>
      <w:r>
        <w:rPr>
          <w:rFonts w:ascii="Times New Roman" w:hAnsi="Times New Roman" w:eastAsia="黑体"/>
          <w:snapToGrid w:val="0"/>
          <w:color w:val="auto"/>
          <w:sz w:val="30"/>
          <w:szCs w:val="30"/>
        </w:rPr>
        <w:t>附表</w:t>
      </w:r>
      <w:bookmarkEnd w:id="15"/>
    </w:p>
    <w:p>
      <w:pPr>
        <w:pStyle w:val="19"/>
        <w:shd w:val="clear"/>
        <w:tabs>
          <w:tab w:val="right" w:leader="dot" w:pos="8844"/>
        </w:tabs>
        <w:spacing w:after="240" w:afterLines="100"/>
        <w:jc w:val="center"/>
        <w:outlineLvl w:val="0"/>
        <w:rPr>
          <w:rFonts w:eastAsia="黑体"/>
          <w:snapToGrid w:val="0"/>
          <w:color w:val="auto"/>
          <w:sz w:val="30"/>
          <w:szCs w:val="30"/>
        </w:rPr>
      </w:pPr>
      <w:bookmarkStart w:id="16" w:name="_Toc10470"/>
      <w:r>
        <w:rPr>
          <w:rFonts w:eastAsia="黑体"/>
          <w:snapToGrid w:val="0"/>
          <w:color w:val="auto"/>
          <w:sz w:val="30"/>
          <w:szCs w:val="30"/>
        </w:rPr>
        <w:t>建设项目污染物排放量汇总表</w:t>
      </w:r>
      <w:bookmarkEnd w:id="16"/>
      <w:r>
        <w:rPr>
          <w:rFonts w:eastAsia="黑体"/>
          <w:snapToGrid w:val="0"/>
          <w:color w:val="auto"/>
          <w:sz w:val="30"/>
          <w:szCs w:val="30"/>
        </w:rPr>
        <w:t xml:space="preserve">    </w:t>
      </w:r>
    </w:p>
    <w:p>
      <w:pPr>
        <w:pStyle w:val="39"/>
        <w:shd w:val="clear"/>
        <w:spacing w:line="240" w:lineRule="auto"/>
        <w:jc w:val="right"/>
        <w:rPr>
          <w:rFonts w:ascii="Times New Roman" w:hAnsi="Times New Roman"/>
          <w:snapToGrid w:val="0"/>
          <w:color w:val="auto"/>
        </w:rPr>
      </w:pPr>
      <w:r>
        <w:rPr>
          <w:rFonts w:ascii="Times New Roman" w:hAnsi="Times New Roman"/>
          <w:snapToGrid w:val="0"/>
          <w:color w:val="auto"/>
        </w:rPr>
        <w:t>单位：t/a</w:t>
      </w:r>
    </w:p>
    <w:tbl>
      <w:tblPr>
        <w:tblStyle w:val="27"/>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1701"/>
        <w:gridCol w:w="1701"/>
        <w:gridCol w:w="1276"/>
        <w:gridCol w:w="1701"/>
        <w:gridCol w:w="1559"/>
        <w:gridCol w:w="1761"/>
        <w:gridCol w:w="1959"/>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tcBorders>
              <w:tl2br w:val="single" w:color="auto" w:sz="4" w:space="0"/>
            </w:tcBorders>
            <w:tcMar>
              <w:left w:w="28" w:type="dxa"/>
              <w:right w:w="28" w:type="dxa"/>
            </w:tcMar>
            <w:vAlign w:val="center"/>
          </w:tcPr>
          <w:p>
            <w:pPr>
              <w:pStyle w:val="50"/>
              <w:shd w:val="clear"/>
              <w:spacing w:beforeLines="0" w:afterLines="0" w:line="240" w:lineRule="auto"/>
              <w:jc w:val="right"/>
              <w:rPr>
                <w:rFonts w:ascii="Times New Roman"/>
                <w:snapToGrid w:val="0"/>
                <w:color w:val="auto"/>
                <w:spacing w:val="-6"/>
                <w:kern w:val="21"/>
                <w:szCs w:val="21"/>
              </w:rPr>
            </w:pPr>
            <w:r>
              <w:rPr>
                <w:rFonts w:ascii="Times New Roman"/>
                <w:snapToGrid w:val="0"/>
                <w:color w:val="auto"/>
                <w:spacing w:val="-6"/>
                <w:kern w:val="21"/>
                <w:szCs w:val="21"/>
              </w:rPr>
              <w:t>项目</w:t>
            </w:r>
          </w:p>
          <w:p>
            <w:pPr>
              <w:pStyle w:val="50"/>
              <w:shd w:val="clear"/>
              <w:spacing w:beforeLines="0" w:afterLines="0" w:line="240" w:lineRule="auto"/>
              <w:jc w:val="left"/>
              <w:rPr>
                <w:rFonts w:ascii="Times New Roman"/>
                <w:snapToGrid w:val="0"/>
                <w:color w:val="auto"/>
                <w:spacing w:val="-6"/>
                <w:kern w:val="21"/>
                <w:szCs w:val="21"/>
              </w:rPr>
            </w:pPr>
            <w:r>
              <w:rPr>
                <w:rFonts w:ascii="Times New Roman"/>
                <w:snapToGrid w:val="0"/>
                <w:color w:val="auto"/>
                <w:spacing w:val="-6"/>
                <w:kern w:val="21"/>
                <w:szCs w:val="21"/>
              </w:rPr>
              <w:t>分类</w:t>
            </w:r>
          </w:p>
        </w:tc>
        <w:tc>
          <w:tcPr>
            <w:tcW w:w="1701" w:type="dxa"/>
            <w:tcMar>
              <w:left w:w="28" w:type="dxa"/>
              <w:right w:w="28" w:type="dxa"/>
            </w:tcMar>
            <w:vAlign w:val="center"/>
          </w:tcPr>
          <w:p>
            <w:pPr>
              <w:pStyle w:val="50"/>
              <w:shd w:val="clear"/>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污染物名称</w:t>
            </w:r>
          </w:p>
        </w:tc>
        <w:tc>
          <w:tcPr>
            <w:tcW w:w="1701" w:type="dxa"/>
            <w:tcMar>
              <w:left w:w="28" w:type="dxa"/>
              <w:right w:w="28" w:type="dxa"/>
            </w:tcMar>
            <w:vAlign w:val="center"/>
          </w:tcPr>
          <w:p>
            <w:pPr>
              <w:pStyle w:val="50"/>
              <w:shd w:val="clear"/>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pPr>
              <w:pStyle w:val="50"/>
              <w:shd w:val="clear"/>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hAnsi="宋体" w:cs="宋体"/>
                <w:color w:val="auto"/>
                <w:kern w:val="2"/>
                <w:szCs w:val="21"/>
              </w:rPr>
              <w:t>①</w:t>
            </w:r>
            <w:r>
              <w:rPr>
                <w:rFonts w:ascii="Times New Roman"/>
                <w:snapToGrid w:val="0"/>
                <w:color w:val="auto"/>
                <w:spacing w:val="-6"/>
                <w:kern w:val="21"/>
                <w:szCs w:val="21"/>
              </w:rPr>
              <w:fldChar w:fldCharType="end"/>
            </w:r>
          </w:p>
        </w:tc>
        <w:tc>
          <w:tcPr>
            <w:tcW w:w="1276" w:type="dxa"/>
            <w:tcMar>
              <w:left w:w="28" w:type="dxa"/>
              <w:right w:w="28" w:type="dxa"/>
            </w:tcMar>
            <w:vAlign w:val="center"/>
          </w:tcPr>
          <w:p>
            <w:pPr>
              <w:pStyle w:val="50"/>
              <w:shd w:val="clear"/>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pPr>
              <w:pStyle w:val="50"/>
              <w:shd w:val="clear"/>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许可排放量</w:t>
            </w:r>
          </w:p>
          <w:p>
            <w:pPr>
              <w:pStyle w:val="50"/>
              <w:shd w:val="clear"/>
              <w:spacing w:beforeLines="0" w:afterLines="0"/>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2 \* GB3 \* MERGEFORMAT </w:instrText>
            </w:r>
            <w:r>
              <w:rPr>
                <w:rFonts w:ascii="Times New Roman"/>
                <w:snapToGrid w:val="0"/>
                <w:color w:val="auto"/>
                <w:spacing w:val="-6"/>
                <w:kern w:val="21"/>
                <w:szCs w:val="21"/>
              </w:rPr>
              <w:fldChar w:fldCharType="separate"/>
            </w:r>
            <w:r>
              <w:rPr>
                <w:rFonts w:hint="eastAsia" w:hAnsi="宋体" w:cs="宋体"/>
                <w:snapToGrid w:val="0"/>
                <w:color w:val="auto"/>
                <w:spacing w:val="-6"/>
                <w:kern w:val="21"/>
                <w:szCs w:val="21"/>
              </w:rPr>
              <w:t>②</w:t>
            </w:r>
            <w:r>
              <w:rPr>
                <w:rFonts w:ascii="Times New Roman"/>
                <w:snapToGrid w:val="0"/>
                <w:color w:val="auto"/>
                <w:spacing w:val="-6"/>
                <w:kern w:val="21"/>
                <w:szCs w:val="21"/>
              </w:rPr>
              <w:fldChar w:fldCharType="end"/>
            </w:r>
          </w:p>
        </w:tc>
        <w:tc>
          <w:tcPr>
            <w:tcW w:w="1701" w:type="dxa"/>
            <w:tcMar>
              <w:left w:w="28" w:type="dxa"/>
              <w:right w:w="28" w:type="dxa"/>
            </w:tcMar>
            <w:vAlign w:val="center"/>
          </w:tcPr>
          <w:p>
            <w:pPr>
              <w:pStyle w:val="50"/>
              <w:shd w:val="clear"/>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在建工程</w:t>
            </w:r>
          </w:p>
          <w:p>
            <w:pPr>
              <w:pStyle w:val="50"/>
              <w:shd w:val="clear"/>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hint="eastAsia" w:hAnsi="宋体" w:cs="宋体"/>
                <w:color w:val="auto"/>
                <w:kern w:val="2"/>
                <w:szCs w:val="21"/>
              </w:rPr>
              <w:t>③</w:t>
            </w:r>
            <w:r>
              <w:rPr>
                <w:rFonts w:ascii="Times New Roman"/>
                <w:snapToGrid w:val="0"/>
                <w:color w:val="auto"/>
                <w:spacing w:val="-6"/>
                <w:kern w:val="21"/>
                <w:szCs w:val="21"/>
              </w:rPr>
              <w:fldChar w:fldCharType="end"/>
            </w:r>
          </w:p>
        </w:tc>
        <w:tc>
          <w:tcPr>
            <w:tcW w:w="1559" w:type="dxa"/>
            <w:tcMar>
              <w:left w:w="28" w:type="dxa"/>
              <w:right w:w="28" w:type="dxa"/>
            </w:tcMar>
            <w:vAlign w:val="center"/>
          </w:tcPr>
          <w:p>
            <w:pPr>
              <w:pStyle w:val="50"/>
              <w:shd w:val="clear"/>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本项目</w:t>
            </w:r>
          </w:p>
          <w:p>
            <w:pPr>
              <w:pStyle w:val="50"/>
              <w:shd w:val="clear"/>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hint="eastAsia" w:hAnsi="宋体" w:cs="宋体"/>
                <w:color w:val="auto"/>
                <w:kern w:val="2"/>
                <w:szCs w:val="21"/>
              </w:rPr>
              <w:t>④</w:t>
            </w:r>
            <w:r>
              <w:rPr>
                <w:rFonts w:ascii="Times New Roman"/>
                <w:snapToGrid w:val="0"/>
                <w:color w:val="auto"/>
                <w:spacing w:val="-6"/>
                <w:kern w:val="21"/>
                <w:szCs w:val="21"/>
              </w:rPr>
              <w:fldChar w:fldCharType="end"/>
            </w:r>
          </w:p>
        </w:tc>
        <w:tc>
          <w:tcPr>
            <w:tcW w:w="1761" w:type="dxa"/>
            <w:tcMar>
              <w:left w:w="28" w:type="dxa"/>
              <w:right w:w="28" w:type="dxa"/>
            </w:tcMar>
            <w:vAlign w:val="center"/>
          </w:tcPr>
          <w:p>
            <w:pPr>
              <w:pStyle w:val="50"/>
              <w:shd w:val="clear"/>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以新带老削减量</w:t>
            </w:r>
          </w:p>
          <w:p>
            <w:pPr>
              <w:pStyle w:val="50"/>
              <w:shd w:val="clear"/>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（新建项目不填）</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hint="eastAsia" w:hAnsi="宋体" w:cs="宋体"/>
                <w:color w:val="auto"/>
                <w:kern w:val="2"/>
                <w:szCs w:val="21"/>
              </w:rPr>
              <w:t>⑤</w:t>
            </w:r>
            <w:r>
              <w:rPr>
                <w:rFonts w:ascii="Times New Roman"/>
                <w:snapToGrid w:val="0"/>
                <w:color w:val="auto"/>
                <w:spacing w:val="-16"/>
                <w:kern w:val="21"/>
                <w:szCs w:val="21"/>
              </w:rPr>
              <w:fldChar w:fldCharType="end"/>
            </w:r>
          </w:p>
        </w:tc>
        <w:tc>
          <w:tcPr>
            <w:tcW w:w="1959" w:type="dxa"/>
            <w:tcMar>
              <w:left w:w="28" w:type="dxa"/>
              <w:right w:w="28" w:type="dxa"/>
            </w:tcMar>
            <w:vAlign w:val="center"/>
          </w:tcPr>
          <w:p>
            <w:pPr>
              <w:pStyle w:val="50"/>
              <w:shd w:val="clear"/>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本项目建成后</w:t>
            </w:r>
          </w:p>
          <w:p>
            <w:pPr>
              <w:pStyle w:val="50"/>
              <w:shd w:val="clear"/>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全厂排放量（固体废物产生量）</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hAnsi="宋体" w:cs="宋体"/>
                <w:color w:val="auto"/>
                <w:kern w:val="2"/>
                <w:szCs w:val="21"/>
              </w:rPr>
              <w:t>⑥</w:t>
            </w:r>
            <w:r>
              <w:rPr>
                <w:rFonts w:ascii="Times New Roman"/>
                <w:snapToGrid w:val="0"/>
                <w:color w:val="auto"/>
                <w:spacing w:val="-16"/>
                <w:kern w:val="21"/>
                <w:szCs w:val="21"/>
              </w:rPr>
              <w:fldChar w:fldCharType="end"/>
            </w:r>
          </w:p>
        </w:tc>
        <w:tc>
          <w:tcPr>
            <w:tcW w:w="826" w:type="dxa"/>
            <w:tcMar>
              <w:left w:w="28" w:type="dxa"/>
              <w:right w:w="28" w:type="dxa"/>
            </w:tcMar>
            <w:vAlign w:val="center"/>
          </w:tcPr>
          <w:p>
            <w:pPr>
              <w:pStyle w:val="50"/>
              <w:shd w:val="clear"/>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变化量</w:t>
            </w:r>
          </w:p>
          <w:p>
            <w:pPr>
              <w:pStyle w:val="50"/>
              <w:shd w:val="clear"/>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hint="eastAsia" w:hAnsi="宋体" w:cs="宋体"/>
                <w:color w:val="auto"/>
                <w:kern w:val="2"/>
                <w:szCs w:val="21"/>
              </w:rPr>
              <w:t>⑦</w:t>
            </w:r>
            <w:r>
              <w:rPr>
                <w:rFonts w:ascii="Times New Roman"/>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Merge w:val="restart"/>
            <w:vAlign w:val="center"/>
          </w:tcPr>
          <w:p>
            <w:pPr>
              <w:pStyle w:val="50"/>
              <w:shd w:val="clear"/>
              <w:spacing w:beforeLines="0" w:afterLines="0" w:line="240" w:lineRule="auto"/>
              <w:rPr>
                <w:rFonts w:ascii="Times New Roman"/>
                <w:snapToGrid w:val="0"/>
                <w:color w:val="auto"/>
                <w:kern w:val="21"/>
                <w:szCs w:val="21"/>
              </w:rPr>
            </w:pPr>
            <w:r>
              <w:rPr>
                <w:rFonts w:ascii="Times New Roman"/>
                <w:snapToGrid w:val="0"/>
                <w:color w:val="auto"/>
                <w:kern w:val="21"/>
                <w:szCs w:val="21"/>
              </w:rPr>
              <w:t>废气</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ascii="Times New Roman"/>
                <w:snapToGrid w:val="0"/>
                <w:color w:val="auto"/>
                <w:kern w:val="21"/>
                <w:szCs w:val="21"/>
              </w:rPr>
              <w:t>颗粒物</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shd w:val="clea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0.164</w:t>
            </w:r>
          </w:p>
        </w:tc>
        <w:tc>
          <w:tcPr>
            <w:tcW w:w="1761" w:type="dxa"/>
            <w:vAlign w:val="center"/>
          </w:tcPr>
          <w:p>
            <w:pPr>
              <w:pStyle w:val="50"/>
              <w:shd w:val="clear"/>
              <w:spacing w:beforeLines="0" w:afterLines="0" w:line="240" w:lineRule="auto"/>
              <w:rPr>
                <w:rFonts w:ascii="Times New Roman"/>
                <w:color w:val="auto"/>
                <w:kern w:val="2"/>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shd w:val="clear"/>
              <w:adjustRightInd w:val="0"/>
              <w:snapToGrid w:val="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0.164</w:t>
            </w:r>
          </w:p>
        </w:tc>
        <w:tc>
          <w:tcPr>
            <w:tcW w:w="826" w:type="dxa"/>
            <w:vAlign w:val="center"/>
          </w:tcPr>
          <w:p>
            <w:pPr>
              <w:shd w:val="clear"/>
              <w:adjustRightInd w:val="0"/>
              <w:snapToGrid w:val="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+0.164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Merge w:val="continue"/>
            <w:vAlign w:val="center"/>
          </w:tcPr>
          <w:p>
            <w:pPr>
              <w:pStyle w:val="50"/>
              <w:shd w:val="clear"/>
              <w:spacing w:beforeLines="0" w:afterLines="0" w:line="240" w:lineRule="auto"/>
              <w:rPr>
                <w:rFonts w:ascii="Times New Roman"/>
                <w:snapToGrid w:val="0"/>
                <w:color w:val="auto"/>
                <w:kern w:val="21"/>
                <w:szCs w:val="21"/>
              </w:rPr>
            </w:pP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ascii="Times New Roman"/>
                <w:color w:val="auto"/>
                <w:szCs w:val="21"/>
              </w:rPr>
              <w:t>SO</w:t>
            </w:r>
            <w:r>
              <w:rPr>
                <w:rFonts w:ascii="Times New Roman"/>
                <w:color w:val="auto"/>
                <w:szCs w:val="21"/>
                <w:vertAlign w:val="subscript"/>
              </w:rPr>
              <w:t>2</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shd w:val="clea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0.790</w:t>
            </w:r>
          </w:p>
        </w:tc>
        <w:tc>
          <w:tcPr>
            <w:tcW w:w="1761" w:type="dxa"/>
            <w:vAlign w:val="center"/>
          </w:tcPr>
          <w:p>
            <w:pPr>
              <w:pStyle w:val="50"/>
              <w:shd w:val="clear"/>
              <w:spacing w:beforeLines="0" w:afterLines="0" w:line="240" w:lineRule="auto"/>
              <w:rPr>
                <w:color w:val="auto"/>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shd w:val="clear"/>
              <w:adjustRightInd w:val="0"/>
              <w:snapToGrid w:val="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0.790</w:t>
            </w:r>
          </w:p>
        </w:tc>
        <w:tc>
          <w:tcPr>
            <w:tcW w:w="826" w:type="dxa"/>
            <w:vAlign w:val="center"/>
          </w:tcPr>
          <w:p>
            <w:pPr>
              <w:shd w:val="clear"/>
              <w:adjustRightInd w:val="0"/>
              <w:snapToGrid w:val="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+0.790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Merge w:val="continue"/>
            <w:vAlign w:val="center"/>
          </w:tcPr>
          <w:p>
            <w:pPr>
              <w:pStyle w:val="50"/>
              <w:shd w:val="clear"/>
              <w:spacing w:beforeLines="0" w:afterLines="0" w:line="240" w:lineRule="auto"/>
              <w:rPr>
                <w:rFonts w:ascii="Times New Roman"/>
                <w:snapToGrid w:val="0"/>
                <w:color w:val="auto"/>
                <w:kern w:val="21"/>
                <w:szCs w:val="21"/>
              </w:rPr>
            </w:pP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ascii="Times New Roman"/>
                <w:color w:val="auto"/>
                <w:szCs w:val="21"/>
              </w:rPr>
              <w:t>NO</w:t>
            </w:r>
            <w:r>
              <w:rPr>
                <w:rFonts w:ascii="Times New Roman"/>
                <w:color w:val="auto"/>
                <w:szCs w:val="21"/>
                <w:vertAlign w:val="subscript"/>
              </w:rPr>
              <w:t>X</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shd w:val="clear"/>
              <w:adjustRightInd w:val="0"/>
              <w:snapToGrid w:val="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0.987</w:t>
            </w:r>
          </w:p>
        </w:tc>
        <w:tc>
          <w:tcPr>
            <w:tcW w:w="1761" w:type="dxa"/>
            <w:vAlign w:val="center"/>
          </w:tcPr>
          <w:p>
            <w:pPr>
              <w:pStyle w:val="50"/>
              <w:shd w:val="clear"/>
              <w:spacing w:beforeLines="0" w:afterLines="0" w:line="240" w:lineRule="auto"/>
              <w:rPr>
                <w:rFonts w:ascii="Times New Roman"/>
                <w:color w:val="auto"/>
                <w:kern w:val="2"/>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shd w:val="clear"/>
              <w:adjustRightInd w:val="0"/>
              <w:snapToGrid w:val="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0.987</w:t>
            </w:r>
          </w:p>
        </w:tc>
        <w:tc>
          <w:tcPr>
            <w:tcW w:w="826" w:type="dxa"/>
            <w:vAlign w:val="center"/>
          </w:tcPr>
          <w:p>
            <w:pPr>
              <w:shd w:val="clear"/>
              <w:adjustRightInd w:val="0"/>
              <w:snapToGrid w:val="0"/>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+0.987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Merge w:val="restart"/>
            <w:vAlign w:val="center"/>
          </w:tcPr>
          <w:p>
            <w:pPr>
              <w:pStyle w:val="50"/>
              <w:shd w:val="clear"/>
              <w:spacing w:beforeLines="0" w:afterLines="0" w:line="240" w:lineRule="auto"/>
              <w:rPr>
                <w:rFonts w:ascii="Times New Roman"/>
                <w:snapToGrid w:val="0"/>
                <w:color w:val="auto"/>
                <w:kern w:val="21"/>
                <w:szCs w:val="21"/>
              </w:rPr>
            </w:pPr>
            <w:r>
              <w:rPr>
                <w:rFonts w:ascii="Times New Roman"/>
                <w:snapToGrid w:val="0"/>
                <w:color w:val="auto"/>
                <w:kern w:val="21"/>
                <w:szCs w:val="21"/>
              </w:rPr>
              <w:t>废水</w:t>
            </w:r>
          </w:p>
        </w:tc>
        <w:tc>
          <w:tcPr>
            <w:tcW w:w="1701" w:type="dxa"/>
            <w:vAlign w:val="center"/>
          </w:tcPr>
          <w:p>
            <w:pPr>
              <w:shd w:val="clear"/>
              <w:adjustRightInd w:val="0"/>
              <w:snapToGrid w:val="0"/>
              <w:jc w:val="center"/>
              <w:rPr>
                <w:snapToGrid w:val="0"/>
                <w:color w:val="auto"/>
                <w:kern w:val="21"/>
                <w:szCs w:val="21"/>
              </w:rPr>
            </w:pPr>
            <w:r>
              <w:rPr>
                <w:color w:val="auto"/>
                <w:szCs w:val="21"/>
              </w:rPr>
              <w:t>COD</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shd w:val="clea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1.85</w:t>
            </w:r>
          </w:p>
        </w:tc>
        <w:tc>
          <w:tcPr>
            <w:tcW w:w="1761" w:type="dxa"/>
            <w:vAlign w:val="center"/>
          </w:tcPr>
          <w:p>
            <w:pPr>
              <w:pStyle w:val="50"/>
              <w:shd w:val="clear"/>
              <w:spacing w:beforeLines="0" w:afterLines="0" w:line="240" w:lineRule="auto"/>
              <w:rPr>
                <w:color w:val="auto"/>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shd w:val="clea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1.85</w:t>
            </w:r>
          </w:p>
        </w:tc>
        <w:tc>
          <w:tcPr>
            <w:tcW w:w="826" w:type="dxa"/>
            <w:vAlign w:val="center"/>
          </w:tcPr>
          <w:p>
            <w:pPr>
              <w:shd w:val="clea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Merge w:val="continue"/>
            <w:vAlign w:val="center"/>
          </w:tcPr>
          <w:p>
            <w:pPr>
              <w:pStyle w:val="50"/>
              <w:shd w:val="clear"/>
              <w:spacing w:beforeLines="0" w:afterLines="0" w:line="240" w:lineRule="auto"/>
              <w:rPr>
                <w:rFonts w:ascii="Times New Roman"/>
                <w:snapToGrid w:val="0"/>
                <w:color w:val="auto"/>
                <w:kern w:val="21"/>
                <w:szCs w:val="21"/>
              </w:rPr>
            </w:pPr>
          </w:p>
        </w:tc>
        <w:tc>
          <w:tcPr>
            <w:tcW w:w="1701" w:type="dxa"/>
            <w:vAlign w:val="center"/>
          </w:tcPr>
          <w:p>
            <w:pPr>
              <w:shd w:val="clear"/>
              <w:adjustRightInd w:val="0"/>
              <w:snapToGrid w:val="0"/>
              <w:jc w:val="center"/>
              <w:rPr>
                <w:snapToGrid w:val="0"/>
                <w:color w:val="auto"/>
                <w:kern w:val="21"/>
                <w:szCs w:val="21"/>
              </w:rPr>
            </w:pPr>
            <w:r>
              <w:rPr>
                <w:rFonts w:hint="eastAsia"/>
                <w:color w:val="auto"/>
                <w:szCs w:val="21"/>
              </w:rPr>
              <w:t>氨氮</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shd w:val="clea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0.204</w:t>
            </w:r>
          </w:p>
        </w:tc>
        <w:tc>
          <w:tcPr>
            <w:tcW w:w="1761" w:type="dxa"/>
            <w:vAlign w:val="center"/>
          </w:tcPr>
          <w:p>
            <w:pPr>
              <w:pStyle w:val="50"/>
              <w:shd w:val="clear"/>
              <w:spacing w:beforeLines="0" w:afterLines="0" w:line="240" w:lineRule="auto"/>
              <w:rPr>
                <w:color w:val="auto"/>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shd w:val="clea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0.204</w:t>
            </w:r>
          </w:p>
        </w:tc>
        <w:tc>
          <w:tcPr>
            <w:tcW w:w="826" w:type="dxa"/>
            <w:vAlign w:val="center"/>
          </w:tcPr>
          <w:p>
            <w:pPr>
              <w:shd w:val="clea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+0.204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Merge w:val="restart"/>
            <w:vAlign w:val="center"/>
          </w:tcPr>
          <w:p>
            <w:pPr>
              <w:pStyle w:val="50"/>
              <w:shd w:val="clear"/>
              <w:spacing w:beforeLines="0" w:afterLines="0" w:line="240" w:lineRule="auto"/>
              <w:rPr>
                <w:rFonts w:ascii="Times New Roman"/>
                <w:snapToGrid w:val="0"/>
                <w:color w:val="auto"/>
                <w:kern w:val="21"/>
                <w:szCs w:val="21"/>
              </w:rPr>
            </w:pPr>
            <w:r>
              <w:rPr>
                <w:rFonts w:ascii="Times New Roman"/>
                <w:snapToGrid w:val="0"/>
                <w:color w:val="auto"/>
                <w:kern w:val="21"/>
                <w:szCs w:val="21"/>
              </w:rPr>
              <w:t>一般工业</w:t>
            </w:r>
          </w:p>
          <w:p>
            <w:pPr>
              <w:pStyle w:val="50"/>
              <w:shd w:val="clear"/>
              <w:spacing w:beforeLines="0" w:afterLines="0" w:line="240" w:lineRule="auto"/>
              <w:rPr>
                <w:rFonts w:ascii="Times New Roman"/>
                <w:snapToGrid w:val="0"/>
                <w:color w:val="auto"/>
                <w:kern w:val="21"/>
                <w:szCs w:val="21"/>
              </w:rPr>
            </w:pPr>
            <w:r>
              <w:rPr>
                <w:rFonts w:ascii="Times New Roman"/>
                <w:snapToGrid w:val="0"/>
                <w:color w:val="auto"/>
                <w:kern w:val="21"/>
                <w:szCs w:val="21"/>
              </w:rPr>
              <w:t>固体废物</w:t>
            </w:r>
          </w:p>
        </w:tc>
        <w:tc>
          <w:tcPr>
            <w:tcW w:w="1701"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废纸箱及废包装袋</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0.2</w:t>
            </w:r>
          </w:p>
        </w:tc>
        <w:tc>
          <w:tcPr>
            <w:tcW w:w="176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0.2</w:t>
            </w:r>
          </w:p>
        </w:tc>
        <w:tc>
          <w:tcPr>
            <w:tcW w:w="826"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Merge w:val="continue"/>
            <w:vAlign w:val="center"/>
          </w:tcPr>
          <w:p>
            <w:pPr>
              <w:pStyle w:val="50"/>
              <w:shd w:val="clear"/>
              <w:spacing w:beforeLines="0" w:afterLines="0" w:line="240" w:lineRule="auto"/>
              <w:rPr>
                <w:rFonts w:ascii="Times New Roman"/>
                <w:snapToGrid w:val="0"/>
                <w:color w:val="auto"/>
                <w:kern w:val="21"/>
                <w:szCs w:val="21"/>
              </w:rPr>
            </w:pPr>
          </w:p>
        </w:tc>
        <w:tc>
          <w:tcPr>
            <w:tcW w:w="1701"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玉米叶、玉米须</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7.2</w:t>
            </w:r>
          </w:p>
        </w:tc>
        <w:tc>
          <w:tcPr>
            <w:tcW w:w="176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7.2</w:t>
            </w:r>
          </w:p>
        </w:tc>
        <w:tc>
          <w:tcPr>
            <w:tcW w:w="826"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Merge w:val="continue"/>
            <w:vAlign w:val="center"/>
          </w:tcPr>
          <w:p>
            <w:pPr>
              <w:pStyle w:val="50"/>
              <w:shd w:val="clear"/>
              <w:spacing w:beforeLines="0" w:afterLines="0" w:line="240" w:lineRule="auto"/>
              <w:rPr>
                <w:rFonts w:ascii="Times New Roman"/>
                <w:snapToGrid w:val="0"/>
                <w:color w:val="auto"/>
                <w:kern w:val="21"/>
                <w:szCs w:val="21"/>
              </w:rPr>
            </w:pPr>
          </w:p>
        </w:tc>
        <w:tc>
          <w:tcPr>
            <w:tcW w:w="1701"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不合格的果穗、青穗</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360</w:t>
            </w:r>
          </w:p>
        </w:tc>
        <w:tc>
          <w:tcPr>
            <w:tcW w:w="176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360</w:t>
            </w:r>
          </w:p>
        </w:tc>
        <w:tc>
          <w:tcPr>
            <w:tcW w:w="826"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360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Merge w:val="continue"/>
            <w:vAlign w:val="center"/>
          </w:tcPr>
          <w:p>
            <w:pPr>
              <w:pStyle w:val="50"/>
              <w:shd w:val="clear"/>
              <w:spacing w:beforeLines="0" w:afterLines="0" w:line="240" w:lineRule="auto"/>
              <w:rPr>
                <w:rFonts w:ascii="Times New Roman"/>
                <w:snapToGrid w:val="0"/>
                <w:color w:val="auto"/>
                <w:kern w:val="21"/>
                <w:szCs w:val="21"/>
              </w:rPr>
            </w:pPr>
          </w:p>
        </w:tc>
        <w:tc>
          <w:tcPr>
            <w:tcW w:w="1701"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废弃玉米段</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360</w:t>
            </w:r>
          </w:p>
        </w:tc>
        <w:tc>
          <w:tcPr>
            <w:tcW w:w="176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360</w:t>
            </w:r>
          </w:p>
        </w:tc>
        <w:tc>
          <w:tcPr>
            <w:tcW w:w="826"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360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Merge w:val="continue"/>
            <w:vAlign w:val="center"/>
          </w:tcPr>
          <w:p>
            <w:pPr>
              <w:pStyle w:val="50"/>
              <w:shd w:val="clear"/>
              <w:spacing w:beforeLines="0" w:afterLines="0" w:line="240" w:lineRule="auto"/>
              <w:rPr>
                <w:rFonts w:ascii="Times New Roman"/>
                <w:snapToGrid w:val="0"/>
                <w:color w:val="auto"/>
                <w:kern w:val="21"/>
                <w:szCs w:val="21"/>
              </w:rPr>
            </w:pPr>
          </w:p>
        </w:tc>
        <w:tc>
          <w:tcPr>
            <w:tcW w:w="1701"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锅炉灰渣</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129.38</w:t>
            </w:r>
          </w:p>
        </w:tc>
        <w:tc>
          <w:tcPr>
            <w:tcW w:w="176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129.38</w:t>
            </w:r>
          </w:p>
        </w:tc>
        <w:tc>
          <w:tcPr>
            <w:tcW w:w="826" w:type="dxa"/>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129.38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Merge w:val="continue"/>
            <w:vAlign w:val="center"/>
          </w:tcPr>
          <w:p>
            <w:pPr>
              <w:pStyle w:val="50"/>
              <w:shd w:val="clear"/>
              <w:spacing w:beforeLines="0" w:afterLines="0" w:line="240" w:lineRule="auto"/>
              <w:rPr>
                <w:rFonts w:ascii="Times New Roman"/>
                <w:snapToGrid w:val="0"/>
                <w:color w:val="auto"/>
                <w:kern w:val="21"/>
                <w:szCs w:val="21"/>
              </w:rPr>
            </w:pPr>
          </w:p>
        </w:tc>
        <w:tc>
          <w:tcPr>
            <w:tcW w:w="1701"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highlight w:val="none"/>
                <w:lang w:eastAsia="zh-CN"/>
              </w:rPr>
              <w:t>除尘器废布袋</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0.01</w:t>
            </w:r>
          </w:p>
        </w:tc>
        <w:tc>
          <w:tcPr>
            <w:tcW w:w="176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0.01</w:t>
            </w:r>
          </w:p>
        </w:tc>
        <w:tc>
          <w:tcPr>
            <w:tcW w:w="826" w:type="dxa"/>
            <w:vAlign w:val="center"/>
          </w:tcPr>
          <w:p>
            <w:pPr>
              <w:shd w:val="clea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Merge w:val="continue"/>
            <w:vAlign w:val="center"/>
          </w:tcPr>
          <w:p>
            <w:pPr>
              <w:pStyle w:val="50"/>
              <w:shd w:val="clear"/>
              <w:spacing w:beforeLines="0" w:afterLines="0" w:line="240" w:lineRule="auto"/>
              <w:rPr>
                <w:rFonts w:ascii="Times New Roman"/>
                <w:snapToGrid w:val="0"/>
                <w:color w:val="auto"/>
                <w:kern w:val="21"/>
                <w:szCs w:val="21"/>
              </w:rPr>
            </w:pPr>
          </w:p>
        </w:tc>
        <w:tc>
          <w:tcPr>
            <w:tcW w:w="1701" w:type="dxa"/>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废离子交换树脂</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0.1</w:t>
            </w:r>
          </w:p>
        </w:tc>
        <w:tc>
          <w:tcPr>
            <w:tcW w:w="176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0.1</w:t>
            </w:r>
          </w:p>
        </w:tc>
        <w:tc>
          <w:tcPr>
            <w:tcW w:w="826" w:type="dxa"/>
            <w:vAlign w:val="center"/>
          </w:tcPr>
          <w:p>
            <w:pPr>
              <w:shd w:val="clea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04" w:type="dxa"/>
            <w:vAlign w:val="center"/>
          </w:tcPr>
          <w:p>
            <w:pPr>
              <w:pStyle w:val="50"/>
              <w:shd w:val="clear"/>
              <w:spacing w:beforeLines="0" w:afterLines="0" w:line="240" w:lineRule="auto"/>
              <w:rPr>
                <w:rFonts w:ascii="Times New Roman"/>
                <w:snapToGrid w:val="0"/>
                <w:color w:val="auto"/>
                <w:kern w:val="21"/>
                <w:szCs w:val="21"/>
              </w:rPr>
            </w:pPr>
            <w:r>
              <w:rPr>
                <w:rFonts w:ascii="Times New Roman"/>
                <w:snapToGrid w:val="0"/>
                <w:color w:val="auto"/>
                <w:kern w:val="21"/>
                <w:szCs w:val="21"/>
              </w:rPr>
              <w:t>危险废物</w:t>
            </w:r>
          </w:p>
        </w:tc>
        <w:tc>
          <w:tcPr>
            <w:tcW w:w="1701" w:type="dxa"/>
            <w:vAlign w:val="center"/>
          </w:tcPr>
          <w:p>
            <w:pPr>
              <w:pStyle w:val="50"/>
              <w:shd w:val="clear"/>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276"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70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559" w:type="dxa"/>
            <w:vAlign w:val="center"/>
          </w:tcPr>
          <w:p>
            <w:pPr>
              <w:pStyle w:val="50"/>
              <w:shd w:val="clear"/>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761" w:type="dxa"/>
            <w:vAlign w:val="center"/>
          </w:tcPr>
          <w:p>
            <w:pPr>
              <w:pStyle w:val="50"/>
              <w:shd w:val="clear"/>
              <w:spacing w:beforeLines="0" w:afterLines="0" w:line="240" w:lineRule="auto"/>
              <w:rPr>
                <w:rFonts w:ascii="Times New Roman"/>
                <w:snapToGrid w:val="0"/>
                <w:color w:val="auto"/>
                <w:kern w:val="21"/>
                <w:szCs w:val="21"/>
              </w:rPr>
            </w:pPr>
            <w:r>
              <w:rPr>
                <w:rFonts w:hint="default" w:ascii="Times New Roman" w:hAnsi="Times New Roman" w:eastAsia="仿宋" w:cs="Times New Roman"/>
                <w:snapToGrid w:val="0"/>
                <w:color w:val="auto"/>
                <w:kern w:val="21"/>
                <w:sz w:val="24"/>
                <w:szCs w:val="24"/>
              </w:rPr>
              <w:t>/</w:t>
            </w:r>
          </w:p>
        </w:tc>
        <w:tc>
          <w:tcPr>
            <w:tcW w:w="1959" w:type="dxa"/>
            <w:vAlign w:val="center"/>
          </w:tcPr>
          <w:p>
            <w:pPr>
              <w:pStyle w:val="50"/>
              <w:shd w:val="clear"/>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826" w:type="dxa"/>
            <w:vAlign w:val="center"/>
          </w:tcPr>
          <w:p>
            <w:pPr>
              <w:pStyle w:val="50"/>
              <w:shd w:val="clear"/>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r>
    </w:tbl>
    <w:p>
      <w:pPr>
        <w:pStyle w:val="50"/>
        <w:shd w:val="clear"/>
        <w:spacing w:before="192" w:beforeLines="80" w:after="24"/>
        <w:jc w:val="left"/>
        <w:rPr>
          <w:rFonts w:ascii="Times New Roman"/>
          <w:color w:val="auto"/>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hAnsi="宋体" w:cs="宋体"/>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hAnsi="宋体" w:cs="宋体"/>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hint="eastAsia" w:hAnsi="宋体" w:cs="宋体"/>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hint="eastAsia" w:hAnsi="宋体" w:cs="宋体"/>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hint="eastAsia" w:hAnsi="宋体" w:cs="宋体"/>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hint="eastAsia" w:hAnsi="宋体" w:cs="宋体"/>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hAnsi="宋体" w:cs="宋体"/>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hAnsi="宋体" w:cs="宋体"/>
          <w:color w:val="auto"/>
          <w:szCs w:val="21"/>
        </w:rPr>
        <w:t>①</w:t>
      </w:r>
      <w:r>
        <w:rPr>
          <w:rFonts w:ascii="Times New Roman"/>
          <w:snapToGrid w:val="0"/>
          <w:color w:val="auto"/>
          <w:spacing w:val="-6"/>
          <w:kern w:val="21"/>
          <w:szCs w:val="21"/>
        </w:rPr>
        <w:fldChar w:fldCharType="end"/>
      </w:r>
    </w:p>
    <w:p>
      <w:pPr>
        <w:shd w:val="clear"/>
        <w:rPr>
          <w:color w:val="auto"/>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48"/>
        <w:shd w:val="clear"/>
        <w:ind w:firstLine="0"/>
        <w:outlineLvl w:val="0"/>
        <w:rPr>
          <w:rFonts w:ascii="Times New Roman" w:hAnsi="Times New Roman"/>
          <w:b/>
          <w:color w:val="auto"/>
        </w:rPr>
      </w:pPr>
      <w:bookmarkStart w:id="17" w:name="_Toc30584"/>
      <w:r>
        <w:rPr>
          <w:rFonts w:ascii="Times New Roman" w:hAnsi="Times New Roman"/>
          <w:b/>
          <w:color w:val="auto"/>
        </w:rPr>
        <w:t>附图1</w:t>
      </w:r>
      <w:r>
        <w:rPr>
          <w:rFonts w:hint="eastAsia" w:ascii="Times New Roman" w:hAnsi="Times New Roman"/>
          <w:b/>
          <w:color w:val="auto"/>
        </w:rPr>
        <w:t>：</w:t>
      </w:r>
      <w:r>
        <w:rPr>
          <w:rFonts w:ascii="Times New Roman" w:hAnsi="Times New Roman"/>
          <w:b/>
          <w:color w:val="auto"/>
        </w:rPr>
        <w:t>本项目地理位置图</w:t>
      </w:r>
      <w:bookmarkEnd w:id="17"/>
    </w:p>
    <w:p>
      <w:pPr>
        <w:pStyle w:val="48"/>
        <w:shd w:val="clear"/>
        <w:ind w:firstLine="0"/>
        <w:outlineLvl w:val="0"/>
        <w:rPr>
          <w:rFonts w:ascii="Times New Roman" w:hAnsi="Times New Roman"/>
          <w:b/>
          <w:bCs/>
          <w:color w:val="auto"/>
        </w:rPr>
      </w:pPr>
      <w:r>
        <w:rPr>
          <w:color w:val="auto"/>
        </w:rPr>
        <w:drawing>
          <wp:anchor distT="0" distB="0" distL="114300" distR="114300" simplePos="0" relativeHeight="251665408" behindDoc="0" locked="0" layoutInCell="1" allowOverlap="1">
            <wp:simplePos x="0" y="0"/>
            <wp:positionH relativeFrom="column">
              <wp:posOffset>8328025</wp:posOffset>
            </wp:positionH>
            <wp:positionV relativeFrom="paragraph">
              <wp:posOffset>20320</wp:posOffset>
            </wp:positionV>
            <wp:extent cx="445770" cy="482600"/>
            <wp:effectExtent l="0" t="0" r="11430" b="508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5"/>
                    <a:stretch>
                      <a:fillRect/>
                    </a:stretch>
                  </pic:blipFill>
                  <pic:spPr>
                    <a:xfrm>
                      <a:off x="0" y="0"/>
                      <a:ext cx="445770" cy="482600"/>
                    </a:xfrm>
                    <a:prstGeom prst="rect">
                      <a:avLst/>
                    </a:prstGeom>
                    <a:noFill/>
                    <a:ln>
                      <a:noFill/>
                    </a:ln>
                  </pic:spPr>
                </pic:pic>
              </a:graphicData>
            </a:graphic>
          </wp:anchor>
        </w:drawing>
      </w:r>
      <w:r>
        <w:rPr>
          <w:color w:val="auto"/>
        </w:rPr>
        <w:drawing>
          <wp:inline distT="0" distB="0" distL="114300" distR="114300">
            <wp:extent cx="8853805" cy="4937760"/>
            <wp:effectExtent l="0" t="0" r="63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6"/>
                    <a:stretch>
                      <a:fillRect/>
                    </a:stretch>
                  </pic:blipFill>
                  <pic:spPr>
                    <a:xfrm>
                      <a:off x="0" y="0"/>
                      <a:ext cx="8853805" cy="4937760"/>
                    </a:xfrm>
                    <a:prstGeom prst="rect">
                      <a:avLst/>
                    </a:prstGeom>
                    <a:noFill/>
                    <a:ln>
                      <a:noFill/>
                    </a:ln>
                  </pic:spPr>
                </pic:pic>
              </a:graphicData>
            </a:graphic>
          </wp:inline>
        </w:drawing>
      </w:r>
    </w:p>
    <w:p>
      <w:pPr>
        <w:pStyle w:val="39"/>
        <w:shd w:val="clear"/>
        <w:ind w:firstLine="0" w:firstLineChars="0"/>
        <w:rPr>
          <w:rFonts w:ascii="Times New Roman" w:hAnsi="Times New Roman"/>
          <w:b/>
          <w:color w:val="auto"/>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p>
    <w:p>
      <w:pPr>
        <w:shd w:val="clear"/>
        <w:adjustRightInd w:val="0"/>
        <w:snapToGrid w:val="0"/>
        <w:spacing w:line="360" w:lineRule="auto"/>
        <w:textAlignment w:val="baseline"/>
        <w:outlineLvl w:val="0"/>
        <w:rPr>
          <w:b/>
          <w:color w:val="auto"/>
          <w:kern w:val="0"/>
          <w:sz w:val="24"/>
        </w:rPr>
      </w:pPr>
      <w:bookmarkStart w:id="18" w:name="_Toc11200"/>
      <w:r>
        <w:rPr>
          <w:color w:val="auto"/>
        </w:rPr>
        <w:drawing>
          <wp:anchor distT="0" distB="0" distL="114300" distR="114300" simplePos="0" relativeHeight="251664384" behindDoc="0" locked="0" layoutInCell="1" allowOverlap="1">
            <wp:simplePos x="0" y="0"/>
            <wp:positionH relativeFrom="column">
              <wp:posOffset>8369935</wp:posOffset>
            </wp:positionH>
            <wp:positionV relativeFrom="paragraph">
              <wp:posOffset>198755</wp:posOffset>
            </wp:positionV>
            <wp:extent cx="445770" cy="482600"/>
            <wp:effectExtent l="0" t="0" r="11430" b="508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5"/>
                    <a:stretch>
                      <a:fillRect/>
                    </a:stretch>
                  </pic:blipFill>
                  <pic:spPr>
                    <a:xfrm>
                      <a:off x="0" y="0"/>
                      <a:ext cx="445770" cy="482600"/>
                    </a:xfrm>
                    <a:prstGeom prst="rect">
                      <a:avLst/>
                    </a:prstGeom>
                    <a:noFill/>
                    <a:ln>
                      <a:noFill/>
                    </a:ln>
                  </pic:spPr>
                </pic:pic>
              </a:graphicData>
            </a:graphic>
          </wp:anchor>
        </w:drawing>
      </w:r>
      <w:r>
        <w:rPr>
          <w:b/>
          <w:color w:val="auto"/>
          <w:kern w:val="0"/>
          <w:sz w:val="24"/>
        </w:rPr>
        <w:t>附图</w:t>
      </w:r>
      <w:r>
        <w:rPr>
          <w:rFonts w:hint="eastAsia"/>
          <w:b/>
          <w:color w:val="auto"/>
          <w:kern w:val="0"/>
          <w:sz w:val="24"/>
        </w:rPr>
        <w:t>2：总</w:t>
      </w:r>
      <w:r>
        <w:rPr>
          <w:b/>
          <w:color w:val="auto"/>
          <w:kern w:val="0"/>
          <w:sz w:val="24"/>
        </w:rPr>
        <w:t>平面布置图</w:t>
      </w:r>
      <w:bookmarkEnd w:id="18"/>
    </w:p>
    <w:p>
      <w:pPr>
        <w:shd w:val="clear"/>
        <w:jc w:val="center"/>
        <w:rPr>
          <w:color w:val="auto"/>
        </w:rPr>
      </w:pPr>
    </w:p>
    <w:p>
      <w:pPr>
        <w:shd w:val="clear"/>
        <w:jc w:val="center"/>
        <w:rPr>
          <w:color w:val="auto"/>
        </w:rPr>
      </w:pPr>
    </w:p>
    <w:p>
      <w:pPr>
        <w:shd w:val="clear"/>
        <w:jc w:val="center"/>
        <w:rPr>
          <w:rFonts w:hint="eastAsia"/>
          <w:color w:val="auto"/>
          <w:lang w:eastAsia="zh-CN"/>
        </w:rPr>
      </w:pPr>
      <w:r>
        <w:rPr>
          <w:color w:val="auto"/>
        </w:rPr>
        <w:drawing>
          <wp:inline distT="0" distB="0" distL="114300" distR="114300">
            <wp:extent cx="9270365" cy="2426970"/>
            <wp:effectExtent l="0" t="0" r="10795" b="11430"/>
            <wp:docPr id="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
                    <pic:cNvPicPr>
                      <a:picLocks noChangeAspect="1"/>
                    </pic:cNvPicPr>
                  </pic:nvPicPr>
                  <pic:blipFill>
                    <a:blip r:embed="rId37"/>
                    <a:stretch>
                      <a:fillRect/>
                    </a:stretch>
                  </pic:blipFill>
                  <pic:spPr>
                    <a:xfrm>
                      <a:off x="0" y="0"/>
                      <a:ext cx="9270365" cy="2426970"/>
                    </a:xfrm>
                    <a:prstGeom prst="rect">
                      <a:avLst/>
                    </a:prstGeom>
                    <a:noFill/>
                    <a:ln>
                      <a:noFill/>
                    </a:ln>
                  </pic:spPr>
                </pic:pic>
              </a:graphicData>
            </a:graphic>
          </wp:inline>
        </w:drawing>
      </w:r>
    </w:p>
    <w:p>
      <w:pPr>
        <w:pStyle w:val="22"/>
        <w:shd w:val="clear"/>
        <w:rPr>
          <w:rFonts w:hint="eastAsia"/>
          <w:color w:val="auto"/>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p>
    <w:p>
      <w:pPr>
        <w:shd w:val="clear"/>
        <w:adjustRightInd w:val="0"/>
        <w:snapToGrid w:val="0"/>
        <w:spacing w:line="360" w:lineRule="auto"/>
        <w:textAlignment w:val="baseline"/>
        <w:outlineLvl w:val="0"/>
        <w:rPr>
          <w:rFonts w:hint="eastAsia"/>
          <w:b/>
          <w:color w:val="auto"/>
          <w:kern w:val="0"/>
          <w:sz w:val="24"/>
        </w:rPr>
      </w:pPr>
      <w:r>
        <w:rPr>
          <w:b/>
          <w:color w:val="auto"/>
          <w:kern w:val="0"/>
          <w:sz w:val="24"/>
        </w:rPr>
        <w:t>附图3</w:t>
      </w:r>
      <w:r>
        <w:rPr>
          <w:rFonts w:hint="eastAsia"/>
          <w:b/>
          <w:color w:val="auto"/>
          <w:kern w:val="0"/>
          <w:sz w:val="24"/>
        </w:rPr>
        <w:t>：敏感保护目标分布图</w:t>
      </w:r>
    </w:p>
    <w:p>
      <w:pPr>
        <w:shd w:val="clear"/>
        <w:adjustRightInd w:val="0"/>
        <w:snapToGrid w:val="0"/>
        <w:spacing w:line="360" w:lineRule="auto"/>
        <w:jc w:val="center"/>
        <w:textAlignment w:val="baseline"/>
        <w:outlineLvl w:val="0"/>
        <w:rPr>
          <w:b/>
          <w:color w:val="auto"/>
          <w:kern w:val="0"/>
          <w:sz w:val="24"/>
        </w:rPr>
      </w:pPr>
      <w:r>
        <w:rPr>
          <w:color w:val="auto"/>
        </w:rPr>
        <w:drawing>
          <wp:inline distT="0" distB="0" distL="114300" distR="114300">
            <wp:extent cx="8498840" cy="4926330"/>
            <wp:effectExtent l="0" t="0" r="5080" b="11430"/>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38"/>
                    <a:stretch>
                      <a:fillRect/>
                    </a:stretch>
                  </pic:blipFill>
                  <pic:spPr>
                    <a:xfrm>
                      <a:off x="0" y="0"/>
                      <a:ext cx="8498840" cy="4926330"/>
                    </a:xfrm>
                    <a:prstGeom prst="rect">
                      <a:avLst/>
                    </a:prstGeom>
                    <a:noFill/>
                    <a:ln>
                      <a:noFill/>
                    </a:ln>
                  </pic:spPr>
                </pic:pic>
              </a:graphicData>
            </a:graphic>
          </wp:inline>
        </w:drawing>
      </w:r>
    </w:p>
    <w:p>
      <w:pPr>
        <w:pStyle w:val="22"/>
        <w:shd w:val="clear"/>
        <w:ind w:left="2100" w:hanging="1050"/>
        <w:jc w:val="center"/>
        <w:rPr>
          <w:color w:val="auto"/>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p>
    <w:p>
      <w:pPr>
        <w:pStyle w:val="36"/>
        <w:shd w:val="clear"/>
        <w:autoSpaceDE/>
        <w:autoSpaceDN/>
        <w:adjustRightInd/>
        <w:spacing w:after="120" w:afterLines="50"/>
        <w:jc w:val="left"/>
        <w:outlineLvl w:val="0"/>
        <w:rPr>
          <w:rFonts w:ascii="Times New Roman" w:hAnsi="Times New Roman" w:eastAsia="宋体" w:cs="Times New Roman"/>
          <w:b/>
          <w:color w:val="auto"/>
          <w:highlight w:val="none"/>
        </w:rPr>
      </w:pPr>
      <w:r>
        <w:rPr>
          <w:rFonts w:ascii="Times New Roman" w:hAnsi="Times New Roman"/>
          <w:color w:val="auto"/>
          <w:sz w:val="21"/>
        </w:rPr>
        <mc:AlternateContent>
          <mc:Choice Requires="wps">
            <w:drawing>
              <wp:anchor distT="0" distB="0" distL="114300" distR="114300" simplePos="0" relativeHeight="251660288" behindDoc="0" locked="0" layoutInCell="1" allowOverlap="1">
                <wp:simplePos x="0" y="0"/>
                <wp:positionH relativeFrom="column">
                  <wp:posOffset>7874635</wp:posOffset>
                </wp:positionH>
                <wp:positionV relativeFrom="paragraph">
                  <wp:posOffset>3932555</wp:posOffset>
                </wp:positionV>
                <wp:extent cx="635" cy="106045"/>
                <wp:effectExtent l="4445" t="0" r="10160" b="635"/>
                <wp:wrapNone/>
                <wp:docPr id="55" name="直接连接符 123"/>
                <wp:cNvGraphicFramePr/>
                <a:graphic xmlns:a="http://schemas.openxmlformats.org/drawingml/2006/main">
                  <a:graphicData uri="http://schemas.microsoft.com/office/word/2010/wordprocessingShape">
                    <wps:wsp>
                      <wps:cNvCnPr/>
                      <wps:spPr>
                        <a:xfrm>
                          <a:off x="0" y="0"/>
                          <a:ext cx="635" cy="10604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123" o:spid="_x0000_s1026" o:spt="20" style="position:absolute;left:0pt;margin-left:620.05pt;margin-top:309.65pt;height:8.35pt;width:0.05pt;z-index:251660288;mso-width-relative:page;mso-height-relative:page;" filled="f" stroked="t" coordsize="21600,21600" o:gfxdata="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1C70TYAAAADQEAAA8AAAAAAAAAAQAgAAAAIgAAAGRycy9kb3ducmV2LnhtbFBLAQIU&#10;ABQAAAAIAIdO4kAs71I78wEAAOoDAAAOAAAAAAAAAAEAIAAAACcBAABkcnMvZTJvRG9jLnhtbFBL&#10;BQYAAAAABgAGAFkBAACMBQAAAAA=&#10;">
                <v:fill on="f" focussize="0,0"/>
                <v:stroke color="#000000" joinstyle="round"/>
                <v:imagedata o:title=""/>
                <o:lock v:ext="edit" aspectratio="f"/>
              </v:line>
            </w:pict>
          </mc:Fallback>
        </mc:AlternateContent>
      </w:r>
      <w:r>
        <w:rPr>
          <w:rFonts w:ascii="Times New Roman" w:hAnsi="Times New Roman"/>
          <w:b/>
          <w:color w:val="auto"/>
        </w:rPr>
        <w:t>附图</w:t>
      </w:r>
      <w:r>
        <w:rPr>
          <w:rFonts w:hint="eastAsia" w:ascii="Times New Roman" w:hAnsi="Times New Roman"/>
          <w:b/>
          <w:color w:val="auto"/>
        </w:rPr>
        <w:t>4：</w:t>
      </w:r>
      <w:r>
        <w:rPr>
          <w:rFonts w:hint="eastAsia" w:ascii="Times New Roman" w:hAnsi="Times New Roman" w:eastAsia="宋体" w:cs="Times New Roman"/>
          <w:b/>
          <w:color w:val="auto"/>
          <w:highlight w:val="none"/>
        </w:rPr>
        <w:t>绥化市</w:t>
      </w:r>
      <w:r>
        <w:rPr>
          <w:rFonts w:ascii="Times New Roman" w:hAnsi="Times New Roman" w:eastAsia="宋体" w:cs="Times New Roman"/>
          <w:b/>
          <w:color w:val="auto"/>
          <w:highlight w:val="none"/>
        </w:rPr>
        <w:t>重点管控</w:t>
      </w:r>
      <w:r>
        <w:rPr>
          <w:rFonts w:hint="eastAsia" w:ascii="Times New Roman" w:hAnsi="Times New Roman" w:eastAsia="宋体" w:cs="Times New Roman"/>
          <w:b/>
          <w:color w:val="auto"/>
          <w:highlight w:val="none"/>
        </w:rPr>
        <w:t>单元</w:t>
      </w:r>
      <w:r>
        <w:rPr>
          <w:rFonts w:ascii="Times New Roman" w:hAnsi="Times New Roman" w:eastAsia="宋体" w:cs="Times New Roman"/>
          <w:b/>
          <w:color w:val="auto"/>
          <w:highlight w:val="none"/>
        </w:rPr>
        <w:t>图</w:t>
      </w:r>
    </w:p>
    <w:p>
      <w:pPr>
        <w:pStyle w:val="36"/>
        <w:shd w:val="clear"/>
        <w:autoSpaceDE/>
        <w:autoSpaceDN/>
        <w:adjustRightInd/>
        <w:spacing w:after="120" w:afterLines="50"/>
        <w:jc w:val="center"/>
        <w:outlineLvl w:val="0"/>
        <w:rPr>
          <w:color w:val="auto"/>
        </w:rPr>
      </w:pPr>
      <w:r>
        <w:rPr>
          <w:color w:val="auto"/>
        </w:rPr>
        <w:drawing>
          <wp:inline distT="0" distB="0" distL="114300" distR="114300">
            <wp:extent cx="8311515" cy="5102860"/>
            <wp:effectExtent l="0" t="0" r="9525" b="2540"/>
            <wp:docPr id="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8"/>
                    <pic:cNvPicPr>
                      <a:picLocks noChangeAspect="1"/>
                    </pic:cNvPicPr>
                  </pic:nvPicPr>
                  <pic:blipFill>
                    <a:blip r:embed="rId39"/>
                    <a:stretch>
                      <a:fillRect/>
                    </a:stretch>
                  </pic:blipFill>
                  <pic:spPr>
                    <a:xfrm>
                      <a:off x="0" y="0"/>
                      <a:ext cx="8311515" cy="5102860"/>
                    </a:xfrm>
                    <a:prstGeom prst="rect">
                      <a:avLst/>
                    </a:prstGeom>
                    <a:noFill/>
                    <a:ln>
                      <a:noFill/>
                    </a:ln>
                  </pic:spPr>
                </pic:pic>
              </a:graphicData>
            </a:graphic>
          </wp:inline>
        </w:drawing>
      </w:r>
    </w:p>
    <w:p>
      <w:pPr>
        <w:pStyle w:val="36"/>
        <w:shd w:val="clear"/>
        <w:autoSpaceDE/>
        <w:autoSpaceDN/>
        <w:adjustRightInd/>
        <w:spacing w:after="120" w:afterLines="50"/>
        <w:jc w:val="left"/>
        <w:outlineLvl w:val="0"/>
        <w:rPr>
          <w:rFonts w:ascii="Times New Roman" w:hAnsi="Times New Roman" w:eastAsia="宋体" w:cs="Times New Roman"/>
          <w:b/>
          <w:color w:val="auto"/>
        </w:rPr>
      </w:pPr>
      <w:r>
        <w:rPr>
          <w:rFonts w:hint="eastAsia" w:ascii="Times New Roman" w:hAnsi="Times New Roman" w:eastAsia="宋体" w:cs="Times New Roman"/>
          <w:b/>
          <w:color w:val="auto"/>
        </w:rPr>
        <w:t>附图5：项目周边照片</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6"/>
        <w:gridCol w:w="6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6" w:type="dxa"/>
          </w:tcPr>
          <w:p>
            <w:pPr>
              <w:shd w:val="clear"/>
              <w:jc w:val="center"/>
              <w:rPr>
                <w:rFonts w:hint="eastAsia" w:eastAsia="宋体"/>
                <w:b/>
                <w:bCs/>
                <w:color w:val="auto"/>
                <w:sz w:val="28"/>
                <w:szCs w:val="28"/>
                <w:lang w:eastAsia="zh-CN"/>
              </w:rPr>
            </w:pPr>
            <w:r>
              <w:rPr>
                <w:rFonts w:hint="eastAsia" w:eastAsia="宋体"/>
                <w:b/>
                <w:bCs/>
                <w:color w:val="auto"/>
                <w:sz w:val="28"/>
                <w:szCs w:val="28"/>
                <w:lang w:eastAsia="zh-CN"/>
              </w:rPr>
              <w:drawing>
                <wp:inline distT="0" distB="0" distL="114300" distR="114300">
                  <wp:extent cx="4184015" cy="2122805"/>
                  <wp:effectExtent l="0" t="0" r="6985" b="10795"/>
                  <wp:docPr id="6" name="图片 6" descr="6d789688076fd0a8aed9aee7e2680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d789688076fd0a8aed9aee7e26804e"/>
                          <pic:cNvPicPr>
                            <a:picLocks noChangeAspect="1"/>
                          </pic:cNvPicPr>
                        </pic:nvPicPr>
                        <pic:blipFill>
                          <a:blip r:embed="rId40"/>
                          <a:stretch>
                            <a:fillRect/>
                          </a:stretch>
                        </pic:blipFill>
                        <pic:spPr>
                          <a:xfrm>
                            <a:off x="0" y="0"/>
                            <a:ext cx="4184015" cy="2122805"/>
                          </a:xfrm>
                          <a:prstGeom prst="rect">
                            <a:avLst/>
                          </a:prstGeom>
                        </pic:spPr>
                      </pic:pic>
                    </a:graphicData>
                  </a:graphic>
                </wp:inline>
              </w:drawing>
            </w:r>
          </w:p>
        </w:tc>
        <w:tc>
          <w:tcPr>
            <w:tcW w:w="6826" w:type="dxa"/>
          </w:tcPr>
          <w:p>
            <w:pPr>
              <w:shd w:val="clear"/>
              <w:jc w:val="center"/>
              <w:rPr>
                <w:rFonts w:hint="eastAsia" w:eastAsia="宋体"/>
                <w:b/>
                <w:bCs/>
                <w:color w:val="auto"/>
                <w:sz w:val="28"/>
                <w:szCs w:val="28"/>
                <w:lang w:eastAsia="zh-CN"/>
              </w:rPr>
            </w:pPr>
            <w:r>
              <w:rPr>
                <w:rFonts w:hint="eastAsia" w:eastAsia="宋体"/>
                <w:b/>
                <w:bCs/>
                <w:color w:val="auto"/>
                <w:sz w:val="28"/>
                <w:szCs w:val="28"/>
                <w:lang w:eastAsia="zh-CN"/>
              </w:rPr>
              <w:drawing>
                <wp:inline distT="0" distB="0" distL="114300" distR="114300">
                  <wp:extent cx="4184015" cy="2122805"/>
                  <wp:effectExtent l="0" t="0" r="6985" b="10795"/>
                  <wp:docPr id="1" name="图片 1" descr="6c9fd64d0a9562756055b7cab0f1f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c9fd64d0a9562756055b7cab0f1f1c"/>
                          <pic:cNvPicPr>
                            <a:picLocks noChangeAspect="1"/>
                          </pic:cNvPicPr>
                        </pic:nvPicPr>
                        <pic:blipFill>
                          <a:blip r:embed="rId41"/>
                          <a:stretch>
                            <a:fillRect/>
                          </a:stretch>
                        </pic:blipFill>
                        <pic:spPr>
                          <a:xfrm>
                            <a:off x="0" y="0"/>
                            <a:ext cx="4184015" cy="21228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6" w:type="dxa"/>
          </w:tcPr>
          <w:p>
            <w:pPr>
              <w:shd w:val="clear"/>
              <w:jc w:val="center"/>
              <w:rPr>
                <w:b/>
                <w:bCs/>
                <w:color w:val="auto"/>
                <w:sz w:val="28"/>
                <w:szCs w:val="28"/>
              </w:rPr>
            </w:pPr>
            <w:r>
              <w:rPr>
                <w:color w:val="auto"/>
                <w:kern w:val="0"/>
                <w:sz w:val="24"/>
              </w:rPr>
              <w:t>南侧</w:t>
            </w:r>
          </w:p>
        </w:tc>
        <w:tc>
          <w:tcPr>
            <w:tcW w:w="6826" w:type="dxa"/>
          </w:tcPr>
          <w:p>
            <w:pPr>
              <w:shd w:val="clear"/>
              <w:jc w:val="center"/>
              <w:rPr>
                <w:b/>
                <w:bCs/>
                <w:color w:val="auto"/>
                <w:sz w:val="28"/>
                <w:szCs w:val="28"/>
              </w:rPr>
            </w:pPr>
            <w:r>
              <w:rPr>
                <w:color w:val="auto"/>
                <w:kern w:val="0"/>
                <w:sz w:val="24"/>
              </w:rPr>
              <w:t>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6" w:type="dxa"/>
          </w:tcPr>
          <w:p>
            <w:pPr>
              <w:shd w:val="clear"/>
              <w:jc w:val="center"/>
              <w:rPr>
                <w:rFonts w:hint="eastAsia" w:eastAsia="宋体"/>
                <w:b/>
                <w:bCs/>
                <w:color w:val="auto"/>
                <w:sz w:val="28"/>
                <w:szCs w:val="28"/>
                <w:lang w:eastAsia="zh-CN"/>
              </w:rPr>
            </w:pPr>
            <w:r>
              <w:rPr>
                <w:rFonts w:hint="eastAsia" w:eastAsia="宋体"/>
                <w:b/>
                <w:bCs/>
                <w:color w:val="auto"/>
                <w:sz w:val="28"/>
                <w:szCs w:val="28"/>
                <w:lang w:eastAsia="zh-CN"/>
              </w:rPr>
              <w:drawing>
                <wp:inline distT="0" distB="0" distL="114300" distR="114300">
                  <wp:extent cx="4184015" cy="2191385"/>
                  <wp:effectExtent l="0" t="0" r="6985" b="3175"/>
                  <wp:docPr id="5" name="图片 5" descr="728cb3bd0220d6712d82f5e09429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28cb3bd0220d6712d82f5e094292bb"/>
                          <pic:cNvPicPr>
                            <a:picLocks noChangeAspect="1"/>
                          </pic:cNvPicPr>
                        </pic:nvPicPr>
                        <pic:blipFill>
                          <a:blip r:embed="rId42"/>
                          <a:stretch>
                            <a:fillRect/>
                          </a:stretch>
                        </pic:blipFill>
                        <pic:spPr>
                          <a:xfrm>
                            <a:off x="0" y="0"/>
                            <a:ext cx="4184015" cy="2191385"/>
                          </a:xfrm>
                          <a:prstGeom prst="rect">
                            <a:avLst/>
                          </a:prstGeom>
                        </pic:spPr>
                      </pic:pic>
                    </a:graphicData>
                  </a:graphic>
                </wp:inline>
              </w:drawing>
            </w:r>
          </w:p>
        </w:tc>
        <w:tc>
          <w:tcPr>
            <w:tcW w:w="6826" w:type="dxa"/>
          </w:tcPr>
          <w:p>
            <w:pPr>
              <w:shd w:val="clear"/>
              <w:jc w:val="center"/>
              <w:rPr>
                <w:rFonts w:hint="eastAsia" w:eastAsia="宋体"/>
                <w:b/>
                <w:bCs/>
                <w:color w:val="auto"/>
                <w:sz w:val="28"/>
                <w:szCs w:val="28"/>
                <w:lang w:eastAsia="zh-CN"/>
              </w:rPr>
            </w:pPr>
            <w:r>
              <w:rPr>
                <w:rFonts w:hint="eastAsia" w:eastAsia="宋体"/>
                <w:b/>
                <w:bCs/>
                <w:color w:val="auto"/>
                <w:sz w:val="28"/>
                <w:szCs w:val="28"/>
                <w:lang w:eastAsia="zh-CN"/>
              </w:rPr>
              <w:drawing>
                <wp:inline distT="0" distB="0" distL="114300" distR="114300">
                  <wp:extent cx="4184015" cy="2153285"/>
                  <wp:effectExtent l="0" t="0" r="6985" b="10795"/>
                  <wp:docPr id="8" name="图片 8" descr="13705cb69d71a6d760c4006983146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3705cb69d71a6d760c4006983146c5"/>
                          <pic:cNvPicPr>
                            <a:picLocks noChangeAspect="1"/>
                          </pic:cNvPicPr>
                        </pic:nvPicPr>
                        <pic:blipFill>
                          <a:blip r:embed="rId43"/>
                          <a:stretch>
                            <a:fillRect/>
                          </a:stretch>
                        </pic:blipFill>
                        <pic:spPr>
                          <a:xfrm>
                            <a:off x="0" y="0"/>
                            <a:ext cx="4184015" cy="21532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6826" w:type="dxa"/>
          </w:tcPr>
          <w:p>
            <w:pPr>
              <w:shd w:val="clear"/>
              <w:jc w:val="center"/>
              <w:rPr>
                <w:b/>
                <w:bCs/>
                <w:color w:val="auto"/>
                <w:sz w:val="28"/>
                <w:szCs w:val="28"/>
              </w:rPr>
            </w:pPr>
            <w:r>
              <w:rPr>
                <w:color w:val="auto"/>
                <w:kern w:val="0"/>
                <w:sz w:val="24"/>
              </w:rPr>
              <w:t>东侧</w:t>
            </w:r>
          </w:p>
        </w:tc>
        <w:tc>
          <w:tcPr>
            <w:tcW w:w="6826" w:type="dxa"/>
          </w:tcPr>
          <w:p>
            <w:pPr>
              <w:shd w:val="clear"/>
              <w:jc w:val="center"/>
              <w:rPr>
                <w:rFonts w:hint="eastAsia" w:eastAsia="宋体"/>
                <w:b/>
                <w:bCs/>
                <w:color w:val="auto"/>
                <w:sz w:val="28"/>
                <w:szCs w:val="28"/>
                <w:lang w:eastAsia="zh-CN"/>
              </w:rPr>
            </w:pPr>
            <w:r>
              <w:rPr>
                <w:rFonts w:hint="eastAsia"/>
                <w:color w:val="auto"/>
                <w:kern w:val="0"/>
                <w:sz w:val="24"/>
                <w:lang w:val="en-US" w:eastAsia="zh-CN"/>
              </w:rPr>
              <w:t>西侧</w:t>
            </w:r>
          </w:p>
        </w:tc>
      </w:tr>
    </w:tbl>
    <w:p>
      <w:pPr>
        <w:pStyle w:val="39"/>
        <w:shd w:val="clear"/>
        <w:rPr>
          <w:rFonts w:ascii="Times New Roman" w:hAnsi="Times New Roman"/>
          <w:color w:val="auto"/>
        </w:rPr>
      </w:pPr>
    </w:p>
    <w:p>
      <w:pPr>
        <w:pStyle w:val="39"/>
        <w:shd w:val="clear"/>
        <w:rPr>
          <w:rFonts w:ascii="Times New Roman" w:hAnsi="Times New Roman"/>
          <w:color w:val="auto"/>
        </w:rPr>
      </w:pPr>
    </w:p>
    <w:p>
      <w:pPr>
        <w:shd w:val="clear"/>
        <w:tabs>
          <w:tab w:val="left" w:pos="327"/>
        </w:tabs>
        <w:jc w:val="left"/>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48"/>
        <w:shd w:val="clear"/>
        <w:ind w:firstLine="0"/>
        <w:outlineLvl w:val="0"/>
        <w:rPr>
          <w:rFonts w:ascii="Times New Roman" w:hAnsi="Times New Roman"/>
          <w:color w:val="auto"/>
        </w:rPr>
      </w:pPr>
    </w:p>
    <w:p>
      <w:pPr>
        <w:shd w:val="clear"/>
        <w:rPr>
          <w:rFonts w:hint="eastAsia" w:eastAsia="宋体"/>
          <w:b/>
          <w:bCs/>
          <w:color w:val="auto"/>
          <w:sz w:val="24"/>
          <w:lang w:eastAsia="zh-CN"/>
        </w:rPr>
      </w:pPr>
      <w:r>
        <w:rPr>
          <w:b/>
          <w:bCs/>
          <w:color w:val="auto"/>
          <w:sz w:val="24"/>
        </w:rPr>
        <w:t>附件1</w:t>
      </w:r>
      <w:r>
        <w:rPr>
          <w:rFonts w:hint="eastAsia"/>
          <w:b/>
          <w:bCs/>
          <w:color w:val="auto"/>
          <w:sz w:val="24"/>
        </w:rPr>
        <w:t>：</w:t>
      </w:r>
      <w:r>
        <w:rPr>
          <w:rFonts w:hint="eastAsia"/>
          <w:b/>
          <w:bCs/>
          <w:color w:val="auto"/>
          <w:sz w:val="24"/>
          <w:lang w:val="en-US" w:eastAsia="zh-CN"/>
        </w:rPr>
        <w:t>营业执照</w:t>
      </w:r>
    </w:p>
    <w:p>
      <w:pPr>
        <w:shd w:val="clear"/>
        <w:rPr>
          <w:b/>
          <w:bCs/>
          <w:color w:val="auto"/>
          <w:sz w:val="24"/>
        </w:rPr>
      </w:pPr>
      <w:r>
        <w:rPr>
          <w:color w:val="auto"/>
        </w:rPr>
        <w:drawing>
          <wp:inline distT="0" distB="0" distL="114300" distR="114300">
            <wp:extent cx="8531860" cy="5118735"/>
            <wp:effectExtent l="0" t="0" r="2540" b="1905"/>
            <wp:docPr id="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3"/>
                    <pic:cNvPicPr>
                      <a:picLocks noChangeAspect="1"/>
                    </pic:cNvPicPr>
                  </pic:nvPicPr>
                  <pic:blipFill>
                    <a:blip r:embed="rId44"/>
                    <a:stretch>
                      <a:fillRect/>
                    </a:stretch>
                  </pic:blipFill>
                  <pic:spPr>
                    <a:xfrm>
                      <a:off x="0" y="0"/>
                      <a:ext cx="8531860" cy="5118735"/>
                    </a:xfrm>
                    <a:prstGeom prst="rect">
                      <a:avLst/>
                    </a:prstGeom>
                    <a:noFill/>
                    <a:ln>
                      <a:noFill/>
                    </a:ln>
                  </pic:spPr>
                </pic:pic>
              </a:graphicData>
            </a:graphic>
          </wp:inline>
        </w:drawing>
      </w:r>
    </w:p>
    <w:p>
      <w:pPr>
        <w:shd w:val="clear"/>
        <w:rPr>
          <w:color w:val="auto"/>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21"/>
        <w:shd w:val="clear"/>
        <w:ind w:left="0"/>
        <w:rPr>
          <w:rFonts w:hint="eastAsia"/>
          <w:b/>
          <w:bCs/>
          <w:color w:val="auto"/>
          <w:sz w:val="24"/>
          <w:szCs w:val="24"/>
          <w:lang w:val="en-US" w:eastAsia="zh-CN"/>
        </w:rPr>
      </w:pPr>
      <w:r>
        <w:rPr>
          <w:b/>
          <w:bCs/>
          <w:color w:val="auto"/>
          <w:sz w:val="24"/>
          <w:szCs w:val="24"/>
        </w:rPr>
        <w:t>附件2</w:t>
      </w:r>
      <w:r>
        <w:rPr>
          <w:rFonts w:hint="eastAsia"/>
          <w:b/>
          <w:bCs/>
          <w:color w:val="auto"/>
          <w:sz w:val="24"/>
          <w:szCs w:val="24"/>
        </w:rPr>
        <w:t>：</w:t>
      </w:r>
      <w:r>
        <w:rPr>
          <w:rFonts w:hint="eastAsia"/>
          <w:b/>
          <w:bCs/>
          <w:color w:val="auto"/>
          <w:sz w:val="24"/>
          <w:szCs w:val="24"/>
          <w:lang w:val="en-US" w:eastAsia="zh-CN"/>
        </w:rPr>
        <w:t>用地手续</w:t>
      </w:r>
    </w:p>
    <w:p>
      <w:pPr>
        <w:pStyle w:val="21"/>
        <w:shd w:val="clear"/>
        <w:ind w:left="0"/>
        <w:jc w:val="center"/>
        <w:rPr>
          <w:rFonts w:hint="eastAsia" w:eastAsia="宋体"/>
          <w:b/>
          <w:bCs/>
          <w:color w:val="auto"/>
          <w:sz w:val="24"/>
          <w:szCs w:val="24"/>
          <w:lang w:eastAsia="zh-CN"/>
        </w:rPr>
      </w:pPr>
      <w:r>
        <w:rPr>
          <w:color w:val="auto"/>
        </w:rPr>
        <w:drawing>
          <wp:inline distT="0" distB="0" distL="114300" distR="114300">
            <wp:extent cx="4853305" cy="7771130"/>
            <wp:effectExtent l="0" t="0" r="8255" b="1270"/>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45"/>
                    <a:stretch>
                      <a:fillRect/>
                    </a:stretch>
                  </pic:blipFill>
                  <pic:spPr>
                    <a:xfrm>
                      <a:off x="0" y="0"/>
                      <a:ext cx="4853305" cy="7771130"/>
                    </a:xfrm>
                    <a:prstGeom prst="rect">
                      <a:avLst/>
                    </a:prstGeom>
                    <a:noFill/>
                    <a:ln>
                      <a:noFill/>
                    </a:ln>
                  </pic:spPr>
                </pic:pic>
              </a:graphicData>
            </a:graphic>
          </wp:inline>
        </w:drawing>
      </w:r>
    </w:p>
    <w:p>
      <w:pPr>
        <w:pStyle w:val="9"/>
        <w:shd w:val="clear"/>
        <w:jc w:val="center"/>
        <w:rPr>
          <w:color w:val="auto"/>
        </w:rPr>
      </w:pPr>
      <w:r>
        <w:rPr>
          <w:color w:val="auto"/>
        </w:rPr>
        <w:drawing>
          <wp:inline distT="0" distB="0" distL="114300" distR="114300">
            <wp:extent cx="5348605" cy="8042275"/>
            <wp:effectExtent l="0" t="0" r="635" b="4445"/>
            <wp:docPr id="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pic:cNvPicPr>
                      <a:picLocks noChangeAspect="1"/>
                    </pic:cNvPicPr>
                  </pic:nvPicPr>
                  <pic:blipFill>
                    <a:blip r:embed="rId46"/>
                    <a:stretch>
                      <a:fillRect/>
                    </a:stretch>
                  </pic:blipFill>
                  <pic:spPr>
                    <a:xfrm>
                      <a:off x="0" y="0"/>
                      <a:ext cx="5348605" cy="8042275"/>
                    </a:xfrm>
                    <a:prstGeom prst="rect">
                      <a:avLst/>
                    </a:prstGeom>
                    <a:noFill/>
                    <a:ln>
                      <a:noFill/>
                    </a:ln>
                  </pic:spPr>
                </pic:pic>
              </a:graphicData>
            </a:graphic>
          </wp:inline>
        </w:drawing>
      </w:r>
      <w:r>
        <w:rPr>
          <w:color w:val="auto"/>
        </w:rPr>
        <w:drawing>
          <wp:inline distT="0" distB="0" distL="114300" distR="114300">
            <wp:extent cx="5271770" cy="7308850"/>
            <wp:effectExtent l="0" t="0" r="1270" b="6350"/>
            <wp:docPr id="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pic:cNvPicPr>
                      <a:picLocks noChangeAspect="1"/>
                    </pic:cNvPicPr>
                  </pic:nvPicPr>
                  <pic:blipFill>
                    <a:blip r:embed="rId47"/>
                    <a:stretch>
                      <a:fillRect/>
                    </a:stretch>
                  </pic:blipFill>
                  <pic:spPr>
                    <a:xfrm>
                      <a:off x="0" y="0"/>
                      <a:ext cx="5271770" cy="7308850"/>
                    </a:xfrm>
                    <a:prstGeom prst="rect">
                      <a:avLst/>
                    </a:prstGeom>
                    <a:noFill/>
                    <a:ln>
                      <a:noFill/>
                    </a:ln>
                  </pic:spPr>
                </pic:pic>
              </a:graphicData>
            </a:graphic>
          </wp:inline>
        </w:drawing>
      </w:r>
      <w:r>
        <w:rPr>
          <w:color w:val="auto"/>
        </w:rPr>
        <w:drawing>
          <wp:inline distT="0" distB="0" distL="114300" distR="114300">
            <wp:extent cx="5374640" cy="7426960"/>
            <wp:effectExtent l="0" t="0" r="5080" b="10160"/>
            <wp:docPr id="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pic:cNvPicPr>
                      <a:picLocks noChangeAspect="1"/>
                    </pic:cNvPicPr>
                  </pic:nvPicPr>
                  <pic:blipFill>
                    <a:blip r:embed="rId48"/>
                    <a:stretch>
                      <a:fillRect/>
                    </a:stretch>
                  </pic:blipFill>
                  <pic:spPr>
                    <a:xfrm>
                      <a:off x="0" y="0"/>
                      <a:ext cx="5374640" cy="7426960"/>
                    </a:xfrm>
                    <a:prstGeom prst="rect">
                      <a:avLst/>
                    </a:prstGeom>
                    <a:noFill/>
                    <a:ln>
                      <a:noFill/>
                    </a:ln>
                  </pic:spPr>
                </pic:pic>
              </a:graphicData>
            </a:graphic>
          </wp:inline>
        </w:drawing>
      </w:r>
    </w:p>
    <w:p>
      <w:pPr>
        <w:pStyle w:val="9"/>
        <w:shd w:val="clear"/>
        <w:rPr>
          <w:color w:val="auto"/>
        </w:rPr>
      </w:pPr>
    </w:p>
    <w:p>
      <w:pPr>
        <w:shd w:val="clear"/>
        <w:rPr>
          <w:color w:val="auto"/>
        </w:rPr>
      </w:pPr>
    </w:p>
    <w:p>
      <w:pPr>
        <w:pStyle w:val="9"/>
        <w:shd w:val="clear"/>
        <w:rPr>
          <w:color w:val="auto"/>
        </w:rPr>
      </w:pPr>
    </w:p>
    <w:p>
      <w:pPr>
        <w:shd w:val="clear"/>
        <w:rPr>
          <w:color w:val="auto"/>
        </w:rPr>
      </w:pPr>
    </w:p>
    <w:p>
      <w:pPr>
        <w:pStyle w:val="9"/>
        <w:shd w:val="clear"/>
        <w:rPr>
          <w:rFonts w:hint="default" w:ascii="Times New Roman" w:hAnsi="Times New Roman" w:eastAsia="宋体" w:cs="Times New Roman"/>
          <w:b/>
          <w:color w:val="auto"/>
          <w:kern w:val="0"/>
          <w:sz w:val="24"/>
          <w:szCs w:val="24"/>
          <w:lang w:val="en-US" w:eastAsia="zh-CN" w:bidi="ar-SA"/>
        </w:rPr>
      </w:pPr>
      <w:r>
        <w:rPr>
          <w:rFonts w:hint="eastAsia" w:ascii="Times New Roman" w:hAnsi="Times New Roman" w:eastAsia="宋体" w:cs="Times New Roman"/>
          <w:b/>
          <w:color w:val="auto"/>
          <w:kern w:val="0"/>
          <w:sz w:val="24"/>
          <w:szCs w:val="24"/>
          <w:lang w:val="en-US" w:eastAsia="zh-CN" w:bidi="ar-SA"/>
        </w:rPr>
        <w:t>附件3：建设项目审批申请表</w:t>
      </w:r>
    </w:p>
    <w:p>
      <w:pPr>
        <w:shd w:val="clear"/>
        <w:rPr>
          <w:rFonts w:hint="eastAsia" w:eastAsia="宋体"/>
          <w:color w:val="auto"/>
          <w:lang w:eastAsia="zh-CN"/>
        </w:rPr>
      </w:pPr>
      <w:r>
        <w:rPr>
          <w:rFonts w:hint="eastAsia" w:eastAsia="宋体"/>
          <w:color w:val="auto"/>
          <w:lang w:eastAsia="zh-CN"/>
        </w:rPr>
        <w:drawing>
          <wp:inline distT="0" distB="0" distL="114300" distR="114300">
            <wp:extent cx="5601970" cy="8188325"/>
            <wp:effectExtent l="0" t="0" r="6350" b="10795"/>
            <wp:docPr id="29" name="图片 29" descr="aae540a49ae1c1c383ad9dd143e2e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aae540a49ae1c1c383ad9dd143e2e08"/>
                    <pic:cNvPicPr>
                      <a:picLocks noChangeAspect="1"/>
                    </pic:cNvPicPr>
                  </pic:nvPicPr>
                  <pic:blipFill>
                    <a:blip r:embed="rId49"/>
                    <a:stretch>
                      <a:fillRect/>
                    </a:stretch>
                  </pic:blipFill>
                  <pic:spPr>
                    <a:xfrm>
                      <a:off x="0" y="0"/>
                      <a:ext cx="5601970" cy="8188325"/>
                    </a:xfrm>
                    <a:prstGeom prst="rect">
                      <a:avLst/>
                    </a:prstGeom>
                  </pic:spPr>
                </pic:pic>
              </a:graphicData>
            </a:graphic>
          </wp:inline>
        </w:drawing>
      </w:r>
    </w:p>
    <w:p>
      <w:pPr>
        <w:shd w:val="clear"/>
        <w:rPr>
          <w:b/>
          <w:bCs/>
          <w:color w:val="auto"/>
          <w:sz w:val="24"/>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b/>
          <w:bCs/>
          <w:color w:val="auto"/>
          <w:sz w:val="24"/>
        </w:rPr>
        <w:br w:type="page"/>
      </w:r>
    </w:p>
    <w:p>
      <w:pPr>
        <w:shd w:val="clear"/>
        <w:rPr>
          <w:b/>
          <w:bCs/>
          <w:color w:val="auto"/>
          <w:sz w:val="24"/>
        </w:rPr>
      </w:pPr>
      <w:r>
        <w:rPr>
          <w:b/>
          <w:bCs/>
          <w:color w:val="auto"/>
          <w:sz w:val="24"/>
        </w:rPr>
        <w:t>附件</w:t>
      </w:r>
      <w:r>
        <w:rPr>
          <w:rFonts w:hint="eastAsia"/>
          <w:b/>
          <w:bCs/>
          <w:color w:val="auto"/>
          <w:sz w:val="24"/>
          <w:lang w:val="en-US" w:eastAsia="zh-CN"/>
        </w:rPr>
        <w:t>4</w:t>
      </w:r>
      <w:r>
        <w:rPr>
          <w:rFonts w:hint="eastAsia"/>
          <w:b/>
          <w:bCs/>
          <w:color w:val="auto"/>
          <w:sz w:val="24"/>
        </w:rPr>
        <w:t>：</w:t>
      </w:r>
      <w:r>
        <w:rPr>
          <w:b/>
          <w:bCs/>
          <w:color w:val="auto"/>
          <w:sz w:val="24"/>
        </w:rPr>
        <w:t>生物质燃料分析报告</w:t>
      </w:r>
    </w:p>
    <w:p>
      <w:pPr>
        <w:pStyle w:val="21"/>
        <w:shd w:val="clear"/>
        <w:jc w:val="center"/>
        <w:rPr>
          <w:color w:val="auto"/>
        </w:rPr>
      </w:pPr>
      <w:r>
        <w:rPr>
          <w:color w:val="auto"/>
        </w:rPr>
        <w:drawing>
          <wp:inline distT="0" distB="0" distL="114300" distR="114300">
            <wp:extent cx="4518660" cy="8032750"/>
            <wp:effectExtent l="0" t="0" r="7620" b="1397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50"/>
                    <a:stretch>
                      <a:fillRect/>
                    </a:stretch>
                  </pic:blipFill>
                  <pic:spPr>
                    <a:xfrm>
                      <a:off x="0" y="0"/>
                      <a:ext cx="4518660" cy="8032750"/>
                    </a:xfrm>
                    <a:prstGeom prst="rect">
                      <a:avLst/>
                    </a:prstGeom>
                    <a:noFill/>
                    <a:ln>
                      <a:noFill/>
                    </a:ln>
                  </pic:spPr>
                </pic:pic>
              </a:graphicData>
            </a:graphic>
          </wp:inline>
        </w:drawing>
      </w:r>
    </w:p>
    <w:p>
      <w:pPr>
        <w:shd w:val="clear"/>
        <w:jc w:val="center"/>
        <w:rPr>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shd w:val="clear"/>
        <w:spacing w:line="220" w:lineRule="atLeast"/>
        <w:rPr>
          <w:b/>
          <w:bCs/>
          <w:color w:val="auto"/>
          <w:sz w:val="24"/>
        </w:rPr>
      </w:pPr>
      <w:r>
        <w:rPr>
          <w:b/>
          <w:bCs/>
          <w:color w:val="auto"/>
          <w:sz w:val="24"/>
        </w:rPr>
        <w:t>附件</w:t>
      </w:r>
      <w:r>
        <w:rPr>
          <w:rFonts w:hint="eastAsia"/>
          <w:b/>
          <w:bCs/>
          <w:color w:val="auto"/>
          <w:sz w:val="24"/>
          <w:lang w:val="en-US" w:eastAsia="zh-CN"/>
        </w:rPr>
        <w:t>5</w:t>
      </w:r>
      <w:r>
        <w:rPr>
          <w:rFonts w:hint="eastAsia"/>
          <w:b/>
          <w:bCs/>
          <w:color w:val="auto"/>
          <w:sz w:val="24"/>
        </w:rPr>
        <w:t>：</w:t>
      </w:r>
      <w:r>
        <w:rPr>
          <w:b/>
          <w:bCs/>
          <w:color w:val="auto"/>
          <w:sz w:val="24"/>
        </w:rPr>
        <w:t>核定总量计算说明</w:t>
      </w:r>
    </w:p>
    <w:p>
      <w:pPr>
        <w:shd w:val="clear"/>
        <w:spacing w:line="220" w:lineRule="atLeast"/>
        <w:jc w:val="center"/>
        <w:rPr>
          <w:b/>
          <w:color w:val="auto"/>
          <w:sz w:val="32"/>
          <w:szCs w:val="32"/>
        </w:rPr>
      </w:pPr>
      <w:r>
        <w:rPr>
          <w:b/>
          <w:color w:val="auto"/>
          <w:sz w:val="36"/>
          <w:szCs w:val="36"/>
        </w:rPr>
        <w:t>核定总量计算说明</w:t>
      </w:r>
    </w:p>
    <w:p>
      <w:pPr>
        <w:shd w:val="clear"/>
        <w:spacing w:line="360" w:lineRule="auto"/>
        <w:jc w:val="left"/>
        <w:rPr>
          <w:b/>
          <w:color w:val="auto"/>
          <w:sz w:val="24"/>
        </w:rPr>
      </w:pPr>
      <w:r>
        <w:rPr>
          <w:b/>
          <w:color w:val="auto"/>
          <w:sz w:val="24"/>
        </w:rPr>
        <w:t>1、</w:t>
      </w:r>
      <w:r>
        <w:rPr>
          <w:rFonts w:hint="eastAsia"/>
          <w:b/>
          <w:color w:val="auto"/>
          <w:sz w:val="24"/>
        </w:rPr>
        <w:t>废气</w:t>
      </w:r>
      <w:r>
        <w:rPr>
          <w:b/>
          <w:color w:val="auto"/>
          <w:sz w:val="24"/>
        </w:rPr>
        <w:t>污染物核定总量</w:t>
      </w:r>
    </w:p>
    <w:p>
      <w:pPr>
        <w:shd w:val="clear"/>
        <w:spacing w:line="360" w:lineRule="auto"/>
        <w:jc w:val="center"/>
        <w:rPr>
          <w:b/>
          <w:color w:val="auto"/>
          <w:sz w:val="24"/>
        </w:rPr>
      </w:pPr>
      <w:r>
        <w:rPr>
          <w:b/>
          <w:color w:val="auto"/>
          <w:sz w:val="24"/>
        </w:rPr>
        <w:t>表1 基准烟气量取值表</w:t>
      </w:r>
    </w:p>
    <w:tbl>
      <w:tblPr>
        <w:tblStyle w:val="27"/>
        <w:tblW w:w="88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8"/>
        <w:gridCol w:w="2144"/>
        <w:gridCol w:w="1418"/>
        <w:gridCol w:w="2824"/>
        <w:gridCol w:w="1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70" w:type="dxa"/>
            <w:gridSpan w:val="3"/>
            <w:tcBorders>
              <w:tl2br w:val="nil"/>
              <w:tr2bl w:val="nil"/>
            </w:tcBorders>
            <w:vAlign w:val="center"/>
          </w:tcPr>
          <w:p>
            <w:pPr>
              <w:shd w:val="clear"/>
              <w:ind w:left="482" w:hanging="482"/>
              <w:jc w:val="left"/>
              <w:rPr>
                <w:b/>
                <w:color w:val="auto"/>
                <w:szCs w:val="21"/>
              </w:rPr>
            </w:pPr>
            <w:r>
              <w:rPr>
                <w:b/>
                <w:color w:val="auto"/>
                <w:szCs w:val="21"/>
              </w:rPr>
              <w:t>锅炉</w:t>
            </w:r>
          </w:p>
        </w:tc>
        <w:tc>
          <w:tcPr>
            <w:tcW w:w="2824" w:type="dxa"/>
            <w:tcBorders>
              <w:tl2br w:val="nil"/>
              <w:tr2bl w:val="nil"/>
            </w:tcBorders>
            <w:vAlign w:val="center"/>
          </w:tcPr>
          <w:p>
            <w:pPr>
              <w:shd w:val="clear"/>
              <w:jc w:val="left"/>
              <w:rPr>
                <w:b/>
                <w:color w:val="auto"/>
                <w:szCs w:val="21"/>
              </w:rPr>
            </w:pPr>
            <w:r>
              <w:rPr>
                <w:b/>
                <w:color w:val="auto"/>
                <w:szCs w:val="21"/>
              </w:rPr>
              <w:t>基准烟气量</w:t>
            </w:r>
          </w:p>
        </w:tc>
        <w:tc>
          <w:tcPr>
            <w:tcW w:w="1003" w:type="dxa"/>
            <w:tcBorders>
              <w:tl2br w:val="nil"/>
              <w:tr2bl w:val="nil"/>
            </w:tcBorders>
            <w:vAlign w:val="center"/>
          </w:tcPr>
          <w:p>
            <w:pPr>
              <w:shd w:val="clear"/>
              <w:jc w:val="left"/>
              <w:rPr>
                <w:b/>
                <w:color w:val="auto"/>
                <w:szCs w:val="21"/>
              </w:rPr>
            </w:pPr>
            <w:r>
              <w:rPr>
                <w:b/>
                <w:color w:val="auto"/>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508" w:type="dxa"/>
            <w:vMerge w:val="restart"/>
            <w:tcBorders>
              <w:tl2br w:val="nil"/>
              <w:tr2bl w:val="nil"/>
            </w:tcBorders>
            <w:vAlign w:val="center"/>
          </w:tcPr>
          <w:p>
            <w:pPr>
              <w:shd w:val="clear"/>
              <w:jc w:val="left"/>
              <w:rPr>
                <w:color w:val="auto"/>
                <w:szCs w:val="21"/>
              </w:rPr>
            </w:pPr>
            <w:r>
              <w:rPr>
                <w:color w:val="auto"/>
                <w:szCs w:val="21"/>
              </w:rPr>
              <w:t>燃煤锅炉</w:t>
            </w:r>
          </w:p>
        </w:tc>
        <w:tc>
          <w:tcPr>
            <w:tcW w:w="2144" w:type="dxa"/>
            <w:vMerge w:val="restart"/>
            <w:tcBorders>
              <w:tl2br w:val="nil"/>
              <w:tr2bl w:val="nil"/>
            </w:tcBorders>
            <w:vAlign w:val="center"/>
          </w:tcPr>
          <w:p>
            <w:pPr>
              <w:shd w:val="clear"/>
              <w:jc w:val="left"/>
              <w:rPr>
                <w:color w:val="auto"/>
                <w:szCs w:val="21"/>
              </w:rPr>
            </w:pPr>
            <w:r>
              <w:rPr>
                <w:color w:val="auto"/>
                <w:szCs w:val="21"/>
              </w:rPr>
              <w:t>Q</w:t>
            </w:r>
            <w:r>
              <w:rPr>
                <w:color w:val="auto"/>
                <w:szCs w:val="21"/>
                <w:vertAlign w:val="subscript"/>
              </w:rPr>
              <w:t>net，ar</w:t>
            </w:r>
            <w:r>
              <w:rPr>
                <w:color w:val="auto"/>
                <w:szCs w:val="21"/>
              </w:rPr>
              <w:t>≥12.54MJ/kg</w:t>
            </w:r>
          </w:p>
        </w:tc>
        <w:tc>
          <w:tcPr>
            <w:tcW w:w="1418" w:type="dxa"/>
            <w:tcBorders>
              <w:tl2br w:val="nil"/>
              <w:tr2bl w:val="nil"/>
            </w:tcBorders>
            <w:vAlign w:val="center"/>
          </w:tcPr>
          <w:p>
            <w:pPr>
              <w:shd w:val="clear"/>
              <w:jc w:val="left"/>
              <w:rPr>
                <w:color w:val="auto"/>
                <w:szCs w:val="21"/>
              </w:rPr>
            </w:pPr>
            <w:r>
              <w:rPr>
                <w:color w:val="auto"/>
                <w:szCs w:val="21"/>
              </w:rPr>
              <w:t>V</w:t>
            </w:r>
            <w:r>
              <w:rPr>
                <w:color w:val="auto"/>
                <w:szCs w:val="21"/>
                <w:vertAlign w:val="subscript"/>
              </w:rPr>
              <w:t>daf</w:t>
            </w:r>
            <w:r>
              <w:rPr>
                <w:color w:val="auto"/>
                <w:szCs w:val="21"/>
              </w:rPr>
              <w:t>≥15%</w:t>
            </w:r>
          </w:p>
        </w:tc>
        <w:tc>
          <w:tcPr>
            <w:tcW w:w="2824" w:type="dxa"/>
            <w:tcBorders>
              <w:tl2br w:val="nil"/>
              <w:tr2bl w:val="nil"/>
            </w:tcBorders>
            <w:vAlign w:val="center"/>
          </w:tcPr>
          <w:p>
            <w:pPr>
              <w:shd w:val="clear"/>
              <w:ind w:left="482" w:hanging="482"/>
              <w:jc w:val="left"/>
              <w:rPr>
                <w:color w:val="auto"/>
                <w:szCs w:val="21"/>
              </w:rPr>
            </w:pPr>
            <w:r>
              <w:rPr>
                <w:color w:val="auto"/>
                <w:szCs w:val="21"/>
              </w:rPr>
              <w:t>V</w:t>
            </w:r>
            <w:r>
              <w:rPr>
                <w:color w:val="auto"/>
                <w:szCs w:val="21"/>
                <w:vertAlign w:val="subscript"/>
              </w:rPr>
              <w:t>gy</w:t>
            </w:r>
            <w:r>
              <w:rPr>
                <w:color w:val="auto"/>
                <w:szCs w:val="21"/>
              </w:rPr>
              <w:t>=0.411Q</w:t>
            </w:r>
            <w:r>
              <w:rPr>
                <w:color w:val="auto"/>
                <w:szCs w:val="21"/>
                <w:vertAlign w:val="subscript"/>
              </w:rPr>
              <w:t>net，ar</w:t>
            </w:r>
            <w:r>
              <w:rPr>
                <w:color w:val="auto"/>
                <w:szCs w:val="21"/>
              </w:rPr>
              <w:t>+0.918</w:t>
            </w:r>
          </w:p>
        </w:tc>
        <w:tc>
          <w:tcPr>
            <w:tcW w:w="1003" w:type="dxa"/>
            <w:tcBorders>
              <w:tl2br w:val="nil"/>
              <w:tr2bl w:val="nil"/>
            </w:tcBorders>
            <w:vAlign w:val="center"/>
          </w:tcPr>
          <w:p>
            <w:pPr>
              <w:shd w:val="clear"/>
              <w:jc w:val="left"/>
              <w:rPr>
                <w:color w:val="auto"/>
                <w:szCs w:val="21"/>
              </w:rPr>
            </w:pPr>
            <w:r>
              <w:rPr>
                <w:color w:val="auto"/>
                <w:szCs w:val="21"/>
              </w:rPr>
              <w:t>Nm</w:t>
            </w:r>
            <w:r>
              <w:rPr>
                <w:color w:val="auto"/>
                <w:szCs w:val="21"/>
                <w:vertAlign w:val="superscript"/>
              </w:rPr>
              <w:t>3</w:t>
            </w:r>
            <w:r>
              <w:rPr>
                <w:color w:val="auto"/>
                <w:szCs w:val="21"/>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508" w:type="dxa"/>
            <w:vMerge w:val="continue"/>
            <w:tcBorders>
              <w:tl2br w:val="nil"/>
              <w:tr2bl w:val="nil"/>
            </w:tcBorders>
            <w:vAlign w:val="center"/>
          </w:tcPr>
          <w:p>
            <w:pPr>
              <w:shd w:val="clear"/>
              <w:ind w:left="961" w:hanging="482"/>
              <w:jc w:val="left"/>
              <w:rPr>
                <w:color w:val="auto"/>
                <w:szCs w:val="21"/>
              </w:rPr>
            </w:pPr>
          </w:p>
        </w:tc>
        <w:tc>
          <w:tcPr>
            <w:tcW w:w="2144" w:type="dxa"/>
            <w:vMerge w:val="continue"/>
            <w:tcBorders>
              <w:tl2br w:val="nil"/>
              <w:tr2bl w:val="nil"/>
            </w:tcBorders>
            <w:vAlign w:val="center"/>
          </w:tcPr>
          <w:p>
            <w:pPr>
              <w:shd w:val="clear"/>
              <w:jc w:val="left"/>
              <w:rPr>
                <w:color w:val="auto"/>
                <w:szCs w:val="21"/>
              </w:rPr>
            </w:pPr>
          </w:p>
        </w:tc>
        <w:tc>
          <w:tcPr>
            <w:tcW w:w="1418" w:type="dxa"/>
            <w:tcBorders>
              <w:tl2br w:val="nil"/>
              <w:tr2bl w:val="nil"/>
            </w:tcBorders>
            <w:vAlign w:val="center"/>
          </w:tcPr>
          <w:p>
            <w:pPr>
              <w:shd w:val="clear"/>
              <w:jc w:val="left"/>
              <w:rPr>
                <w:color w:val="auto"/>
                <w:szCs w:val="21"/>
              </w:rPr>
            </w:pPr>
            <w:r>
              <w:rPr>
                <w:color w:val="auto"/>
                <w:szCs w:val="21"/>
              </w:rPr>
              <w:t>V</w:t>
            </w:r>
            <w:r>
              <w:rPr>
                <w:color w:val="auto"/>
                <w:szCs w:val="21"/>
                <w:vertAlign w:val="subscript"/>
              </w:rPr>
              <w:t>daf</w:t>
            </w:r>
            <w:r>
              <w:rPr>
                <w:color w:val="auto"/>
                <w:szCs w:val="21"/>
              </w:rPr>
              <w:t>＜15%</w:t>
            </w:r>
          </w:p>
        </w:tc>
        <w:tc>
          <w:tcPr>
            <w:tcW w:w="2824" w:type="dxa"/>
            <w:tcBorders>
              <w:tl2br w:val="nil"/>
              <w:tr2bl w:val="nil"/>
            </w:tcBorders>
            <w:vAlign w:val="center"/>
          </w:tcPr>
          <w:p>
            <w:pPr>
              <w:shd w:val="clear"/>
              <w:ind w:left="482" w:hanging="482"/>
              <w:jc w:val="left"/>
              <w:rPr>
                <w:color w:val="auto"/>
                <w:szCs w:val="21"/>
              </w:rPr>
            </w:pPr>
            <w:r>
              <w:rPr>
                <w:color w:val="auto"/>
                <w:szCs w:val="21"/>
              </w:rPr>
              <w:t>V</w:t>
            </w:r>
            <w:r>
              <w:rPr>
                <w:color w:val="auto"/>
                <w:szCs w:val="21"/>
                <w:vertAlign w:val="subscript"/>
              </w:rPr>
              <w:t>gy</w:t>
            </w:r>
            <w:r>
              <w:rPr>
                <w:color w:val="auto"/>
                <w:szCs w:val="21"/>
              </w:rPr>
              <w:t>=0.406Q</w:t>
            </w:r>
            <w:r>
              <w:rPr>
                <w:color w:val="auto"/>
                <w:szCs w:val="21"/>
                <w:vertAlign w:val="subscript"/>
              </w:rPr>
              <w:t>net，ar</w:t>
            </w:r>
            <w:r>
              <w:rPr>
                <w:color w:val="auto"/>
                <w:szCs w:val="21"/>
              </w:rPr>
              <w:t>+1.157</w:t>
            </w:r>
          </w:p>
        </w:tc>
        <w:tc>
          <w:tcPr>
            <w:tcW w:w="1003" w:type="dxa"/>
            <w:tcBorders>
              <w:tl2br w:val="nil"/>
              <w:tr2bl w:val="nil"/>
            </w:tcBorders>
            <w:vAlign w:val="center"/>
          </w:tcPr>
          <w:p>
            <w:pPr>
              <w:shd w:val="clear"/>
              <w:jc w:val="left"/>
              <w:rPr>
                <w:color w:val="auto"/>
                <w:szCs w:val="21"/>
              </w:rPr>
            </w:pPr>
            <w:r>
              <w:rPr>
                <w:color w:val="auto"/>
                <w:szCs w:val="21"/>
              </w:rPr>
              <w:t>Nm</w:t>
            </w:r>
            <w:r>
              <w:rPr>
                <w:color w:val="auto"/>
                <w:szCs w:val="21"/>
                <w:vertAlign w:val="superscript"/>
              </w:rPr>
              <w:t>3</w:t>
            </w:r>
            <w:r>
              <w:rPr>
                <w:color w:val="auto"/>
                <w:szCs w:val="21"/>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1508" w:type="dxa"/>
            <w:vMerge w:val="continue"/>
            <w:tcBorders>
              <w:tl2br w:val="nil"/>
              <w:tr2bl w:val="nil"/>
            </w:tcBorders>
            <w:vAlign w:val="center"/>
          </w:tcPr>
          <w:p>
            <w:pPr>
              <w:shd w:val="clear"/>
              <w:ind w:left="961" w:hanging="482"/>
              <w:jc w:val="left"/>
              <w:rPr>
                <w:color w:val="auto"/>
                <w:szCs w:val="21"/>
              </w:rPr>
            </w:pPr>
          </w:p>
        </w:tc>
        <w:tc>
          <w:tcPr>
            <w:tcW w:w="3562" w:type="dxa"/>
            <w:gridSpan w:val="2"/>
            <w:tcBorders>
              <w:tl2br w:val="nil"/>
              <w:tr2bl w:val="nil"/>
            </w:tcBorders>
            <w:vAlign w:val="center"/>
          </w:tcPr>
          <w:p>
            <w:pPr>
              <w:shd w:val="clear"/>
              <w:ind w:left="482" w:hanging="482"/>
              <w:jc w:val="left"/>
              <w:rPr>
                <w:color w:val="auto"/>
                <w:szCs w:val="21"/>
              </w:rPr>
            </w:pPr>
            <w:r>
              <w:rPr>
                <w:color w:val="auto"/>
                <w:szCs w:val="21"/>
              </w:rPr>
              <w:t>Qnet，ar＜12.54MJ/kg</w:t>
            </w:r>
          </w:p>
        </w:tc>
        <w:tc>
          <w:tcPr>
            <w:tcW w:w="2824" w:type="dxa"/>
            <w:tcBorders>
              <w:tl2br w:val="nil"/>
              <w:tr2bl w:val="nil"/>
            </w:tcBorders>
            <w:vAlign w:val="center"/>
          </w:tcPr>
          <w:p>
            <w:pPr>
              <w:shd w:val="clear"/>
              <w:ind w:left="482" w:hanging="482"/>
              <w:jc w:val="left"/>
              <w:rPr>
                <w:color w:val="auto"/>
                <w:szCs w:val="21"/>
              </w:rPr>
            </w:pPr>
            <w:r>
              <w:rPr>
                <w:color w:val="auto"/>
                <w:szCs w:val="21"/>
              </w:rPr>
              <w:t>V</w:t>
            </w:r>
            <w:r>
              <w:rPr>
                <w:color w:val="auto"/>
                <w:szCs w:val="21"/>
                <w:vertAlign w:val="subscript"/>
              </w:rPr>
              <w:t>gy</w:t>
            </w:r>
            <w:r>
              <w:rPr>
                <w:color w:val="auto"/>
                <w:szCs w:val="21"/>
              </w:rPr>
              <w:t>=0.402Q</w:t>
            </w:r>
            <w:r>
              <w:rPr>
                <w:color w:val="auto"/>
                <w:szCs w:val="21"/>
                <w:vertAlign w:val="subscript"/>
              </w:rPr>
              <w:t>net，ar</w:t>
            </w:r>
            <w:r>
              <w:rPr>
                <w:color w:val="auto"/>
                <w:szCs w:val="21"/>
              </w:rPr>
              <w:t>+0.822</w:t>
            </w:r>
          </w:p>
        </w:tc>
        <w:tc>
          <w:tcPr>
            <w:tcW w:w="1003" w:type="dxa"/>
            <w:tcBorders>
              <w:tl2br w:val="nil"/>
              <w:tr2bl w:val="nil"/>
            </w:tcBorders>
            <w:vAlign w:val="center"/>
          </w:tcPr>
          <w:p>
            <w:pPr>
              <w:shd w:val="clear"/>
              <w:jc w:val="left"/>
              <w:rPr>
                <w:color w:val="auto"/>
                <w:szCs w:val="21"/>
              </w:rPr>
            </w:pPr>
            <w:r>
              <w:rPr>
                <w:color w:val="auto"/>
                <w:szCs w:val="21"/>
              </w:rPr>
              <w:t>Nm</w:t>
            </w:r>
            <w:r>
              <w:rPr>
                <w:color w:val="auto"/>
                <w:szCs w:val="21"/>
                <w:vertAlign w:val="superscript"/>
              </w:rPr>
              <w:t>3</w:t>
            </w:r>
            <w:r>
              <w:rPr>
                <w:color w:val="auto"/>
                <w:szCs w:val="21"/>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5070" w:type="dxa"/>
            <w:gridSpan w:val="3"/>
            <w:tcBorders>
              <w:tl2br w:val="nil"/>
              <w:tr2bl w:val="nil"/>
            </w:tcBorders>
            <w:vAlign w:val="center"/>
          </w:tcPr>
          <w:p>
            <w:pPr>
              <w:shd w:val="clear"/>
              <w:ind w:left="482" w:hanging="482"/>
              <w:jc w:val="left"/>
              <w:rPr>
                <w:color w:val="auto"/>
                <w:szCs w:val="21"/>
              </w:rPr>
            </w:pPr>
            <w:r>
              <w:rPr>
                <w:color w:val="auto"/>
                <w:szCs w:val="21"/>
              </w:rPr>
              <w:t>燃油锅炉</w:t>
            </w:r>
          </w:p>
        </w:tc>
        <w:tc>
          <w:tcPr>
            <w:tcW w:w="2824" w:type="dxa"/>
            <w:tcBorders>
              <w:tl2br w:val="nil"/>
              <w:tr2bl w:val="nil"/>
            </w:tcBorders>
            <w:vAlign w:val="center"/>
          </w:tcPr>
          <w:p>
            <w:pPr>
              <w:shd w:val="clear"/>
              <w:ind w:left="482" w:hanging="482"/>
              <w:jc w:val="left"/>
              <w:rPr>
                <w:color w:val="auto"/>
                <w:szCs w:val="21"/>
              </w:rPr>
            </w:pPr>
            <w:r>
              <w:rPr>
                <w:color w:val="auto"/>
                <w:szCs w:val="21"/>
              </w:rPr>
              <w:t>V</w:t>
            </w:r>
            <w:r>
              <w:rPr>
                <w:color w:val="auto"/>
                <w:szCs w:val="21"/>
                <w:vertAlign w:val="subscript"/>
              </w:rPr>
              <w:t>gy</w:t>
            </w:r>
            <w:r>
              <w:rPr>
                <w:color w:val="auto"/>
                <w:szCs w:val="21"/>
              </w:rPr>
              <w:t>=0.29Q</w:t>
            </w:r>
            <w:r>
              <w:rPr>
                <w:color w:val="auto"/>
                <w:szCs w:val="21"/>
                <w:vertAlign w:val="subscript"/>
              </w:rPr>
              <w:t>net，ar</w:t>
            </w:r>
            <w:r>
              <w:rPr>
                <w:color w:val="auto"/>
                <w:szCs w:val="21"/>
              </w:rPr>
              <w:t>+0.379</w:t>
            </w:r>
          </w:p>
        </w:tc>
        <w:tc>
          <w:tcPr>
            <w:tcW w:w="1003" w:type="dxa"/>
            <w:tcBorders>
              <w:tl2br w:val="nil"/>
              <w:tr2bl w:val="nil"/>
            </w:tcBorders>
            <w:vAlign w:val="center"/>
          </w:tcPr>
          <w:p>
            <w:pPr>
              <w:shd w:val="clear"/>
              <w:ind w:left="482" w:hanging="482"/>
              <w:jc w:val="left"/>
              <w:rPr>
                <w:color w:val="auto"/>
                <w:szCs w:val="21"/>
              </w:rPr>
            </w:pPr>
            <w:r>
              <w:rPr>
                <w:color w:val="auto"/>
                <w:szCs w:val="21"/>
              </w:rPr>
              <w:t>Nm</w:t>
            </w:r>
            <w:r>
              <w:rPr>
                <w:color w:val="auto"/>
                <w:szCs w:val="21"/>
                <w:vertAlign w:val="superscript"/>
              </w:rPr>
              <w:t>3</w:t>
            </w:r>
            <w:r>
              <w:rPr>
                <w:color w:val="auto"/>
                <w:szCs w:val="21"/>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508" w:type="dxa"/>
            <w:vMerge w:val="restart"/>
            <w:tcBorders>
              <w:tl2br w:val="nil"/>
              <w:tr2bl w:val="nil"/>
            </w:tcBorders>
            <w:vAlign w:val="center"/>
          </w:tcPr>
          <w:p>
            <w:pPr>
              <w:shd w:val="clear"/>
              <w:ind w:left="482" w:hanging="482"/>
              <w:jc w:val="left"/>
              <w:rPr>
                <w:color w:val="auto"/>
                <w:szCs w:val="21"/>
              </w:rPr>
            </w:pPr>
            <w:r>
              <w:rPr>
                <w:color w:val="auto"/>
                <w:szCs w:val="21"/>
              </w:rPr>
              <w:t>燃气锅炉</w:t>
            </w:r>
          </w:p>
        </w:tc>
        <w:tc>
          <w:tcPr>
            <w:tcW w:w="3562" w:type="dxa"/>
            <w:gridSpan w:val="2"/>
            <w:tcBorders>
              <w:tl2br w:val="nil"/>
              <w:tr2bl w:val="nil"/>
            </w:tcBorders>
            <w:vAlign w:val="center"/>
          </w:tcPr>
          <w:p>
            <w:pPr>
              <w:shd w:val="clear"/>
              <w:ind w:left="482" w:hanging="482"/>
              <w:jc w:val="left"/>
              <w:rPr>
                <w:color w:val="auto"/>
                <w:szCs w:val="21"/>
              </w:rPr>
            </w:pPr>
            <w:r>
              <w:rPr>
                <w:color w:val="auto"/>
                <w:szCs w:val="21"/>
              </w:rPr>
              <w:t>天然气</w:t>
            </w:r>
          </w:p>
        </w:tc>
        <w:tc>
          <w:tcPr>
            <w:tcW w:w="2824" w:type="dxa"/>
            <w:tcBorders>
              <w:tl2br w:val="nil"/>
              <w:tr2bl w:val="nil"/>
            </w:tcBorders>
            <w:vAlign w:val="center"/>
          </w:tcPr>
          <w:p>
            <w:pPr>
              <w:shd w:val="clear"/>
              <w:ind w:left="482" w:hanging="482"/>
              <w:jc w:val="left"/>
              <w:rPr>
                <w:color w:val="auto"/>
                <w:szCs w:val="21"/>
              </w:rPr>
            </w:pPr>
            <w:r>
              <w:rPr>
                <w:color w:val="auto"/>
                <w:szCs w:val="21"/>
              </w:rPr>
              <w:t>V</w:t>
            </w:r>
            <w:r>
              <w:rPr>
                <w:color w:val="auto"/>
                <w:szCs w:val="21"/>
                <w:vertAlign w:val="subscript"/>
              </w:rPr>
              <w:t>gy</w:t>
            </w:r>
            <w:r>
              <w:rPr>
                <w:color w:val="auto"/>
                <w:szCs w:val="21"/>
              </w:rPr>
              <w:t>=0.285Q</w:t>
            </w:r>
            <w:r>
              <w:rPr>
                <w:color w:val="auto"/>
                <w:szCs w:val="21"/>
                <w:vertAlign w:val="subscript"/>
              </w:rPr>
              <w:t>net</w:t>
            </w:r>
            <w:r>
              <w:rPr>
                <w:color w:val="auto"/>
                <w:szCs w:val="21"/>
              </w:rPr>
              <w:t>+0.343</w:t>
            </w:r>
          </w:p>
        </w:tc>
        <w:tc>
          <w:tcPr>
            <w:tcW w:w="1003" w:type="dxa"/>
            <w:tcBorders>
              <w:tl2br w:val="nil"/>
              <w:tr2bl w:val="nil"/>
            </w:tcBorders>
            <w:vAlign w:val="center"/>
          </w:tcPr>
          <w:p>
            <w:pPr>
              <w:shd w:val="clear"/>
              <w:ind w:left="482" w:hanging="482"/>
              <w:jc w:val="left"/>
              <w:rPr>
                <w:color w:val="auto"/>
                <w:szCs w:val="21"/>
              </w:rPr>
            </w:pPr>
            <w:r>
              <w:rPr>
                <w:color w:val="auto"/>
                <w:szCs w:val="21"/>
              </w:rPr>
              <w:t>Nm</w:t>
            </w:r>
            <w:r>
              <w:rPr>
                <w:color w:val="auto"/>
                <w:szCs w:val="21"/>
                <w:vertAlign w:val="superscript"/>
              </w:rPr>
              <w:t>3</w:t>
            </w:r>
            <w:r>
              <w:rPr>
                <w:color w:val="auto"/>
                <w:szCs w:val="21"/>
              </w:rPr>
              <w:t>/m</w:t>
            </w:r>
            <w:r>
              <w:rPr>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08" w:type="dxa"/>
            <w:vMerge w:val="continue"/>
            <w:tcBorders>
              <w:tl2br w:val="nil"/>
              <w:tr2bl w:val="nil"/>
            </w:tcBorders>
            <w:vAlign w:val="center"/>
          </w:tcPr>
          <w:p>
            <w:pPr>
              <w:shd w:val="clear"/>
              <w:ind w:left="482" w:hanging="482"/>
              <w:jc w:val="left"/>
              <w:rPr>
                <w:color w:val="auto"/>
                <w:szCs w:val="21"/>
              </w:rPr>
            </w:pPr>
          </w:p>
        </w:tc>
        <w:tc>
          <w:tcPr>
            <w:tcW w:w="3562" w:type="dxa"/>
            <w:gridSpan w:val="2"/>
            <w:tcBorders>
              <w:tl2br w:val="nil"/>
              <w:tr2bl w:val="nil"/>
            </w:tcBorders>
            <w:vAlign w:val="center"/>
          </w:tcPr>
          <w:p>
            <w:pPr>
              <w:shd w:val="clear"/>
              <w:ind w:left="482" w:hanging="482"/>
              <w:jc w:val="left"/>
              <w:rPr>
                <w:color w:val="auto"/>
                <w:szCs w:val="21"/>
              </w:rPr>
            </w:pPr>
            <w:r>
              <w:rPr>
                <w:color w:val="auto"/>
                <w:szCs w:val="21"/>
              </w:rPr>
              <w:t>高炉煤气</w:t>
            </w:r>
          </w:p>
        </w:tc>
        <w:tc>
          <w:tcPr>
            <w:tcW w:w="2824" w:type="dxa"/>
            <w:tcBorders>
              <w:tl2br w:val="nil"/>
              <w:tr2bl w:val="nil"/>
            </w:tcBorders>
            <w:vAlign w:val="center"/>
          </w:tcPr>
          <w:p>
            <w:pPr>
              <w:shd w:val="clear"/>
              <w:ind w:left="482" w:hanging="482"/>
              <w:jc w:val="left"/>
              <w:rPr>
                <w:color w:val="auto"/>
                <w:szCs w:val="21"/>
              </w:rPr>
            </w:pPr>
            <w:r>
              <w:rPr>
                <w:color w:val="auto"/>
                <w:szCs w:val="21"/>
              </w:rPr>
              <w:t>V</w:t>
            </w:r>
            <w:r>
              <w:rPr>
                <w:color w:val="auto"/>
                <w:szCs w:val="21"/>
                <w:vertAlign w:val="subscript"/>
              </w:rPr>
              <w:t>gy</w:t>
            </w:r>
            <w:r>
              <w:rPr>
                <w:color w:val="auto"/>
                <w:szCs w:val="21"/>
              </w:rPr>
              <w:t>=0.194Q</w:t>
            </w:r>
            <w:r>
              <w:rPr>
                <w:color w:val="auto"/>
                <w:szCs w:val="21"/>
                <w:vertAlign w:val="subscript"/>
              </w:rPr>
              <w:t>net</w:t>
            </w:r>
            <w:r>
              <w:rPr>
                <w:color w:val="auto"/>
                <w:szCs w:val="21"/>
              </w:rPr>
              <w:t>+0.946</w:t>
            </w:r>
          </w:p>
        </w:tc>
        <w:tc>
          <w:tcPr>
            <w:tcW w:w="1003" w:type="dxa"/>
            <w:tcBorders>
              <w:tl2br w:val="nil"/>
              <w:tr2bl w:val="nil"/>
            </w:tcBorders>
            <w:vAlign w:val="center"/>
          </w:tcPr>
          <w:p>
            <w:pPr>
              <w:shd w:val="clear"/>
              <w:ind w:left="482" w:hanging="482"/>
              <w:jc w:val="left"/>
              <w:rPr>
                <w:color w:val="auto"/>
                <w:szCs w:val="21"/>
              </w:rPr>
            </w:pPr>
            <w:r>
              <w:rPr>
                <w:color w:val="auto"/>
                <w:szCs w:val="21"/>
              </w:rPr>
              <w:t>Nm</w:t>
            </w:r>
            <w:r>
              <w:rPr>
                <w:color w:val="auto"/>
                <w:szCs w:val="21"/>
                <w:vertAlign w:val="superscript"/>
              </w:rPr>
              <w:t>3</w:t>
            </w:r>
            <w:r>
              <w:rPr>
                <w:color w:val="auto"/>
                <w:szCs w:val="21"/>
              </w:rPr>
              <w:t>/m</w:t>
            </w:r>
            <w:r>
              <w:rPr>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1508" w:type="dxa"/>
            <w:vMerge w:val="continue"/>
            <w:tcBorders>
              <w:tl2br w:val="nil"/>
              <w:tr2bl w:val="nil"/>
            </w:tcBorders>
            <w:vAlign w:val="center"/>
          </w:tcPr>
          <w:p>
            <w:pPr>
              <w:shd w:val="clear"/>
              <w:ind w:left="482" w:hanging="482"/>
              <w:jc w:val="left"/>
              <w:rPr>
                <w:color w:val="auto"/>
                <w:szCs w:val="21"/>
              </w:rPr>
            </w:pPr>
          </w:p>
        </w:tc>
        <w:tc>
          <w:tcPr>
            <w:tcW w:w="3562" w:type="dxa"/>
            <w:gridSpan w:val="2"/>
            <w:tcBorders>
              <w:tl2br w:val="nil"/>
              <w:tr2bl w:val="nil"/>
            </w:tcBorders>
            <w:vAlign w:val="center"/>
          </w:tcPr>
          <w:p>
            <w:pPr>
              <w:shd w:val="clear"/>
              <w:ind w:left="482" w:hanging="482"/>
              <w:jc w:val="left"/>
              <w:rPr>
                <w:color w:val="auto"/>
                <w:szCs w:val="21"/>
              </w:rPr>
            </w:pPr>
            <w:r>
              <w:rPr>
                <w:color w:val="auto"/>
                <w:szCs w:val="21"/>
              </w:rPr>
              <w:t>转炉煤气</w:t>
            </w:r>
          </w:p>
        </w:tc>
        <w:tc>
          <w:tcPr>
            <w:tcW w:w="2824" w:type="dxa"/>
            <w:tcBorders>
              <w:tl2br w:val="nil"/>
              <w:tr2bl w:val="nil"/>
            </w:tcBorders>
            <w:vAlign w:val="center"/>
          </w:tcPr>
          <w:p>
            <w:pPr>
              <w:shd w:val="clear"/>
              <w:ind w:left="482" w:hanging="482"/>
              <w:jc w:val="left"/>
              <w:rPr>
                <w:color w:val="auto"/>
                <w:szCs w:val="21"/>
              </w:rPr>
            </w:pPr>
            <w:r>
              <w:rPr>
                <w:color w:val="auto"/>
                <w:szCs w:val="21"/>
              </w:rPr>
              <w:t>V</w:t>
            </w:r>
            <w:r>
              <w:rPr>
                <w:color w:val="auto"/>
                <w:szCs w:val="21"/>
                <w:vertAlign w:val="subscript"/>
              </w:rPr>
              <w:t>gy</w:t>
            </w:r>
            <w:r>
              <w:rPr>
                <w:color w:val="auto"/>
                <w:szCs w:val="21"/>
              </w:rPr>
              <w:t>=0.19Q</w:t>
            </w:r>
            <w:r>
              <w:rPr>
                <w:color w:val="auto"/>
                <w:szCs w:val="21"/>
                <w:vertAlign w:val="subscript"/>
              </w:rPr>
              <w:t>net</w:t>
            </w:r>
            <w:r>
              <w:rPr>
                <w:color w:val="auto"/>
                <w:szCs w:val="21"/>
              </w:rPr>
              <w:t>+0.926</w:t>
            </w:r>
          </w:p>
        </w:tc>
        <w:tc>
          <w:tcPr>
            <w:tcW w:w="1003" w:type="dxa"/>
            <w:tcBorders>
              <w:tl2br w:val="nil"/>
              <w:tr2bl w:val="nil"/>
            </w:tcBorders>
            <w:vAlign w:val="center"/>
          </w:tcPr>
          <w:p>
            <w:pPr>
              <w:shd w:val="clear"/>
              <w:ind w:left="482" w:hanging="482"/>
              <w:jc w:val="left"/>
              <w:rPr>
                <w:color w:val="auto"/>
                <w:szCs w:val="21"/>
              </w:rPr>
            </w:pPr>
            <w:r>
              <w:rPr>
                <w:color w:val="auto"/>
                <w:szCs w:val="21"/>
              </w:rPr>
              <w:t>Nm</w:t>
            </w:r>
            <w:r>
              <w:rPr>
                <w:color w:val="auto"/>
                <w:szCs w:val="21"/>
                <w:vertAlign w:val="superscript"/>
              </w:rPr>
              <w:t>3</w:t>
            </w:r>
            <w:r>
              <w:rPr>
                <w:color w:val="auto"/>
                <w:szCs w:val="21"/>
              </w:rPr>
              <w:t>/m</w:t>
            </w:r>
            <w:r>
              <w:rPr>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508" w:type="dxa"/>
            <w:vMerge w:val="continue"/>
            <w:tcBorders>
              <w:tl2br w:val="nil"/>
              <w:tr2bl w:val="nil"/>
            </w:tcBorders>
            <w:vAlign w:val="center"/>
          </w:tcPr>
          <w:p>
            <w:pPr>
              <w:shd w:val="clear"/>
              <w:ind w:left="482" w:hanging="482"/>
              <w:jc w:val="left"/>
              <w:rPr>
                <w:color w:val="auto"/>
                <w:szCs w:val="21"/>
              </w:rPr>
            </w:pPr>
          </w:p>
        </w:tc>
        <w:tc>
          <w:tcPr>
            <w:tcW w:w="3562" w:type="dxa"/>
            <w:gridSpan w:val="2"/>
            <w:tcBorders>
              <w:tl2br w:val="nil"/>
              <w:tr2bl w:val="nil"/>
            </w:tcBorders>
            <w:vAlign w:val="center"/>
          </w:tcPr>
          <w:p>
            <w:pPr>
              <w:shd w:val="clear"/>
              <w:ind w:left="482" w:hanging="482"/>
              <w:jc w:val="left"/>
              <w:rPr>
                <w:color w:val="auto"/>
                <w:szCs w:val="21"/>
              </w:rPr>
            </w:pPr>
            <w:r>
              <w:rPr>
                <w:color w:val="auto"/>
                <w:szCs w:val="21"/>
              </w:rPr>
              <w:t>焦炉煤气</w:t>
            </w:r>
          </w:p>
        </w:tc>
        <w:tc>
          <w:tcPr>
            <w:tcW w:w="2824" w:type="dxa"/>
            <w:tcBorders>
              <w:tl2br w:val="nil"/>
              <w:tr2bl w:val="nil"/>
            </w:tcBorders>
            <w:vAlign w:val="center"/>
          </w:tcPr>
          <w:p>
            <w:pPr>
              <w:shd w:val="clear"/>
              <w:ind w:left="482" w:hanging="482"/>
              <w:jc w:val="left"/>
              <w:rPr>
                <w:color w:val="auto"/>
                <w:szCs w:val="21"/>
              </w:rPr>
            </w:pPr>
            <w:r>
              <w:rPr>
                <w:color w:val="auto"/>
                <w:szCs w:val="21"/>
              </w:rPr>
              <w:t>V</w:t>
            </w:r>
            <w:r>
              <w:rPr>
                <w:color w:val="auto"/>
                <w:szCs w:val="21"/>
                <w:vertAlign w:val="subscript"/>
              </w:rPr>
              <w:t>gy</w:t>
            </w:r>
            <w:r>
              <w:rPr>
                <w:color w:val="auto"/>
                <w:szCs w:val="21"/>
              </w:rPr>
              <w:t>=0.265Q</w:t>
            </w:r>
            <w:r>
              <w:rPr>
                <w:color w:val="auto"/>
                <w:szCs w:val="21"/>
                <w:vertAlign w:val="subscript"/>
              </w:rPr>
              <w:t>net</w:t>
            </w:r>
            <w:r>
              <w:rPr>
                <w:color w:val="auto"/>
                <w:szCs w:val="21"/>
              </w:rPr>
              <w:t>+0.114</w:t>
            </w:r>
          </w:p>
        </w:tc>
        <w:tc>
          <w:tcPr>
            <w:tcW w:w="1003" w:type="dxa"/>
            <w:tcBorders>
              <w:tl2br w:val="nil"/>
              <w:tr2bl w:val="nil"/>
            </w:tcBorders>
            <w:vAlign w:val="center"/>
          </w:tcPr>
          <w:p>
            <w:pPr>
              <w:shd w:val="clear"/>
              <w:ind w:left="482" w:hanging="482"/>
              <w:jc w:val="left"/>
              <w:rPr>
                <w:color w:val="auto"/>
                <w:szCs w:val="21"/>
              </w:rPr>
            </w:pPr>
            <w:r>
              <w:rPr>
                <w:color w:val="auto"/>
                <w:szCs w:val="21"/>
              </w:rPr>
              <w:t>Nm</w:t>
            </w:r>
            <w:r>
              <w:rPr>
                <w:color w:val="auto"/>
                <w:szCs w:val="21"/>
                <w:vertAlign w:val="superscript"/>
              </w:rPr>
              <w:t>3</w:t>
            </w:r>
            <w:r>
              <w:rPr>
                <w:color w:val="auto"/>
                <w:szCs w:val="21"/>
              </w:rPr>
              <w:t>/m</w:t>
            </w:r>
            <w:r>
              <w:rPr>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508" w:type="dxa"/>
            <w:vMerge w:val="restart"/>
            <w:tcBorders>
              <w:tl2br w:val="nil"/>
              <w:tr2bl w:val="nil"/>
            </w:tcBorders>
            <w:vAlign w:val="center"/>
          </w:tcPr>
          <w:p>
            <w:pPr>
              <w:shd w:val="clear"/>
              <w:ind w:left="482" w:hanging="482"/>
              <w:jc w:val="left"/>
              <w:rPr>
                <w:color w:val="auto"/>
                <w:szCs w:val="21"/>
              </w:rPr>
            </w:pPr>
            <w:r>
              <w:rPr>
                <w:color w:val="auto"/>
                <w:szCs w:val="21"/>
              </w:rPr>
              <w:t>燃</w:t>
            </w:r>
            <w:r>
              <w:rPr>
                <w:rFonts w:hint="eastAsia"/>
                <w:color w:val="auto"/>
                <w:szCs w:val="21"/>
              </w:rPr>
              <w:t>生物质蒸汽锅炉</w:t>
            </w:r>
          </w:p>
        </w:tc>
        <w:tc>
          <w:tcPr>
            <w:tcW w:w="2144" w:type="dxa"/>
            <w:vMerge w:val="restart"/>
            <w:tcBorders>
              <w:tl2br w:val="nil"/>
              <w:tr2bl w:val="nil"/>
            </w:tcBorders>
            <w:vAlign w:val="center"/>
          </w:tcPr>
          <w:p>
            <w:pPr>
              <w:shd w:val="clear"/>
              <w:ind w:left="482" w:hanging="482"/>
              <w:jc w:val="left"/>
              <w:rPr>
                <w:color w:val="auto"/>
                <w:szCs w:val="21"/>
              </w:rPr>
            </w:pPr>
            <w:r>
              <w:rPr>
                <w:color w:val="auto"/>
                <w:szCs w:val="21"/>
              </w:rPr>
              <w:t>Qnet，ar≥12.54MJ/kg</w:t>
            </w:r>
          </w:p>
        </w:tc>
        <w:tc>
          <w:tcPr>
            <w:tcW w:w="1418" w:type="dxa"/>
            <w:tcBorders>
              <w:tl2br w:val="nil"/>
              <w:tr2bl w:val="nil"/>
            </w:tcBorders>
            <w:vAlign w:val="center"/>
          </w:tcPr>
          <w:p>
            <w:pPr>
              <w:shd w:val="clear"/>
              <w:ind w:left="482" w:hanging="482"/>
              <w:jc w:val="left"/>
              <w:rPr>
                <w:color w:val="auto"/>
                <w:szCs w:val="21"/>
              </w:rPr>
            </w:pPr>
            <w:r>
              <w:rPr>
                <w:color w:val="auto"/>
                <w:szCs w:val="21"/>
              </w:rPr>
              <w:t>Vdaf≥15%</w:t>
            </w:r>
          </w:p>
        </w:tc>
        <w:tc>
          <w:tcPr>
            <w:tcW w:w="2824" w:type="dxa"/>
            <w:tcBorders>
              <w:tl2br w:val="nil"/>
              <w:tr2bl w:val="nil"/>
            </w:tcBorders>
            <w:vAlign w:val="center"/>
          </w:tcPr>
          <w:p>
            <w:pPr>
              <w:shd w:val="clear"/>
              <w:ind w:left="482" w:hanging="482"/>
              <w:jc w:val="left"/>
              <w:rPr>
                <w:color w:val="auto"/>
                <w:szCs w:val="21"/>
              </w:rPr>
            </w:pPr>
            <w:r>
              <w:rPr>
                <w:color w:val="auto"/>
                <w:szCs w:val="21"/>
              </w:rPr>
              <w:t>V</w:t>
            </w:r>
            <w:r>
              <w:rPr>
                <w:color w:val="auto"/>
                <w:szCs w:val="21"/>
                <w:vertAlign w:val="subscript"/>
              </w:rPr>
              <w:t>gy</w:t>
            </w:r>
            <w:r>
              <w:rPr>
                <w:color w:val="auto"/>
                <w:szCs w:val="21"/>
              </w:rPr>
              <w:t>=0.393Q</w:t>
            </w:r>
            <w:r>
              <w:rPr>
                <w:color w:val="auto"/>
                <w:szCs w:val="21"/>
                <w:vertAlign w:val="subscript"/>
              </w:rPr>
              <w:t>net，ar</w:t>
            </w:r>
            <w:r>
              <w:rPr>
                <w:color w:val="auto"/>
                <w:szCs w:val="21"/>
              </w:rPr>
              <w:t>+0.876</w:t>
            </w:r>
          </w:p>
        </w:tc>
        <w:tc>
          <w:tcPr>
            <w:tcW w:w="1003" w:type="dxa"/>
            <w:tcBorders>
              <w:tl2br w:val="nil"/>
              <w:tr2bl w:val="nil"/>
            </w:tcBorders>
            <w:vAlign w:val="center"/>
          </w:tcPr>
          <w:p>
            <w:pPr>
              <w:shd w:val="clear"/>
              <w:ind w:left="482" w:hanging="482"/>
              <w:jc w:val="left"/>
              <w:rPr>
                <w:color w:val="auto"/>
                <w:szCs w:val="21"/>
              </w:rPr>
            </w:pPr>
            <w:r>
              <w:rPr>
                <w:color w:val="auto"/>
                <w:szCs w:val="21"/>
              </w:rPr>
              <w:t>Nm</w:t>
            </w:r>
            <w:r>
              <w:rPr>
                <w:color w:val="auto"/>
                <w:szCs w:val="21"/>
                <w:vertAlign w:val="superscript"/>
              </w:rPr>
              <w:t>3</w:t>
            </w:r>
            <w:r>
              <w:rPr>
                <w:color w:val="auto"/>
                <w:szCs w:val="21"/>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508" w:type="dxa"/>
            <w:vMerge w:val="continue"/>
            <w:tcBorders>
              <w:tl2br w:val="nil"/>
              <w:tr2bl w:val="nil"/>
            </w:tcBorders>
            <w:vAlign w:val="center"/>
          </w:tcPr>
          <w:p>
            <w:pPr>
              <w:shd w:val="clear"/>
              <w:ind w:left="482" w:hanging="482"/>
              <w:jc w:val="left"/>
              <w:rPr>
                <w:color w:val="auto"/>
                <w:szCs w:val="21"/>
              </w:rPr>
            </w:pPr>
          </w:p>
        </w:tc>
        <w:tc>
          <w:tcPr>
            <w:tcW w:w="2144" w:type="dxa"/>
            <w:vMerge w:val="continue"/>
            <w:tcBorders>
              <w:tl2br w:val="nil"/>
              <w:tr2bl w:val="nil"/>
            </w:tcBorders>
            <w:vAlign w:val="center"/>
          </w:tcPr>
          <w:p>
            <w:pPr>
              <w:shd w:val="clear"/>
              <w:ind w:left="482" w:hanging="482"/>
              <w:jc w:val="left"/>
              <w:rPr>
                <w:color w:val="auto"/>
                <w:szCs w:val="21"/>
              </w:rPr>
            </w:pPr>
          </w:p>
        </w:tc>
        <w:tc>
          <w:tcPr>
            <w:tcW w:w="1418" w:type="dxa"/>
            <w:tcBorders>
              <w:tl2br w:val="nil"/>
              <w:tr2bl w:val="nil"/>
            </w:tcBorders>
            <w:vAlign w:val="center"/>
          </w:tcPr>
          <w:p>
            <w:pPr>
              <w:shd w:val="clear"/>
              <w:ind w:left="482" w:hanging="482"/>
              <w:jc w:val="left"/>
              <w:rPr>
                <w:color w:val="auto"/>
                <w:szCs w:val="21"/>
              </w:rPr>
            </w:pPr>
            <w:r>
              <w:rPr>
                <w:color w:val="auto"/>
                <w:szCs w:val="21"/>
              </w:rPr>
              <w:t>Vdaf＜15%</w:t>
            </w:r>
          </w:p>
        </w:tc>
        <w:tc>
          <w:tcPr>
            <w:tcW w:w="2824" w:type="dxa"/>
            <w:tcBorders>
              <w:tl2br w:val="nil"/>
              <w:tr2bl w:val="nil"/>
            </w:tcBorders>
            <w:vAlign w:val="center"/>
          </w:tcPr>
          <w:p>
            <w:pPr>
              <w:shd w:val="clear"/>
              <w:ind w:left="482" w:hanging="482"/>
              <w:jc w:val="left"/>
              <w:rPr>
                <w:color w:val="auto"/>
                <w:szCs w:val="21"/>
              </w:rPr>
            </w:pPr>
            <w:r>
              <w:rPr>
                <w:color w:val="auto"/>
                <w:szCs w:val="21"/>
              </w:rPr>
              <w:t>V</w:t>
            </w:r>
            <w:r>
              <w:rPr>
                <w:color w:val="auto"/>
                <w:szCs w:val="21"/>
                <w:vertAlign w:val="subscript"/>
              </w:rPr>
              <w:t>gy</w:t>
            </w:r>
            <w:r>
              <w:rPr>
                <w:color w:val="auto"/>
                <w:szCs w:val="21"/>
              </w:rPr>
              <w:t>=0.385Q</w:t>
            </w:r>
            <w:r>
              <w:rPr>
                <w:color w:val="auto"/>
                <w:szCs w:val="21"/>
                <w:vertAlign w:val="subscript"/>
              </w:rPr>
              <w:t>net，ar</w:t>
            </w:r>
            <w:r>
              <w:rPr>
                <w:color w:val="auto"/>
                <w:szCs w:val="21"/>
              </w:rPr>
              <w:t>+1.095</w:t>
            </w:r>
          </w:p>
        </w:tc>
        <w:tc>
          <w:tcPr>
            <w:tcW w:w="1003" w:type="dxa"/>
            <w:tcBorders>
              <w:tl2br w:val="nil"/>
              <w:tr2bl w:val="nil"/>
            </w:tcBorders>
            <w:vAlign w:val="center"/>
          </w:tcPr>
          <w:p>
            <w:pPr>
              <w:shd w:val="clear"/>
              <w:ind w:left="482" w:hanging="482"/>
              <w:jc w:val="left"/>
              <w:rPr>
                <w:color w:val="auto"/>
                <w:szCs w:val="21"/>
              </w:rPr>
            </w:pPr>
            <w:r>
              <w:rPr>
                <w:color w:val="auto"/>
                <w:szCs w:val="21"/>
              </w:rPr>
              <w:t>Nm</w:t>
            </w:r>
            <w:r>
              <w:rPr>
                <w:color w:val="auto"/>
                <w:szCs w:val="21"/>
                <w:vertAlign w:val="superscript"/>
              </w:rPr>
              <w:t>3</w:t>
            </w:r>
            <w:r>
              <w:rPr>
                <w:color w:val="auto"/>
                <w:szCs w:val="21"/>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08" w:type="dxa"/>
            <w:vMerge w:val="continue"/>
            <w:tcBorders>
              <w:tl2br w:val="nil"/>
              <w:tr2bl w:val="nil"/>
            </w:tcBorders>
            <w:vAlign w:val="center"/>
          </w:tcPr>
          <w:p>
            <w:pPr>
              <w:shd w:val="clear"/>
              <w:ind w:left="482" w:hanging="482"/>
              <w:jc w:val="left"/>
              <w:rPr>
                <w:color w:val="auto"/>
                <w:szCs w:val="21"/>
              </w:rPr>
            </w:pPr>
          </w:p>
        </w:tc>
        <w:tc>
          <w:tcPr>
            <w:tcW w:w="3562" w:type="dxa"/>
            <w:gridSpan w:val="2"/>
            <w:tcBorders>
              <w:tl2br w:val="nil"/>
              <w:tr2bl w:val="nil"/>
            </w:tcBorders>
            <w:vAlign w:val="center"/>
          </w:tcPr>
          <w:p>
            <w:pPr>
              <w:shd w:val="clear"/>
              <w:ind w:left="482" w:hanging="482"/>
              <w:jc w:val="left"/>
              <w:rPr>
                <w:color w:val="auto"/>
                <w:szCs w:val="21"/>
              </w:rPr>
            </w:pPr>
            <w:r>
              <w:rPr>
                <w:color w:val="auto"/>
                <w:szCs w:val="21"/>
              </w:rPr>
              <w:t>Qnet，ar＜12.54MJ/kg</w:t>
            </w:r>
          </w:p>
        </w:tc>
        <w:tc>
          <w:tcPr>
            <w:tcW w:w="2824" w:type="dxa"/>
            <w:tcBorders>
              <w:tl2br w:val="nil"/>
              <w:tr2bl w:val="nil"/>
            </w:tcBorders>
            <w:vAlign w:val="center"/>
          </w:tcPr>
          <w:p>
            <w:pPr>
              <w:shd w:val="clear"/>
              <w:ind w:left="482" w:hanging="482"/>
              <w:jc w:val="left"/>
              <w:rPr>
                <w:color w:val="auto"/>
                <w:szCs w:val="21"/>
              </w:rPr>
            </w:pPr>
            <w:r>
              <w:rPr>
                <w:color w:val="auto"/>
                <w:szCs w:val="21"/>
              </w:rPr>
              <w:t>V</w:t>
            </w:r>
            <w:r>
              <w:rPr>
                <w:color w:val="auto"/>
                <w:szCs w:val="21"/>
                <w:vertAlign w:val="subscript"/>
              </w:rPr>
              <w:t>gy</w:t>
            </w:r>
            <w:r>
              <w:rPr>
                <w:color w:val="auto"/>
                <w:szCs w:val="21"/>
              </w:rPr>
              <w:t>=0.385Q</w:t>
            </w:r>
            <w:r>
              <w:rPr>
                <w:color w:val="auto"/>
                <w:szCs w:val="21"/>
                <w:vertAlign w:val="subscript"/>
              </w:rPr>
              <w:t>net，ar</w:t>
            </w:r>
            <w:r>
              <w:rPr>
                <w:color w:val="auto"/>
                <w:szCs w:val="21"/>
              </w:rPr>
              <w:t>+0.788</w:t>
            </w:r>
          </w:p>
        </w:tc>
        <w:tc>
          <w:tcPr>
            <w:tcW w:w="1003" w:type="dxa"/>
            <w:tcBorders>
              <w:tl2br w:val="nil"/>
              <w:tr2bl w:val="nil"/>
            </w:tcBorders>
            <w:vAlign w:val="center"/>
          </w:tcPr>
          <w:p>
            <w:pPr>
              <w:shd w:val="clear"/>
              <w:ind w:left="482" w:hanging="482"/>
              <w:jc w:val="left"/>
              <w:rPr>
                <w:color w:val="auto"/>
                <w:szCs w:val="21"/>
              </w:rPr>
            </w:pPr>
            <w:r>
              <w:rPr>
                <w:color w:val="auto"/>
                <w:szCs w:val="21"/>
              </w:rPr>
              <w:t>Nm</w:t>
            </w:r>
            <w:r>
              <w:rPr>
                <w:color w:val="auto"/>
                <w:szCs w:val="21"/>
                <w:vertAlign w:val="superscript"/>
              </w:rPr>
              <w:t>3</w:t>
            </w:r>
            <w:r>
              <w:rPr>
                <w:color w:val="auto"/>
                <w:szCs w:val="21"/>
              </w:rPr>
              <w:t>/kg</w:t>
            </w:r>
          </w:p>
        </w:tc>
      </w:tr>
    </w:tbl>
    <w:p>
      <w:pPr>
        <w:shd w:val="clear"/>
        <w:spacing w:line="360" w:lineRule="auto"/>
        <w:jc w:val="left"/>
        <w:rPr>
          <w:color w:val="auto"/>
          <w:szCs w:val="21"/>
        </w:rPr>
      </w:pPr>
      <w:r>
        <w:rPr>
          <w:color w:val="auto"/>
          <w:szCs w:val="21"/>
        </w:rPr>
        <w:t>注：1.V</w:t>
      </w:r>
      <w:r>
        <w:rPr>
          <w:color w:val="auto"/>
          <w:szCs w:val="21"/>
          <w:vertAlign w:val="subscript"/>
        </w:rPr>
        <w:t>daf</w:t>
      </w:r>
      <w:r>
        <w:rPr>
          <w:color w:val="auto"/>
          <w:szCs w:val="21"/>
        </w:rPr>
        <w:t>，燃料干燥无灰基挥发分（%）； V</w:t>
      </w:r>
      <w:r>
        <w:rPr>
          <w:color w:val="auto"/>
          <w:szCs w:val="21"/>
          <w:vertAlign w:val="subscript"/>
        </w:rPr>
        <w:t>gy</w:t>
      </w:r>
      <w:r>
        <w:rPr>
          <w:color w:val="auto"/>
          <w:szCs w:val="21"/>
        </w:rPr>
        <w:t>，基准烟气量（Nm</w:t>
      </w:r>
      <w:r>
        <w:rPr>
          <w:color w:val="auto"/>
          <w:szCs w:val="21"/>
          <w:vertAlign w:val="superscript"/>
        </w:rPr>
        <w:t>3</w:t>
      </w:r>
      <w:r>
        <w:rPr>
          <w:color w:val="auto"/>
          <w:szCs w:val="21"/>
        </w:rPr>
        <w:t>/kg或Nm</w:t>
      </w:r>
      <w:r>
        <w:rPr>
          <w:color w:val="auto"/>
          <w:szCs w:val="21"/>
          <w:vertAlign w:val="superscript"/>
        </w:rPr>
        <w:t>3</w:t>
      </w:r>
      <w:r>
        <w:rPr>
          <w:color w:val="auto"/>
          <w:szCs w:val="21"/>
        </w:rPr>
        <w:t>/m</w:t>
      </w:r>
      <w:r>
        <w:rPr>
          <w:color w:val="auto"/>
          <w:szCs w:val="21"/>
          <w:vertAlign w:val="superscript"/>
        </w:rPr>
        <w:t>3</w:t>
      </w:r>
      <w:r>
        <w:rPr>
          <w:color w:val="auto"/>
          <w:szCs w:val="21"/>
        </w:rPr>
        <w:t>）。</w:t>
      </w:r>
    </w:p>
    <w:p>
      <w:pPr>
        <w:shd w:val="clear"/>
        <w:spacing w:line="360" w:lineRule="auto"/>
        <w:jc w:val="left"/>
        <w:rPr>
          <w:color w:val="auto"/>
          <w:szCs w:val="21"/>
        </w:rPr>
      </w:pPr>
      <w:r>
        <w:rPr>
          <w:color w:val="auto"/>
          <w:szCs w:val="21"/>
        </w:rPr>
        <w:t>2. Q</w:t>
      </w:r>
      <w:r>
        <w:rPr>
          <w:color w:val="auto"/>
          <w:szCs w:val="21"/>
          <w:vertAlign w:val="subscript"/>
        </w:rPr>
        <w:t>net，ar</w:t>
      </w:r>
      <w:r>
        <w:rPr>
          <w:color w:val="auto"/>
          <w:szCs w:val="21"/>
        </w:rPr>
        <w:t>，固体/液体燃料收到基低位发热量（MJ/kg）；Q</w:t>
      </w:r>
      <w:r>
        <w:rPr>
          <w:color w:val="auto"/>
          <w:szCs w:val="21"/>
          <w:vertAlign w:val="subscript"/>
        </w:rPr>
        <w:t>net</w:t>
      </w:r>
      <w:r>
        <w:rPr>
          <w:color w:val="auto"/>
          <w:szCs w:val="21"/>
        </w:rPr>
        <w:t>,气体燃料低位发热量（MJ/m</w:t>
      </w:r>
      <w:r>
        <w:rPr>
          <w:color w:val="auto"/>
          <w:szCs w:val="21"/>
          <w:vertAlign w:val="superscript"/>
        </w:rPr>
        <w:t>3</w:t>
      </w:r>
      <w:r>
        <w:rPr>
          <w:color w:val="auto"/>
          <w:szCs w:val="21"/>
        </w:rPr>
        <w:t>）；按前三年所有批次燃料低位发热量的平均值进行选取，未投运或投运不满一年的锅炉按设计燃料低位发热量进行选取，投运满一年但未满三年的锅炉按运行周期年内所有批次燃料低位发热量的平均值选取。</w:t>
      </w:r>
    </w:p>
    <w:p>
      <w:pPr>
        <w:shd w:val="clear"/>
        <w:spacing w:line="360" w:lineRule="auto"/>
        <w:jc w:val="left"/>
        <w:rPr>
          <w:color w:val="auto"/>
          <w:szCs w:val="21"/>
        </w:rPr>
      </w:pPr>
      <w:r>
        <w:rPr>
          <w:color w:val="auto"/>
          <w:szCs w:val="21"/>
        </w:rPr>
        <w:t>3.经验公式估算法不适用于使用型煤、水煤浆、煤矸石、石油焦、油页岩、发生炉煤气、沼气、黄磷尾气、生物质气体等燃料的基准烟气量计算。</w:t>
      </w:r>
    </w:p>
    <w:p>
      <w:pPr>
        <w:shd w:val="clear"/>
        <w:spacing w:line="360" w:lineRule="auto"/>
        <w:jc w:val="center"/>
        <w:rPr>
          <w:b/>
          <w:color w:val="auto"/>
          <w:sz w:val="24"/>
        </w:rPr>
      </w:pPr>
      <w:r>
        <w:rPr>
          <w:b/>
          <w:color w:val="auto"/>
          <w:sz w:val="24"/>
        </w:rPr>
        <w:t>表2 大气污染物许可排放量调整系数取值表</w:t>
      </w:r>
    </w:p>
    <w:tbl>
      <w:tblPr>
        <w:tblStyle w:val="2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3981"/>
        <w:gridCol w:w="1417"/>
        <w:gridCol w:w="1134"/>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70" w:type="dxa"/>
            <w:gridSpan w:val="2"/>
            <w:tcBorders>
              <w:tl2br w:val="nil"/>
              <w:tr2bl w:val="nil"/>
            </w:tcBorders>
            <w:vAlign w:val="center"/>
          </w:tcPr>
          <w:p>
            <w:pPr>
              <w:shd w:val="clear"/>
              <w:jc w:val="left"/>
              <w:rPr>
                <w:color w:val="auto"/>
                <w:szCs w:val="21"/>
              </w:rPr>
            </w:pPr>
            <w:r>
              <w:rPr>
                <w:color w:val="auto"/>
                <w:szCs w:val="21"/>
              </w:rPr>
              <mc:AlternateContent>
                <mc:Choice Requires="wps">
                  <w:drawing>
                    <wp:anchor distT="0" distB="0" distL="114300" distR="114300" simplePos="0" relativeHeight="251661312" behindDoc="0" locked="0" layoutInCell="1" allowOverlap="1">
                      <wp:simplePos x="0" y="0"/>
                      <wp:positionH relativeFrom="column">
                        <wp:posOffset>-57150</wp:posOffset>
                      </wp:positionH>
                      <wp:positionV relativeFrom="paragraph">
                        <wp:posOffset>19685</wp:posOffset>
                      </wp:positionV>
                      <wp:extent cx="3198495" cy="296545"/>
                      <wp:effectExtent l="635" t="4445" r="1270" b="19050"/>
                      <wp:wrapNone/>
                      <wp:docPr id="56" name="直接箭头连接符 1"/>
                      <wp:cNvGraphicFramePr/>
                      <a:graphic xmlns:a="http://schemas.openxmlformats.org/drawingml/2006/main">
                        <a:graphicData uri="http://schemas.microsoft.com/office/word/2010/wordprocessingShape">
                          <wps:wsp>
                            <wps:cNvCnPr/>
                            <wps:spPr>
                              <a:xfrm>
                                <a:off x="0" y="0"/>
                                <a:ext cx="3198495" cy="29654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直接箭头连接符 1" o:spid="_x0000_s1026" o:spt="32" type="#_x0000_t32" style="position:absolute;left:0pt;margin-left:-4.5pt;margin-top:1.55pt;height:23.35pt;width:251.85pt;z-index:251661312;mso-width-relative:page;mso-height-relative:page;" filled="f" stroked="t" coordsize="21600,21600" o:gfxdata="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Hpi551wAAAAcBAAAPAAAAAAAAAAEAIAAAACIAAABk&#10;cnMvZG93bnJldi54bWxQSwECFAAUAAAACACHTuJASQXTggcCAAAABAAADgAAAAAAAAABACAAAAAm&#10;AQAAZHJzL2Uyb0RvYy54bWxQSwUGAAAAAAYABgBZAQAAnwUAAAAA&#10;">
                      <v:fill on="f" focussize="0,0"/>
                      <v:stroke color="#000000" joinstyle="round"/>
                      <v:imagedata o:title=""/>
                      <o:lock v:ext="edit" aspectratio="f"/>
                    </v:shape>
                  </w:pict>
                </mc:Fallback>
              </mc:AlternateContent>
            </w:r>
            <w:r>
              <w:rPr>
                <w:color w:val="auto"/>
                <w:szCs w:val="21"/>
              </w:rPr>
              <w:t>污染物项目</w:t>
            </w:r>
          </w:p>
          <w:p>
            <w:pPr>
              <w:shd w:val="clear"/>
              <w:jc w:val="left"/>
              <w:rPr>
                <w:color w:val="auto"/>
                <w:szCs w:val="21"/>
              </w:rPr>
            </w:pPr>
            <w:r>
              <w:rPr>
                <w:color w:val="auto"/>
                <w:szCs w:val="21"/>
              </w:rPr>
              <w:t>锅炉排污单位执行标准</w:t>
            </w:r>
          </w:p>
        </w:tc>
        <w:tc>
          <w:tcPr>
            <w:tcW w:w="1417" w:type="dxa"/>
            <w:tcBorders>
              <w:tl2br w:val="nil"/>
              <w:tr2bl w:val="nil"/>
            </w:tcBorders>
            <w:vAlign w:val="center"/>
          </w:tcPr>
          <w:p>
            <w:pPr>
              <w:shd w:val="clear"/>
              <w:jc w:val="left"/>
              <w:rPr>
                <w:color w:val="auto"/>
                <w:szCs w:val="21"/>
              </w:rPr>
            </w:pPr>
            <w:r>
              <w:rPr>
                <w:color w:val="auto"/>
                <w:szCs w:val="21"/>
              </w:rPr>
              <w:t>二氧化硫</w:t>
            </w:r>
          </w:p>
        </w:tc>
        <w:tc>
          <w:tcPr>
            <w:tcW w:w="1134" w:type="dxa"/>
            <w:tcBorders>
              <w:tl2br w:val="nil"/>
              <w:tr2bl w:val="nil"/>
            </w:tcBorders>
            <w:vAlign w:val="center"/>
          </w:tcPr>
          <w:p>
            <w:pPr>
              <w:shd w:val="clear"/>
              <w:jc w:val="left"/>
              <w:rPr>
                <w:color w:val="auto"/>
                <w:szCs w:val="21"/>
              </w:rPr>
            </w:pPr>
            <w:r>
              <w:rPr>
                <w:color w:val="auto"/>
                <w:szCs w:val="21"/>
              </w:rPr>
              <w:t>氮氧化物</w:t>
            </w:r>
          </w:p>
        </w:tc>
        <w:tc>
          <w:tcPr>
            <w:tcW w:w="901" w:type="dxa"/>
            <w:tcBorders>
              <w:tl2br w:val="nil"/>
              <w:tr2bl w:val="nil"/>
            </w:tcBorders>
            <w:vAlign w:val="center"/>
          </w:tcPr>
          <w:p>
            <w:pPr>
              <w:shd w:val="clear"/>
              <w:jc w:val="left"/>
              <w:rPr>
                <w:color w:val="auto"/>
                <w:szCs w:val="21"/>
              </w:rPr>
            </w:pPr>
            <w:r>
              <w:rPr>
                <w:color w:val="auto"/>
                <w:szCs w:val="21"/>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70" w:type="dxa"/>
            <w:gridSpan w:val="2"/>
            <w:tcBorders>
              <w:tl2br w:val="nil"/>
              <w:tr2bl w:val="nil"/>
            </w:tcBorders>
            <w:vAlign w:val="center"/>
          </w:tcPr>
          <w:p>
            <w:pPr>
              <w:shd w:val="clear"/>
              <w:jc w:val="left"/>
              <w:rPr>
                <w:color w:val="auto"/>
                <w:szCs w:val="21"/>
              </w:rPr>
            </w:pPr>
            <w:r>
              <w:rPr>
                <w:color w:val="auto"/>
                <w:szCs w:val="21"/>
              </w:rPr>
              <w:t>GB13271</w:t>
            </w:r>
          </w:p>
        </w:tc>
        <w:tc>
          <w:tcPr>
            <w:tcW w:w="1417" w:type="dxa"/>
            <w:tcBorders>
              <w:tl2br w:val="nil"/>
              <w:tr2bl w:val="nil"/>
            </w:tcBorders>
            <w:vAlign w:val="center"/>
          </w:tcPr>
          <w:p>
            <w:pPr>
              <w:shd w:val="clear"/>
              <w:jc w:val="center"/>
              <w:rPr>
                <w:color w:val="auto"/>
                <w:szCs w:val="21"/>
              </w:rPr>
            </w:pPr>
            <w:r>
              <w:rPr>
                <w:color w:val="auto"/>
                <w:szCs w:val="21"/>
              </w:rPr>
              <w:t>0.8</w:t>
            </w:r>
          </w:p>
        </w:tc>
        <w:tc>
          <w:tcPr>
            <w:tcW w:w="1134" w:type="dxa"/>
            <w:tcBorders>
              <w:tl2br w:val="nil"/>
              <w:tr2bl w:val="nil"/>
            </w:tcBorders>
            <w:vAlign w:val="center"/>
          </w:tcPr>
          <w:p>
            <w:pPr>
              <w:shd w:val="clear"/>
              <w:jc w:val="center"/>
              <w:rPr>
                <w:color w:val="auto"/>
                <w:szCs w:val="21"/>
              </w:rPr>
            </w:pPr>
            <w:r>
              <w:rPr>
                <w:color w:val="auto"/>
                <w:szCs w:val="21"/>
              </w:rPr>
              <w:t>1</w:t>
            </w:r>
          </w:p>
        </w:tc>
        <w:tc>
          <w:tcPr>
            <w:tcW w:w="901" w:type="dxa"/>
            <w:tcBorders>
              <w:tl2br w:val="nil"/>
              <w:tr2bl w:val="nil"/>
            </w:tcBorders>
            <w:vAlign w:val="center"/>
          </w:tcPr>
          <w:p>
            <w:pPr>
              <w:shd w:val="clear"/>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restart"/>
            <w:tcBorders>
              <w:tl2br w:val="nil"/>
              <w:tr2bl w:val="nil"/>
            </w:tcBorders>
            <w:vAlign w:val="center"/>
          </w:tcPr>
          <w:p>
            <w:pPr>
              <w:shd w:val="clear"/>
              <w:jc w:val="left"/>
              <w:rPr>
                <w:color w:val="auto"/>
                <w:szCs w:val="21"/>
              </w:rPr>
            </w:pPr>
            <w:r>
              <w:rPr>
                <w:color w:val="auto"/>
                <w:szCs w:val="21"/>
              </w:rPr>
              <w:t>地方标准</w:t>
            </w:r>
          </w:p>
        </w:tc>
        <w:tc>
          <w:tcPr>
            <w:tcW w:w="3981" w:type="dxa"/>
            <w:tcBorders>
              <w:tl2br w:val="nil"/>
              <w:tr2bl w:val="nil"/>
            </w:tcBorders>
            <w:vAlign w:val="center"/>
          </w:tcPr>
          <w:p>
            <w:pPr>
              <w:shd w:val="clear"/>
              <w:jc w:val="left"/>
              <w:rPr>
                <w:color w:val="auto"/>
                <w:szCs w:val="21"/>
              </w:rPr>
            </w:pPr>
            <w:r>
              <w:rPr>
                <w:color w:val="auto"/>
                <w:szCs w:val="21"/>
              </w:rPr>
              <w:t>标准限值＞0.8倍GB13271特别排放限值</w:t>
            </w:r>
          </w:p>
        </w:tc>
        <w:tc>
          <w:tcPr>
            <w:tcW w:w="1417" w:type="dxa"/>
            <w:tcBorders>
              <w:tl2br w:val="nil"/>
              <w:tr2bl w:val="nil"/>
            </w:tcBorders>
            <w:vAlign w:val="center"/>
          </w:tcPr>
          <w:p>
            <w:pPr>
              <w:shd w:val="clear"/>
              <w:jc w:val="center"/>
              <w:rPr>
                <w:color w:val="auto"/>
                <w:szCs w:val="21"/>
              </w:rPr>
            </w:pPr>
            <w:r>
              <w:rPr>
                <w:color w:val="auto"/>
                <w:szCs w:val="21"/>
              </w:rPr>
              <w:t>0.8</w:t>
            </w:r>
          </w:p>
        </w:tc>
        <w:tc>
          <w:tcPr>
            <w:tcW w:w="1134" w:type="dxa"/>
            <w:tcBorders>
              <w:tl2br w:val="nil"/>
              <w:tr2bl w:val="nil"/>
            </w:tcBorders>
            <w:vAlign w:val="center"/>
          </w:tcPr>
          <w:p>
            <w:pPr>
              <w:shd w:val="clear"/>
              <w:jc w:val="center"/>
              <w:rPr>
                <w:color w:val="auto"/>
                <w:szCs w:val="21"/>
              </w:rPr>
            </w:pPr>
            <w:r>
              <w:rPr>
                <w:color w:val="auto"/>
                <w:szCs w:val="21"/>
              </w:rPr>
              <w:t>1</w:t>
            </w:r>
          </w:p>
        </w:tc>
        <w:tc>
          <w:tcPr>
            <w:tcW w:w="901" w:type="dxa"/>
            <w:tcBorders>
              <w:tl2br w:val="nil"/>
              <w:tr2bl w:val="nil"/>
            </w:tcBorders>
            <w:vAlign w:val="center"/>
          </w:tcPr>
          <w:p>
            <w:pPr>
              <w:shd w:val="clear"/>
              <w:jc w:val="center"/>
              <w:rPr>
                <w:color w:val="auto"/>
                <w:szCs w:val="21"/>
              </w:rPr>
            </w:pPr>
            <w:r>
              <w:rPr>
                <w:color w:val="auto"/>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continue"/>
            <w:tcBorders>
              <w:tl2br w:val="nil"/>
              <w:tr2bl w:val="nil"/>
            </w:tcBorders>
            <w:vAlign w:val="center"/>
          </w:tcPr>
          <w:p>
            <w:pPr>
              <w:shd w:val="clear"/>
              <w:jc w:val="left"/>
              <w:rPr>
                <w:color w:val="auto"/>
                <w:szCs w:val="21"/>
              </w:rPr>
            </w:pPr>
          </w:p>
        </w:tc>
        <w:tc>
          <w:tcPr>
            <w:tcW w:w="3981" w:type="dxa"/>
            <w:tcBorders>
              <w:tl2br w:val="nil"/>
              <w:tr2bl w:val="nil"/>
            </w:tcBorders>
            <w:vAlign w:val="center"/>
          </w:tcPr>
          <w:p>
            <w:pPr>
              <w:shd w:val="clear"/>
              <w:jc w:val="left"/>
              <w:rPr>
                <w:color w:val="auto"/>
                <w:szCs w:val="21"/>
              </w:rPr>
            </w:pPr>
            <w:r>
              <w:rPr>
                <w:color w:val="auto"/>
                <w:szCs w:val="21"/>
              </w:rPr>
              <w:t>标准限值≤0.8倍GB13271特别排放限值</w:t>
            </w:r>
          </w:p>
        </w:tc>
        <w:tc>
          <w:tcPr>
            <w:tcW w:w="1417" w:type="dxa"/>
            <w:tcBorders>
              <w:tl2br w:val="nil"/>
              <w:tr2bl w:val="nil"/>
            </w:tcBorders>
            <w:vAlign w:val="center"/>
          </w:tcPr>
          <w:p>
            <w:pPr>
              <w:shd w:val="clear"/>
              <w:jc w:val="center"/>
              <w:rPr>
                <w:color w:val="auto"/>
                <w:szCs w:val="21"/>
              </w:rPr>
            </w:pPr>
            <w:r>
              <w:rPr>
                <w:color w:val="auto"/>
                <w:szCs w:val="21"/>
              </w:rPr>
              <w:t>1</w:t>
            </w:r>
          </w:p>
        </w:tc>
        <w:tc>
          <w:tcPr>
            <w:tcW w:w="1134" w:type="dxa"/>
            <w:tcBorders>
              <w:tl2br w:val="nil"/>
              <w:tr2bl w:val="nil"/>
            </w:tcBorders>
            <w:vAlign w:val="center"/>
          </w:tcPr>
          <w:p>
            <w:pPr>
              <w:shd w:val="clear"/>
              <w:jc w:val="center"/>
              <w:rPr>
                <w:color w:val="auto"/>
                <w:szCs w:val="21"/>
              </w:rPr>
            </w:pPr>
            <w:r>
              <w:rPr>
                <w:color w:val="auto"/>
                <w:szCs w:val="21"/>
              </w:rPr>
              <w:t>1</w:t>
            </w:r>
          </w:p>
        </w:tc>
        <w:tc>
          <w:tcPr>
            <w:tcW w:w="901" w:type="dxa"/>
            <w:tcBorders>
              <w:tl2br w:val="nil"/>
              <w:tr2bl w:val="nil"/>
            </w:tcBorders>
            <w:vAlign w:val="center"/>
          </w:tcPr>
          <w:p>
            <w:pPr>
              <w:shd w:val="clear"/>
              <w:jc w:val="center"/>
              <w:rPr>
                <w:color w:val="auto"/>
                <w:szCs w:val="21"/>
              </w:rPr>
            </w:pPr>
            <w:r>
              <w:rPr>
                <w:color w:val="auto"/>
                <w:szCs w:val="21"/>
              </w:rPr>
              <w:t>1</w:t>
            </w:r>
          </w:p>
        </w:tc>
      </w:tr>
    </w:tbl>
    <w:p>
      <w:pPr>
        <w:shd w:val="clear"/>
        <w:spacing w:line="360" w:lineRule="auto"/>
        <w:ind w:firstLine="480" w:firstLineChars="200"/>
        <w:jc w:val="left"/>
        <w:rPr>
          <w:color w:val="auto"/>
          <w:sz w:val="24"/>
        </w:rPr>
      </w:pPr>
      <w:r>
        <w:rPr>
          <w:color w:val="auto"/>
          <w:sz w:val="24"/>
        </w:rPr>
        <w:t>固体/液体燃料锅炉的废气污染物（颗粒物、二氧化硫、氮氧化物）年许可排放量按下列公式计算：</w:t>
      </w:r>
    </w:p>
    <w:p>
      <w:pPr>
        <w:shd w:val="clear"/>
        <w:spacing w:line="360" w:lineRule="auto"/>
        <w:ind w:firstLine="319" w:firstLineChars="152"/>
        <w:jc w:val="center"/>
        <w:rPr>
          <w:color w:val="auto"/>
          <w:sz w:val="24"/>
        </w:rPr>
      </w:pPr>
      <w:r>
        <w:rPr>
          <w:color w:val="auto"/>
        </w:rPr>
        <w:drawing>
          <wp:inline distT="0" distB="0" distL="114300" distR="114300">
            <wp:extent cx="2705100" cy="304800"/>
            <wp:effectExtent l="0" t="0" r="0" b="0"/>
            <wp:docPr id="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2"/>
                    <pic:cNvPicPr>
                      <a:picLocks noChangeAspect="1"/>
                    </pic:cNvPicPr>
                  </pic:nvPicPr>
                  <pic:blipFill>
                    <a:blip r:embed="rId51" cstate="print"/>
                    <a:stretch>
                      <a:fillRect/>
                    </a:stretch>
                  </pic:blipFill>
                  <pic:spPr>
                    <a:xfrm>
                      <a:off x="0" y="0"/>
                      <a:ext cx="2705100" cy="304800"/>
                    </a:xfrm>
                    <a:prstGeom prst="rect">
                      <a:avLst/>
                    </a:prstGeom>
                    <a:noFill/>
                    <a:ln>
                      <a:noFill/>
                    </a:ln>
                  </pic:spPr>
                </pic:pic>
              </a:graphicData>
            </a:graphic>
          </wp:inline>
        </w:drawing>
      </w:r>
    </w:p>
    <w:p>
      <w:pPr>
        <w:shd w:val="clear"/>
        <w:spacing w:line="360" w:lineRule="auto"/>
        <w:ind w:firstLine="840" w:firstLineChars="350"/>
        <w:rPr>
          <w:color w:val="auto"/>
          <w:sz w:val="24"/>
        </w:rPr>
      </w:pPr>
      <w:r>
        <w:rPr>
          <w:color w:val="auto"/>
          <w:sz w:val="24"/>
        </w:rPr>
        <w:t>式中E</w:t>
      </w:r>
      <w:r>
        <w:rPr>
          <w:color w:val="auto"/>
          <w:sz w:val="24"/>
          <w:vertAlign w:val="subscript"/>
        </w:rPr>
        <w:t>年许可</w:t>
      </w:r>
      <w:r>
        <w:rPr>
          <w:color w:val="auto"/>
          <w:sz w:val="24"/>
        </w:rPr>
        <w:t>—锅炉排污单位污染物年许可排放量，吨；</w:t>
      </w:r>
    </w:p>
    <w:p>
      <w:pPr>
        <w:shd w:val="clear"/>
        <w:spacing w:line="360" w:lineRule="auto"/>
        <w:ind w:firstLine="960" w:firstLineChars="400"/>
        <w:rPr>
          <w:color w:val="auto"/>
          <w:sz w:val="24"/>
        </w:rPr>
      </w:pPr>
      <w:r>
        <w:rPr>
          <w:color w:val="auto"/>
          <w:sz w:val="24"/>
        </w:rPr>
        <w:t>C</w:t>
      </w:r>
      <w:r>
        <w:rPr>
          <w:color w:val="auto"/>
          <w:sz w:val="24"/>
          <w:vertAlign w:val="subscript"/>
        </w:rPr>
        <w:t>i</w:t>
      </w:r>
      <w:r>
        <w:rPr>
          <w:color w:val="auto"/>
          <w:sz w:val="24"/>
        </w:rPr>
        <w:t>—第i个主要排放口污染物排放标准浓度限值，毫克/立方米；</w:t>
      </w:r>
    </w:p>
    <w:p>
      <w:pPr>
        <w:shd w:val="clear"/>
        <w:spacing w:line="360" w:lineRule="auto"/>
        <w:ind w:firstLine="960" w:firstLineChars="400"/>
        <w:rPr>
          <w:color w:val="auto"/>
          <w:sz w:val="24"/>
        </w:rPr>
      </w:pPr>
      <w:r>
        <w:rPr>
          <w:color w:val="auto"/>
          <w:sz w:val="24"/>
        </w:rPr>
        <w:t>V</w:t>
      </w:r>
      <w:r>
        <w:rPr>
          <w:color w:val="auto"/>
          <w:sz w:val="24"/>
          <w:vertAlign w:val="subscript"/>
        </w:rPr>
        <w:t>i</w:t>
      </w:r>
      <w:r>
        <w:rPr>
          <w:color w:val="auto"/>
          <w:sz w:val="24"/>
        </w:rPr>
        <w:t>—第i个主要排放口基准烟气量，标立方米/千克或标立方米/立方米；</w:t>
      </w:r>
    </w:p>
    <w:p>
      <w:pPr>
        <w:shd w:val="clear"/>
        <w:spacing w:line="360" w:lineRule="auto"/>
        <w:ind w:firstLine="960" w:firstLineChars="400"/>
        <w:rPr>
          <w:color w:val="auto"/>
          <w:sz w:val="24"/>
        </w:rPr>
      </w:pPr>
      <w:r>
        <w:rPr>
          <w:color w:val="auto"/>
          <w:sz w:val="24"/>
        </w:rPr>
        <w:t>R</w:t>
      </w:r>
      <w:r>
        <w:rPr>
          <w:color w:val="auto"/>
          <w:sz w:val="24"/>
          <w:vertAlign w:val="subscript"/>
        </w:rPr>
        <w:t>i</w:t>
      </w:r>
      <w:r>
        <w:rPr>
          <w:color w:val="auto"/>
          <w:sz w:val="24"/>
        </w:rPr>
        <w:t>—第i个主要排放口所对应的锅炉前三年年平均燃料使用量（未投运或投运不满一年的锅炉按照设计年燃料使用量进行选取，投运满一年但未满三年的锅炉按运行周期平均燃料使用量选取，当前三年或周期年年平均燃料使用量超过设计燃料使用量时，按设计燃料使用量选取），吨或万立方米；</w:t>
      </w:r>
    </w:p>
    <w:p>
      <w:pPr>
        <w:shd w:val="clear"/>
        <w:spacing w:line="360" w:lineRule="auto"/>
        <w:rPr>
          <w:color w:val="auto"/>
        </w:rPr>
      </w:pPr>
      <m:oMath>
        <m:r>
          <m:rPr>
            <m:sty m:val="p"/>
          </m:rPr>
          <w:rPr>
            <w:rFonts w:ascii="Cambria Math" w:hAnsi="Cambria Math"/>
            <w:color w:val="auto"/>
            <w:sz w:val="24"/>
          </w:rPr>
          <m:t>δ</m:t>
        </m:r>
      </m:oMath>
      <w:r>
        <w:rPr>
          <w:color w:val="auto"/>
          <w:sz w:val="24"/>
          <w:vertAlign w:val="subscript"/>
        </w:rPr>
        <w:t>i</w:t>
      </w:r>
      <w:r>
        <w:rPr>
          <w:color w:val="auto"/>
          <w:sz w:val="24"/>
        </w:rPr>
        <w:t>—第i个主要排放口所对应的大气污染物许可排放量调整系数，按表2取值</w:t>
      </w:r>
    </w:p>
    <w:p>
      <w:pPr>
        <w:shd w:val="clear"/>
        <w:spacing w:line="360" w:lineRule="auto"/>
        <w:ind w:firstLine="480" w:firstLineChars="200"/>
        <w:jc w:val="left"/>
        <w:outlineLvl w:val="0"/>
        <w:rPr>
          <w:color w:val="auto"/>
          <w:sz w:val="24"/>
        </w:rPr>
      </w:pPr>
      <w:bookmarkStart w:id="19" w:name="_Toc26567"/>
      <w:r>
        <w:rPr>
          <w:color w:val="auto"/>
          <w:sz w:val="24"/>
        </w:rPr>
        <w:t>（1）C为废气污染物许可排放浓度限值</w:t>
      </w:r>
      <w:bookmarkEnd w:id="19"/>
    </w:p>
    <w:p>
      <w:pPr>
        <w:shd w:val="clear"/>
        <w:spacing w:line="360" w:lineRule="auto"/>
        <w:ind w:firstLine="480" w:firstLineChars="200"/>
        <w:jc w:val="left"/>
        <w:rPr>
          <w:color w:val="auto"/>
          <w:sz w:val="24"/>
        </w:rPr>
      </w:pPr>
      <w:r>
        <w:rPr>
          <w:color w:val="auto"/>
          <w:sz w:val="24"/>
        </w:rPr>
        <w:t>本项目锅炉执行《锅炉大气污染物排放标准》（GB13271-2014）表</w:t>
      </w:r>
      <w:r>
        <w:rPr>
          <w:rFonts w:hint="eastAsia"/>
          <w:color w:val="auto"/>
          <w:sz w:val="24"/>
        </w:rPr>
        <w:t>2</w:t>
      </w:r>
      <w:r>
        <w:rPr>
          <w:color w:val="auto"/>
          <w:sz w:val="24"/>
        </w:rPr>
        <w:t>新建锅炉大气污染物特别排放浓度限值燃煤锅炉标准要求，因此取值为颗粒物：</w:t>
      </w:r>
      <w:r>
        <w:rPr>
          <w:rFonts w:hint="eastAsia"/>
          <w:color w:val="auto"/>
          <w:sz w:val="24"/>
        </w:rPr>
        <w:t>5</w:t>
      </w:r>
      <w:r>
        <w:rPr>
          <w:color w:val="auto"/>
          <w:sz w:val="24"/>
        </w:rPr>
        <w:t>0mg/m</w:t>
      </w:r>
      <w:r>
        <w:rPr>
          <w:color w:val="auto"/>
          <w:sz w:val="24"/>
          <w:vertAlign w:val="superscript"/>
        </w:rPr>
        <w:t>3</w:t>
      </w:r>
      <w:r>
        <w:rPr>
          <w:color w:val="auto"/>
          <w:sz w:val="24"/>
        </w:rPr>
        <w:t>，SO</w:t>
      </w:r>
      <w:r>
        <w:rPr>
          <w:color w:val="auto"/>
          <w:sz w:val="24"/>
          <w:vertAlign w:val="subscript"/>
        </w:rPr>
        <w:t>2</w:t>
      </w:r>
      <w:r>
        <w:rPr>
          <w:color w:val="auto"/>
          <w:sz w:val="24"/>
        </w:rPr>
        <w:t>：</w:t>
      </w:r>
      <w:r>
        <w:rPr>
          <w:rFonts w:hint="eastAsia"/>
          <w:color w:val="auto"/>
          <w:sz w:val="24"/>
        </w:rPr>
        <w:t>3</w:t>
      </w:r>
      <w:r>
        <w:rPr>
          <w:color w:val="auto"/>
          <w:sz w:val="24"/>
        </w:rPr>
        <w:t>00mg/m</w:t>
      </w:r>
      <w:r>
        <w:rPr>
          <w:color w:val="auto"/>
          <w:sz w:val="24"/>
          <w:vertAlign w:val="superscript"/>
        </w:rPr>
        <w:t>3</w:t>
      </w:r>
      <w:r>
        <w:rPr>
          <w:color w:val="auto"/>
          <w:sz w:val="24"/>
        </w:rPr>
        <w:t>，NO</w:t>
      </w:r>
      <w:r>
        <w:rPr>
          <w:color w:val="auto"/>
          <w:sz w:val="24"/>
          <w:vertAlign w:val="subscript"/>
        </w:rPr>
        <w:t>X</w:t>
      </w:r>
      <w:r>
        <w:rPr>
          <w:color w:val="auto"/>
          <w:sz w:val="24"/>
        </w:rPr>
        <w:t>：</w:t>
      </w:r>
      <w:r>
        <w:rPr>
          <w:rFonts w:hint="eastAsia"/>
          <w:color w:val="auto"/>
          <w:sz w:val="24"/>
        </w:rPr>
        <w:t>3</w:t>
      </w:r>
      <w:r>
        <w:rPr>
          <w:color w:val="auto"/>
          <w:sz w:val="24"/>
        </w:rPr>
        <w:t>00mg/m</w:t>
      </w:r>
      <w:r>
        <w:rPr>
          <w:color w:val="auto"/>
          <w:sz w:val="24"/>
          <w:vertAlign w:val="superscript"/>
        </w:rPr>
        <w:t>3</w:t>
      </w:r>
      <w:r>
        <w:rPr>
          <w:color w:val="auto"/>
          <w:sz w:val="24"/>
        </w:rPr>
        <w:t>。</w:t>
      </w:r>
    </w:p>
    <w:p>
      <w:pPr>
        <w:shd w:val="clear"/>
        <w:spacing w:line="360" w:lineRule="auto"/>
        <w:ind w:firstLine="480" w:firstLineChars="200"/>
        <w:jc w:val="left"/>
        <w:outlineLvl w:val="0"/>
        <w:rPr>
          <w:color w:val="auto"/>
          <w:sz w:val="24"/>
        </w:rPr>
      </w:pPr>
      <w:bookmarkStart w:id="20" w:name="_Toc3118"/>
      <w:r>
        <w:rPr>
          <w:color w:val="auto"/>
          <w:sz w:val="24"/>
        </w:rPr>
        <w:t>（2）V为基准烟气量</w:t>
      </w:r>
      <w:bookmarkEnd w:id="20"/>
    </w:p>
    <w:p>
      <w:pPr>
        <w:shd w:val="clear"/>
        <w:adjustRightInd w:val="0"/>
        <w:snapToGrid w:val="0"/>
        <w:spacing w:line="360" w:lineRule="auto"/>
        <w:ind w:firstLine="480" w:firstLineChars="200"/>
        <w:rPr>
          <w:rFonts w:cs="MS Gothic"/>
          <w:bCs/>
          <w:color w:val="auto"/>
          <w:sz w:val="24"/>
        </w:rPr>
      </w:pPr>
      <w:r>
        <w:rPr>
          <w:rFonts w:hint="eastAsia" w:cs="MS Gothic"/>
          <w:bCs/>
          <w:color w:val="auto"/>
          <w:sz w:val="24"/>
        </w:rPr>
        <w:t>根据《污染源源强核算技术指南 锅炉》（HJ 991-2018）附录C中对于项目生物质蒸汽锅炉的烟气量的计算，采用以下公式对项目生物蒸汽锅炉的烟气量进行核算。</w:t>
      </w:r>
    </w:p>
    <w:p>
      <w:pPr>
        <w:shd w:val="clear"/>
        <w:spacing w:line="360" w:lineRule="auto"/>
        <w:ind w:firstLine="480" w:firstLineChars="200"/>
        <w:rPr>
          <w:color w:val="auto"/>
          <w:sz w:val="24"/>
          <w:szCs w:val="22"/>
          <w:lang w:val="zh-CN"/>
        </w:rPr>
      </w:pPr>
      <w:r>
        <w:rPr>
          <w:rFonts w:hint="eastAsia"/>
          <w:color w:val="auto"/>
          <w:sz w:val="24"/>
          <w:szCs w:val="22"/>
          <w:lang w:val="zh-CN"/>
        </w:rPr>
        <w:t>①烟气排放量</w:t>
      </w:r>
    </w:p>
    <w:p>
      <w:pPr>
        <w:shd w:val="clear"/>
        <w:spacing w:line="360" w:lineRule="auto"/>
        <w:ind w:firstLine="480" w:firstLineChars="200"/>
        <w:rPr>
          <w:color w:val="auto"/>
          <w:sz w:val="24"/>
          <w:szCs w:val="22"/>
          <w:lang w:val="zh-CN"/>
        </w:rPr>
      </w:pPr>
      <w:r>
        <w:rPr>
          <w:rFonts w:hint="eastAsia"/>
          <w:color w:val="auto"/>
          <w:sz w:val="24"/>
          <w:szCs w:val="22"/>
          <w:lang w:val="zh-CN"/>
        </w:rPr>
        <w:t>理论烟气量计算：</w:t>
      </w:r>
    </w:p>
    <w:p>
      <w:pPr>
        <w:shd w:val="clear"/>
        <w:spacing w:line="360" w:lineRule="auto"/>
        <w:ind w:firstLine="480" w:firstLineChars="200"/>
        <w:jc w:val="center"/>
        <w:rPr>
          <w:color w:val="auto"/>
          <w:sz w:val="24"/>
          <w:szCs w:val="22"/>
          <w:lang w:val="zh-CN"/>
        </w:rPr>
      </w:pPr>
      <w:r>
        <w:rPr>
          <w:rFonts w:hint="eastAsia"/>
          <w:color w:val="auto"/>
          <w:position w:val="-12"/>
          <w:sz w:val="24"/>
          <w:szCs w:val="22"/>
          <w:lang w:val="zh-CN"/>
        </w:rPr>
        <w:object>
          <v:shape id="_x0000_i1036" o:spt="75" type="#_x0000_t75" style="height:18pt;width:247.95pt;" o:ole="t" filled="f" coordsize="21600,21600">
            <v:path/>
            <v:fill on="f" focussize="0,0"/>
            <v:stroke/>
            <v:imagedata r:id="rId17" o:title=""/>
            <o:lock v:ext="edit" aspectratio="t"/>
            <w10:wrap type="none"/>
            <w10:anchorlock/>
          </v:shape>
          <o:OLEObject Type="Embed" ProgID="Equation.KSEE3" ShapeID="_x0000_i1036" DrawAspect="Content" ObjectID="_1468075733" r:id="rId52">
            <o:LockedField>false</o:LockedField>
          </o:OLEObject>
        </w:object>
      </w:r>
    </w:p>
    <w:p>
      <w:pPr>
        <w:shd w:val="clear"/>
        <w:spacing w:line="360" w:lineRule="auto"/>
        <w:ind w:firstLine="480" w:firstLineChars="200"/>
        <w:rPr>
          <w:color w:val="auto"/>
          <w:sz w:val="24"/>
          <w:szCs w:val="20"/>
        </w:rPr>
      </w:pPr>
      <w:r>
        <w:rPr>
          <w:rFonts w:hint="eastAsia"/>
          <w:color w:val="auto"/>
          <w:sz w:val="24"/>
          <w:szCs w:val="20"/>
        </w:rPr>
        <w:t>式中：V</w:t>
      </w:r>
      <w:r>
        <w:rPr>
          <w:rFonts w:hint="eastAsia"/>
          <w:color w:val="auto"/>
          <w:sz w:val="24"/>
          <w:szCs w:val="20"/>
          <w:vertAlign w:val="subscript"/>
        </w:rPr>
        <w:t>0</w:t>
      </w:r>
      <w:r>
        <w:rPr>
          <w:rFonts w:hint="eastAsia"/>
          <w:color w:val="auto"/>
          <w:sz w:val="24"/>
          <w:szCs w:val="20"/>
        </w:rPr>
        <w:t>——理论空气量，m</w:t>
      </w:r>
      <w:r>
        <w:rPr>
          <w:rFonts w:hint="eastAsia"/>
          <w:color w:val="auto"/>
          <w:sz w:val="24"/>
          <w:szCs w:val="20"/>
          <w:vertAlign w:val="superscript"/>
        </w:rPr>
        <w:t>3</w:t>
      </w:r>
      <w:r>
        <w:rPr>
          <w:rFonts w:hint="eastAsia"/>
          <w:color w:val="auto"/>
          <w:sz w:val="24"/>
          <w:szCs w:val="20"/>
        </w:rPr>
        <w:t>/kg；</w:t>
      </w:r>
    </w:p>
    <w:p>
      <w:pPr>
        <w:shd w:val="clear"/>
        <w:spacing w:line="360" w:lineRule="auto"/>
        <w:ind w:firstLine="1200" w:firstLineChars="500"/>
        <w:rPr>
          <w:color w:val="auto"/>
          <w:sz w:val="24"/>
          <w:szCs w:val="20"/>
        </w:rPr>
      </w:pPr>
      <w:r>
        <w:rPr>
          <w:rFonts w:hint="eastAsia"/>
          <w:color w:val="auto"/>
          <w:sz w:val="24"/>
          <w:szCs w:val="20"/>
        </w:rPr>
        <w:t>C</w:t>
      </w:r>
      <w:r>
        <w:rPr>
          <w:rFonts w:hint="eastAsia"/>
          <w:color w:val="auto"/>
          <w:sz w:val="24"/>
          <w:szCs w:val="20"/>
          <w:vertAlign w:val="subscript"/>
        </w:rPr>
        <w:t>ar</w:t>
      </w:r>
      <w:r>
        <w:rPr>
          <w:rFonts w:hint="eastAsia"/>
          <w:color w:val="auto"/>
          <w:sz w:val="24"/>
          <w:szCs w:val="20"/>
        </w:rPr>
        <w:t>——收到基碳的质量分数，36.52%；</w:t>
      </w:r>
    </w:p>
    <w:p>
      <w:pPr>
        <w:shd w:val="clear"/>
        <w:spacing w:line="360" w:lineRule="auto"/>
        <w:ind w:firstLine="1200" w:firstLineChars="500"/>
        <w:rPr>
          <w:color w:val="auto"/>
          <w:sz w:val="24"/>
          <w:szCs w:val="20"/>
        </w:rPr>
      </w:pPr>
      <w:r>
        <w:rPr>
          <w:rFonts w:hint="eastAsia"/>
          <w:color w:val="auto"/>
          <w:sz w:val="24"/>
          <w:szCs w:val="20"/>
        </w:rPr>
        <w:t>S</w:t>
      </w:r>
      <w:r>
        <w:rPr>
          <w:rFonts w:hint="eastAsia"/>
          <w:color w:val="auto"/>
          <w:sz w:val="24"/>
          <w:szCs w:val="20"/>
          <w:vertAlign w:val="subscript"/>
        </w:rPr>
        <w:t>ar</w:t>
      </w:r>
      <w:r>
        <w:rPr>
          <w:rFonts w:hint="eastAsia"/>
          <w:color w:val="auto"/>
          <w:sz w:val="24"/>
          <w:szCs w:val="20"/>
        </w:rPr>
        <w:t>——收到基硫的质量分数，0.03%；</w:t>
      </w:r>
    </w:p>
    <w:p>
      <w:pPr>
        <w:shd w:val="clear"/>
        <w:spacing w:line="360" w:lineRule="auto"/>
        <w:ind w:firstLine="1200" w:firstLineChars="500"/>
        <w:rPr>
          <w:color w:val="auto"/>
          <w:sz w:val="24"/>
          <w:szCs w:val="20"/>
        </w:rPr>
      </w:pPr>
      <w:r>
        <w:rPr>
          <w:rFonts w:hint="eastAsia"/>
          <w:color w:val="auto"/>
          <w:sz w:val="24"/>
          <w:szCs w:val="20"/>
        </w:rPr>
        <w:t>H</w:t>
      </w:r>
      <w:r>
        <w:rPr>
          <w:rFonts w:hint="eastAsia"/>
          <w:color w:val="auto"/>
          <w:sz w:val="24"/>
          <w:szCs w:val="20"/>
          <w:vertAlign w:val="subscript"/>
        </w:rPr>
        <w:t>ar</w:t>
      </w:r>
      <w:r>
        <w:rPr>
          <w:rFonts w:hint="eastAsia"/>
          <w:color w:val="auto"/>
          <w:sz w:val="24"/>
          <w:szCs w:val="20"/>
        </w:rPr>
        <w:t>——收到基氢的质量分数，4.08%；</w:t>
      </w:r>
    </w:p>
    <w:p>
      <w:pPr>
        <w:shd w:val="clear"/>
        <w:spacing w:line="360" w:lineRule="auto"/>
        <w:ind w:firstLine="1200" w:firstLineChars="500"/>
        <w:rPr>
          <w:color w:val="auto"/>
          <w:sz w:val="24"/>
          <w:szCs w:val="20"/>
        </w:rPr>
      </w:pPr>
      <w:r>
        <w:rPr>
          <w:rFonts w:hint="eastAsia"/>
          <w:color w:val="auto"/>
          <w:sz w:val="24"/>
          <w:szCs w:val="20"/>
        </w:rPr>
        <w:t>O</w:t>
      </w:r>
      <w:r>
        <w:rPr>
          <w:rFonts w:hint="eastAsia"/>
          <w:color w:val="auto"/>
          <w:sz w:val="24"/>
          <w:szCs w:val="20"/>
          <w:vertAlign w:val="subscript"/>
        </w:rPr>
        <w:t>ar</w:t>
      </w:r>
      <w:r>
        <w:rPr>
          <w:rFonts w:hint="eastAsia"/>
          <w:color w:val="auto"/>
          <w:sz w:val="24"/>
          <w:szCs w:val="20"/>
        </w:rPr>
        <w:t>——收到基氧的质量分数，32.35%。</w:t>
      </w:r>
    </w:p>
    <w:p>
      <w:pPr>
        <w:shd w:val="clear"/>
        <w:spacing w:line="360" w:lineRule="auto"/>
        <w:ind w:firstLine="480" w:firstLineChars="200"/>
        <w:rPr>
          <w:color w:val="auto"/>
          <w:sz w:val="24"/>
          <w:szCs w:val="20"/>
        </w:rPr>
      </w:pPr>
      <w:r>
        <w:rPr>
          <w:rFonts w:hint="eastAsia"/>
          <w:color w:val="auto"/>
          <w:sz w:val="24"/>
          <w:szCs w:val="20"/>
        </w:rPr>
        <w:t>经计算，本项目燃料产生的理论空气量为3.252m</w:t>
      </w:r>
      <w:r>
        <w:rPr>
          <w:rFonts w:hint="eastAsia"/>
          <w:color w:val="auto"/>
          <w:sz w:val="24"/>
          <w:szCs w:val="20"/>
          <w:vertAlign w:val="superscript"/>
        </w:rPr>
        <w:t>3</w:t>
      </w:r>
      <w:r>
        <w:rPr>
          <w:rFonts w:hint="eastAsia"/>
          <w:color w:val="auto"/>
          <w:sz w:val="24"/>
          <w:szCs w:val="20"/>
        </w:rPr>
        <w:t>/kg。</w:t>
      </w:r>
    </w:p>
    <w:p>
      <w:pPr>
        <w:shd w:val="clear"/>
        <w:spacing w:line="360" w:lineRule="auto"/>
        <w:ind w:firstLine="480" w:firstLineChars="200"/>
        <w:rPr>
          <w:color w:val="auto"/>
          <w:sz w:val="24"/>
          <w:szCs w:val="20"/>
        </w:rPr>
      </w:pPr>
      <w:r>
        <w:rPr>
          <w:rFonts w:hint="eastAsia"/>
          <w:color w:val="auto"/>
          <w:sz w:val="24"/>
          <w:szCs w:val="20"/>
        </w:rPr>
        <w:t>烟气排放量计算：</w:t>
      </w:r>
    </w:p>
    <w:p>
      <w:pPr>
        <w:shd w:val="clear"/>
        <w:spacing w:line="360" w:lineRule="auto"/>
        <w:jc w:val="center"/>
        <w:rPr>
          <w:color w:val="auto"/>
          <w:sz w:val="24"/>
          <w:szCs w:val="20"/>
          <w:lang w:bidi="zh-CN"/>
        </w:rPr>
      </w:pPr>
      <w:r>
        <w:rPr>
          <w:rFonts w:hint="eastAsia"/>
          <w:color w:val="auto"/>
          <w:position w:val="-24"/>
          <w:sz w:val="24"/>
          <w:szCs w:val="20"/>
          <w:lang w:bidi="zh-CN"/>
        </w:rPr>
        <w:object>
          <v:shape id="_x0000_i1037" o:spt="75" type="#_x0000_t75" style="height:31pt;width:201pt;" o:ole="t" filled="f" coordsize="21600,21600">
            <v:path/>
            <v:fill on="f" focussize="0,0"/>
            <v:stroke/>
            <v:imagedata r:id="rId19" o:title=""/>
            <o:lock v:ext="edit" aspectratio="t"/>
            <w10:wrap type="none"/>
            <w10:anchorlock/>
          </v:shape>
          <o:OLEObject Type="Embed" ProgID="Equation.KSEE3" ShapeID="_x0000_i1037" DrawAspect="Content" ObjectID="_1468075734" r:id="rId53">
            <o:LockedField>false</o:LockedField>
          </o:OLEObject>
        </w:object>
      </w:r>
    </w:p>
    <w:p>
      <w:pPr>
        <w:shd w:val="clear"/>
        <w:spacing w:line="360" w:lineRule="auto"/>
        <w:jc w:val="center"/>
        <w:rPr>
          <w:color w:val="auto"/>
          <w:sz w:val="24"/>
          <w:szCs w:val="20"/>
          <w:lang w:bidi="zh-CN"/>
        </w:rPr>
      </w:pPr>
      <w:r>
        <w:rPr>
          <w:rFonts w:hint="eastAsia"/>
          <w:color w:val="auto"/>
          <w:position w:val="-24"/>
          <w:sz w:val="24"/>
          <w:szCs w:val="20"/>
          <w:lang w:bidi="zh-CN"/>
        </w:rPr>
        <w:object>
          <v:shape id="_x0000_i1038" o:spt="75" type="#_x0000_t75" style="height:31pt;width:117pt;" o:ole="t" filled="f" coordsize="21600,21600">
            <v:path/>
            <v:fill on="f" focussize="0,0"/>
            <v:stroke/>
            <v:imagedata r:id="rId21" o:title=""/>
            <o:lock v:ext="edit" aspectratio="t"/>
            <w10:wrap type="none"/>
            <w10:anchorlock/>
          </v:shape>
          <o:OLEObject Type="Embed" ProgID="Equation.KSEE3" ShapeID="_x0000_i1038" DrawAspect="Content" ObjectID="_1468075735" r:id="rId54">
            <o:LockedField>false</o:LockedField>
          </o:OLEObject>
        </w:object>
      </w:r>
    </w:p>
    <w:p>
      <w:pPr>
        <w:shd w:val="clear"/>
        <w:spacing w:line="360" w:lineRule="auto"/>
        <w:jc w:val="center"/>
        <w:rPr>
          <w:color w:val="auto"/>
          <w:sz w:val="24"/>
          <w:szCs w:val="20"/>
          <w:lang w:bidi="zh-CN"/>
        </w:rPr>
      </w:pPr>
      <w:r>
        <w:rPr>
          <w:rFonts w:hint="eastAsia"/>
          <w:color w:val="auto"/>
          <w:position w:val="-14"/>
          <w:sz w:val="24"/>
          <w:szCs w:val="20"/>
          <w:lang w:bidi="zh-CN"/>
        </w:rPr>
        <w:object>
          <v:shape id="_x0000_i1039" o:spt="75" type="#_x0000_t75" style="height:19pt;width:124pt;" o:ole="t" filled="f" coordsize="21600,21600">
            <v:path/>
            <v:fill on="f" focussize="0,0"/>
            <v:stroke/>
            <v:imagedata r:id="rId23" o:title=""/>
            <o:lock v:ext="edit" aspectratio="t"/>
            <w10:wrap type="none"/>
            <w10:anchorlock/>
          </v:shape>
          <o:OLEObject Type="Embed" ProgID="Equation.KSEE3" ShapeID="_x0000_i1039" DrawAspect="Content" ObjectID="_1468075736" r:id="rId55">
            <o:LockedField>false</o:LockedField>
          </o:OLEObject>
        </w:object>
      </w:r>
    </w:p>
    <w:p>
      <w:pPr>
        <w:shd w:val="clear"/>
        <w:spacing w:line="360" w:lineRule="auto"/>
        <w:jc w:val="center"/>
        <w:rPr>
          <w:color w:val="auto"/>
          <w:sz w:val="24"/>
          <w:szCs w:val="20"/>
          <w:lang w:bidi="zh-CN"/>
        </w:rPr>
      </w:pPr>
      <w:r>
        <w:rPr>
          <w:rFonts w:hint="eastAsia"/>
          <w:color w:val="auto"/>
          <w:position w:val="-14"/>
          <w:sz w:val="24"/>
          <w:szCs w:val="20"/>
          <w:lang w:bidi="zh-CN"/>
        </w:rPr>
        <w:object>
          <v:shape id="_x0000_i1040" o:spt="75" type="#_x0000_t75" style="height:19pt;width:244pt;" o:ole="t" filled="f" coordsize="21600,21600">
            <v:path/>
            <v:fill on="f" focussize="0,0"/>
            <v:stroke/>
            <v:imagedata r:id="rId25" o:title=""/>
            <o:lock v:ext="edit" aspectratio="t"/>
            <w10:wrap type="none"/>
            <w10:anchorlock/>
          </v:shape>
          <o:OLEObject Type="Embed" ProgID="Equation.KSEE3" ShapeID="_x0000_i1040" DrawAspect="Content" ObjectID="_1468075737" r:id="rId56">
            <o:LockedField>false</o:LockedField>
          </o:OLEObject>
        </w:object>
      </w:r>
    </w:p>
    <w:p>
      <w:pPr>
        <w:shd w:val="clear"/>
        <w:spacing w:line="360" w:lineRule="auto"/>
        <w:jc w:val="center"/>
        <w:rPr>
          <w:color w:val="auto"/>
          <w:sz w:val="24"/>
          <w:szCs w:val="20"/>
        </w:rPr>
      </w:pPr>
      <w:r>
        <w:rPr>
          <w:rFonts w:hint="eastAsia"/>
          <w:color w:val="auto"/>
          <w:position w:val="-14"/>
          <w:sz w:val="24"/>
          <w:szCs w:val="20"/>
          <w:lang w:bidi="zh-CN"/>
        </w:rPr>
        <w:object>
          <v:shape id="_x0000_i1041" o:spt="75" type="#_x0000_t75" style="height:19pt;width:161pt;" o:ole="t" filled="f" coordsize="21600,21600">
            <v:path/>
            <v:fill on="f" focussize="0,0"/>
            <v:stroke/>
            <v:imagedata r:id="rId27" o:title=""/>
            <o:lock v:ext="edit" aspectratio="t"/>
            <w10:wrap type="none"/>
            <w10:anchorlock/>
          </v:shape>
          <o:OLEObject Type="Embed" ProgID="Equation.KSEE3" ShapeID="_x0000_i1041" DrawAspect="Content" ObjectID="_1468075738" r:id="rId57">
            <o:LockedField>false</o:LockedField>
          </o:OLEObject>
        </w:object>
      </w:r>
    </w:p>
    <w:p>
      <w:pPr>
        <w:shd w:val="clear"/>
        <w:spacing w:line="360" w:lineRule="auto"/>
        <w:ind w:firstLine="480" w:firstLineChars="200"/>
        <w:rPr>
          <w:color w:val="auto"/>
          <w:sz w:val="24"/>
          <w:szCs w:val="20"/>
        </w:rPr>
      </w:pPr>
      <w:r>
        <w:rPr>
          <w:rFonts w:hint="eastAsia"/>
          <w:color w:val="auto"/>
          <w:sz w:val="24"/>
          <w:szCs w:val="20"/>
        </w:rPr>
        <w:t>式中：V</w:t>
      </w:r>
      <w:r>
        <w:rPr>
          <w:rFonts w:hint="eastAsia"/>
          <w:color w:val="auto"/>
          <w:sz w:val="24"/>
          <w:szCs w:val="20"/>
          <w:vertAlign w:val="subscript"/>
        </w:rPr>
        <w:t>RO2</w:t>
      </w:r>
      <w:r>
        <w:rPr>
          <w:rFonts w:hint="eastAsia"/>
          <w:color w:val="auto"/>
          <w:sz w:val="24"/>
          <w:szCs w:val="20"/>
        </w:rPr>
        <w:t>——烟气中二氧化碳（V</w:t>
      </w:r>
      <w:r>
        <w:rPr>
          <w:rFonts w:hint="eastAsia"/>
          <w:color w:val="auto"/>
          <w:sz w:val="24"/>
          <w:szCs w:val="20"/>
          <w:vertAlign w:val="subscript"/>
        </w:rPr>
        <w:t>CO2</w:t>
      </w:r>
      <w:r>
        <w:rPr>
          <w:rFonts w:hint="eastAsia"/>
          <w:color w:val="auto"/>
          <w:sz w:val="24"/>
          <w:szCs w:val="20"/>
        </w:rPr>
        <w:t>）和二氧化硫（V</w:t>
      </w:r>
      <w:r>
        <w:rPr>
          <w:rFonts w:hint="eastAsia"/>
          <w:color w:val="auto"/>
          <w:sz w:val="24"/>
          <w:szCs w:val="20"/>
          <w:vertAlign w:val="subscript"/>
        </w:rPr>
        <w:t>SO2</w:t>
      </w:r>
      <w:r>
        <w:rPr>
          <w:rFonts w:hint="eastAsia"/>
          <w:color w:val="auto"/>
          <w:sz w:val="24"/>
          <w:szCs w:val="20"/>
        </w:rPr>
        <w:t>）容积之和， m</w:t>
      </w:r>
      <w:r>
        <w:rPr>
          <w:rFonts w:hint="eastAsia"/>
          <w:color w:val="auto"/>
          <w:sz w:val="24"/>
          <w:szCs w:val="20"/>
          <w:vertAlign w:val="superscript"/>
        </w:rPr>
        <w:t>3</w:t>
      </w:r>
      <w:r>
        <w:rPr>
          <w:rFonts w:hint="eastAsia"/>
          <w:color w:val="auto"/>
          <w:sz w:val="24"/>
          <w:szCs w:val="20"/>
        </w:rPr>
        <w:t>/kg；</w:t>
      </w:r>
    </w:p>
    <w:p>
      <w:pPr>
        <w:shd w:val="clear"/>
        <w:spacing w:line="360" w:lineRule="auto"/>
        <w:ind w:firstLine="1200" w:firstLineChars="500"/>
        <w:rPr>
          <w:color w:val="auto"/>
          <w:sz w:val="24"/>
          <w:szCs w:val="20"/>
        </w:rPr>
      </w:pPr>
      <w:r>
        <w:rPr>
          <w:rFonts w:hint="eastAsia"/>
          <w:color w:val="auto"/>
          <w:sz w:val="24"/>
          <w:szCs w:val="20"/>
        </w:rPr>
        <w:t>C</w:t>
      </w:r>
      <w:r>
        <w:rPr>
          <w:rFonts w:hint="eastAsia"/>
          <w:color w:val="auto"/>
          <w:sz w:val="24"/>
          <w:szCs w:val="20"/>
          <w:vertAlign w:val="subscript"/>
        </w:rPr>
        <w:t>ar</w:t>
      </w:r>
      <w:r>
        <w:rPr>
          <w:rFonts w:hint="eastAsia"/>
          <w:color w:val="auto"/>
          <w:sz w:val="24"/>
          <w:szCs w:val="20"/>
        </w:rPr>
        <w:t>——收到基碳的质量分数，36.52%；</w:t>
      </w:r>
    </w:p>
    <w:p>
      <w:pPr>
        <w:shd w:val="clear"/>
        <w:spacing w:line="360" w:lineRule="auto"/>
        <w:ind w:firstLine="1200" w:firstLineChars="500"/>
        <w:rPr>
          <w:color w:val="auto"/>
          <w:sz w:val="24"/>
          <w:szCs w:val="20"/>
        </w:rPr>
      </w:pPr>
      <w:r>
        <w:rPr>
          <w:rFonts w:hint="eastAsia"/>
          <w:color w:val="auto"/>
          <w:sz w:val="24"/>
          <w:szCs w:val="20"/>
        </w:rPr>
        <w:t>S</w:t>
      </w:r>
      <w:r>
        <w:rPr>
          <w:rFonts w:hint="eastAsia"/>
          <w:color w:val="auto"/>
          <w:sz w:val="24"/>
          <w:szCs w:val="20"/>
          <w:vertAlign w:val="subscript"/>
        </w:rPr>
        <w:t>ar</w:t>
      </w:r>
      <w:r>
        <w:rPr>
          <w:rFonts w:hint="eastAsia"/>
          <w:color w:val="auto"/>
          <w:sz w:val="24"/>
          <w:szCs w:val="20"/>
        </w:rPr>
        <w:t>——收到基硫的质量分数，0.03%；</w:t>
      </w:r>
    </w:p>
    <w:p>
      <w:pPr>
        <w:shd w:val="clear"/>
        <w:spacing w:line="360" w:lineRule="auto"/>
        <w:ind w:firstLine="1200" w:firstLineChars="500"/>
        <w:rPr>
          <w:color w:val="auto"/>
          <w:sz w:val="24"/>
          <w:szCs w:val="20"/>
        </w:rPr>
      </w:pPr>
      <w:r>
        <w:rPr>
          <w:rFonts w:hint="eastAsia"/>
          <w:color w:val="auto"/>
          <w:sz w:val="24"/>
          <w:szCs w:val="20"/>
        </w:rPr>
        <w:t>V</w:t>
      </w:r>
      <w:r>
        <w:rPr>
          <w:rFonts w:hint="eastAsia"/>
          <w:color w:val="auto"/>
          <w:sz w:val="24"/>
          <w:szCs w:val="20"/>
          <w:vertAlign w:val="subscript"/>
        </w:rPr>
        <w:t>N2</w:t>
      </w:r>
      <w:r>
        <w:rPr>
          <w:rFonts w:hint="eastAsia"/>
          <w:color w:val="auto"/>
          <w:sz w:val="24"/>
          <w:szCs w:val="20"/>
        </w:rPr>
        <w:t>——烟气中氮气量，3.0m</w:t>
      </w:r>
      <w:r>
        <w:rPr>
          <w:rFonts w:hint="eastAsia"/>
          <w:color w:val="auto"/>
          <w:sz w:val="24"/>
          <w:szCs w:val="20"/>
          <w:vertAlign w:val="superscript"/>
        </w:rPr>
        <w:t>3</w:t>
      </w:r>
      <w:r>
        <w:rPr>
          <w:rFonts w:hint="eastAsia"/>
          <w:color w:val="auto"/>
          <w:sz w:val="24"/>
          <w:szCs w:val="20"/>
        </w:rPr>
        <w:t>/kg；</w:t>
      </w:r>
    </w:p>
    <w:p>
      <w:pPr>
        <w:shd w:val="clear"/>
        <w:spacing w:line="360" w:lineRule="auto"/>
        <w:ind w:firstLine="1200" w:firstLineChars="500"/>
        <w:rPr>
          <w:color w:val="auto"/>
          <w:sz w:val="24"/>
          <w:szCs w:val="20"/>
        </w:rPr>
      </w:pPr>
      <w:r>
        <w:rPr>
          <w:rFonts w:hint="eastAsia"/>
          <w:color w:val="auto"/>
          <w:sz w:val="24"/>
          <w:szCs w:val="20"/>
        </w:rPr>
        <w:t>N</w:t>
      </w:r>
      <w:r>
        <w:rPr>
          <w:rFonts w:hint="eastAsia"/>
          <w:color w:val="auto"/>
          <w:sz w:val="24"/>
          <w:szCs w:val="20"/>
          <w:vertAlign w:val="subscript"/>
        </w:rPr>
        <w:t>ar</w:t>
      </w:r>
      <w:r>
        <w:rPr>
          <w:rFonts w:hint="eastAsia"/>
          <w:color w:val="auto"/>
          <w:sz w:val="24"/>
          <w:szCs w:val="20"/>
        </w:rPr>
        <w:t>——收到基氮的质量分数，0.54%；</w:t>
      </w:r>
    </w:p>
    <w:p>
      <w:pPr>
        <w:shd w:val="clear"/>
        <w:spacing w:line="360" w:lineRule="auto"/>
        <w:ind w:firstLine="1200" w:firstLineChars="500"/>
        <w:rPr>
          <w:color w:val="auto"/>
          <w:sz w:val="24"/>
          <w:szCs w:val="20"/>
        </w:rPr>
      </w:pPr>
      <w:r>
        <w:rPr>
          <w:rFonts w:hint="eastAsia"/>
          <w:color w:val="auto"/>
          <w:sz w:val="24"/>
          <w:szCs w:val="20"/>
        </w:rPr>
        <w:t>V</w:t>
      </w:r>
      <w:r>
        <w:rPr>
          <w:rFonts w:hint="eastAsia"/>
          <w:color w:val="auto"/>
          <w:sz w:val="24"/>
          <w:szCs w:val="20"/>
          <w:vertAlign w:val="subscript"/>
        </w:rPr>
        <w:t>0</w:t>
      </w:r>
      <w:r>
        <w:rPr>
          <w:rFonts w:hint="eastAsia"/>
          <w:color w:val="auto"/>
          <w:sz w:val="24"/>
          <w:szCs w:val="20"/>
        </w:rPr>
        <w:t>——理论空气量，3.252m</w:t>
      </w:r>
      <w:r>
        <w:rPr>
          <w:rFonts w:hint="eastAsia"/>
          <w:color w:val="auto"/>
          <w:sz w:val="24"/>
          <w:szCs w:val="20"/>
          <w:vertAlign w:val="superscript"/>
        </w:rPr>
        <w:t>3</w:t>
      </w:r>
      <w:r>
        <w:rPr>
          <w:rFonts w:hint="eastAsia"/>
          <w:color w:val="auto"/>
          <w:sz w:val="24"/>
          <w:szCs w:val="20"/>
        </w:rPr>
        <w:t>/kg；</w:t>
      </w:r>
    </w:p>
    <w:p>
      <w:pPr>
        <w:shd w:val="clear"/>
        <w:spacing w:line="360" w:lineRule="auto"/>
        <w:ind w:firstLine="1200" w:firstLineChars="500"/>
        <w:rPr>
          <w:color w:val="auto"/>
          <w:sz w:val="24"/>
          <w:szCs w:val="20"/>
        </w:rPr>
      </w:pPr>
      <w:r>
        <w:rPr>
          <w:rFonts w:hint="eastAsia"/>
          <w:color w:val="auto"/>
          <w:sz w:val="24"/>
          <w:szCs w:val="20"/>
        </w:rPr>
        <w:t>Vg——干烟气排放量，4.555m</w:t>
      </w:r>
      <w:r>
        <w:rPr>
          <w:rFonts w:hint="eastAsia"/>
          <w:color w:val="auto"/>
          <w:sz w:val="24"/>
          <w:szCs w:val="20"/>
          <w:vertAlign w:val="superscript"/>
        </w:rPr>
        <w:t>3</w:t>
      </w:r>
      <w:r>
        <w:rPr>
          <w:rFonts w:hint="eastAsia"/>
          <w:color w:val="auto"/>
          <w:sz w:val="24"/>
          <w:szCs w:val="20"/>
        </w:rPr>
        <w:t>/kg；</w:t>
      </w:r>
    </w:p>
    <w:p>
      <w:pPr>
        <w:shd w:val="clear"/>
        <w:spacing w:line="360" w:lineRule="auto"/>
        <w:ind w:firstLine="1200" w:firstLineChars="500"/>
        <w:rPr>
          <w:color w:val="auto"/>
          <w:sz w:val="24"/>
          <w:szCs w:val="20"/>
        </w:rPr>
      </w:pPr>
      <w:r>
        <w:rPr>
          <w:rFonts w:hint="eastAsia"/>
          <w:color w:val="auto"/>
          <w:sz w:val="24"/>
          <w:szCs w:val="20"/>
        </w:rPr>
        <w:t>α—过量空气系数，燃烧时实际空气供给量与空气需要量之比值，燃煤锅炉、燃油锅炉及燃气锅炉的规定过量空气系数分别为1.75、1.2，对应基准氧含量分别为9%、3.5%；</w:t>
      </w:r>
    </w:p>
    <w:p>
      <w:pPr>
        <w:shd w:val="clear"/>
        <w:spacing w:line="360" w:lineRule="auto"/>
        <w:ind w:firstLine="1200" w:firstLineChars="500"/>
        <w:rPr>
          <w:color w:val="auto"/>
          <w:sz w:val="24"/>
          <w:szCs w:val="20"/>
        </w:rPr>
      </w:pPr>
      <w:r>
        <w:rPr>
          <w:rFonts w:hint="eastAsia"/>
          <w:color w:val="auto"/>
          <w:sz w:val="24"/>
          <w:szCs w:val="20"/>
        </w:rPr>
        <w:t>V</w:t>
      </w:r>
      <w:r>
        <w:rPr>
          <w:rFonts w:hint="eastAsia"/>
          <w:color w:val="auto"/>
          <w:sz w:val="24"/>
          <w:szCs w:val="20"/>
          <w:vertAlign w:val="subscript"/>
        </w:rPr>
        <w:t>H2O</w:t>
      </w:r>
      <w:r>
        <w:rPr>
          <w:rFonts w:hint="eastAsia"/>
          <w:color w:val="auto"/>
          <w:sz w:val="24"/>
          <w:szCs w:val="20"/>
        </w:rPr>
        <w:t>——烟气中水蒸气量，0.65m</w:t>
      </w:r>
      <w:r>
        <w:rPr>
          <w:rFonts w:hint="eastAsia"/>
          <w:color w:val="auto"/>
          <w:sz w:val="24"/>
          <w:szCs w:val="20"/>
          <w:vertAlign w:val="superscript"/>
        </w:rPr>
        <w:t>3</w:t>
      </w:r>
      <w:r>
        <w:rPr>
          <w:rFonts w:hint="eastAsia"/>
          <w:color w:val="auto"/>
          <w:sz w:val="24"/>
          <w:szCs w:val="20"/>
        </w:rPr>
        <w:t>/kg；</w:t>
      </w:r>
    </w:p>
    <w:p>
      <w:pPr>
        <w:shd w:val="clear"/>
        <w:spacing w:line="360" w:lineRule="auto"/>
        <w:ind w:firstLine="1200" w:firstLineChars="500"/>
        <w:rPr>
          <w:color w:val="auto"/>
          <w:sz w:val="24"/>
          <w:szCs w:val="20"/>
        </w:rPr>
      </w:pPr>
      <w:r>
        <w:rPr>
          <w:rFonts w:hint="eastAsia"/>
          <w:color w:val="auto"/>
          <w:sz w:val="24"/>
          <w:szCs w:val="20"/>
        </w:rPr>
        <w:t>H</w:t>
      </w:r>
      <w:r>
        <w:rPr>
          <w:rFonts w:hint="eastAsia"/>
          <w:color w:val="auto"/>
          <w:sz w:val="24"/>
          <w:szCs w:val="20"/>
          <w:vertAlign w:val="subscript"/>
        </w:rPr>
        <w:t>ar</w:t>
      </w:r>
      <w:r>
        <w:rPr>
          <w:rFonts w:hint="eastAsia"/>
          <w:color w:val="auto"/>
          <w:sz w:val="24"/>
          <w:szCs w:val="20"/>
        </w:rPr>
        <w:t>——收到基氢的质量分数，4.08%；</w:t>
      </w:r>
    </w:p>
    <w:p>
      <w:pPr>
        <w:shd w:val="clear"/>
        <w:spacing w:line="360" w:lineRule="auto"/>
        <w:ind w:firstLine="1200" w:firstLineChars="500"/>
        <w:rPr>
          <w:color w:val="auto"/>
          <w:sz w:val="24"/>
          <w:szCs w:val="20"/>
        </w:rPr>
      </w:pPr>
      <w:r>
        <w:rPr>
          <w:rFonts w:hint="eastAsia"/>
          <w:color w:val="auto"/>
          <w:sz w:val="24"/>
          <w:szCs w:val="20"/>
        </w:rPr>
        <w:t>M</w:t>
      </w:r>
      <w:r>
        <w:rPr>
          <w:rFonts w:hint="eastAsia"/>
          <w:color w:val="auto"/>
          <w:sz w:val="24"/>
          <w:szCs w:val="20"/>
          <w:vertAlign w:val="subscript"/>
        </w:rPr>
        <w:t>ar</w:t>
      </w:r>
      <w:r>
        <w:rPr>
          <w:rFonts w:hint="eastAsia"/>
          <w:color w:val="auto"/>
          <w:sz w:val="24"/>
          <w:szCs w:val="20"/>
        </w:rPr>
        <w:t>——收到基水分的质量分数，11.7%；</w:t>
      </w:r>
    </w:p>
    <w:p>
      <w:pPr>
        <w:shd w:val="clear"/>
        <w:spacing w:line="360" w:lineRule="auto"/>
        <w:ind w:firstLine="1200" w:firstLineChars="500"/>
        <w:rPr>
          <w:color w:val="auto"/>
          <w:sz w:val="24"/>
          <w:szCs w:val="20"/>
        </w:rPr>
      </w:pPr>
      <w:r>
        <w:rPr>
          <w:rFonts w:hint="eastAsia"/>
          <w:color w:val="auto"/>
          <w:sz w:val="24"/>
          <w:szCs w:val="20"/>
        </w:rPr>
        <w:t>Vs——湿烟气排放量，5.227m</w:t>
      </w:r>
      <w:r>
        <w:rPr>
          <w:rFonts w:hint="eastAsia"/>
          <w:color w:val="auto"/>
          <w:sz w:val="24"/>
          <w:szCs w:val="20"/>
          <w:vertAlign w:val="superscript"/>
        </w:rPr>
        <w:t>3</w:t>
      </w:r>
      <w:r>
        <w:rPr>
          <w:rFonts w:hint="eastAsia"/>
          <w:color w:val="auto"/>
          <w:sz w:val="24"/>
          <w:szCs w:val="20"/>
        </w:rPr>
        <w:t>/kg。</w:t>
      </w:r>
    </w:p>
    <w:p>
      <w:pPr>
        <w:shd w:val="clear"/>
        <w:spacing w:line="360" w:lineRule="auto"/>
        <w:ind w:firstLine="480" w:firstLineChars="200"/>
        <w:rPr>
          <w:color w:val="auto"/>
          <w:sz w:val="24"/>
          <w:szCs w:val="20"/>
        </w:rPr>
      </w:pPr>
      <w:r>
        <w:rPr>
          <w:rFonts w:hint="eastAsia"/>
          <w:color w:val="auto"/>
          <w:sz w:val="24"/>
          <w:szCs w:val="20"/>
        </w:rPr>
        <w:t>计算得出核算时段内Vg为4.55</w:t>
      </w:r>
      <w:r>
        <w:rPr>
          <w:rFonts w:hint="eastAsia"/>
          <w:color w:val="auto"/>
          <w:sz w:val="24"/>
          <w:szCs w:val="20"/>
          <w:lang w:val="en-US" w:eastAsia="zh-CN"/>
        </w:rPr>
        <w:t>4</w:t>
      </w:r>
      <w:r>
        <w:rPr>
          <w:rFonts w:hint="eastAsia"/>
          <w:color w:val="auto"/>
          <w:sz w:val="24"/>
          <w:szCs w:val="20"/>
        </w:rPr>
        <w:t>m</w:t>
      </w:r>
      <w:r>
        <w:rPr>
          <w:rFonts w:hint="eastAsia"/>
          <w:color w:val="auto"/>
          <w:sz w:val="24"/>
          <w:szCs w:val="20"/>
          <w:vertAlign w:val="superscript"/>
        </w:rPr>
        <w:t>3</w:t>
      </w:r>
      <w:r>
        <w:rPr>
          <w:rFonts w:hint="eastAsia"/>
          <w:color w:val="auto"/>
          <w:sz w:val="24"/>
          <w:szCs w:val="20"/>
        </w:rPr>
        <w:t>/kg。</w:t>
      </w:r>
    </w:p>
    <w:p>
      <w:pPr>
        <w:shd w:val="clear"/>
        <w:spacing w:line="360" w:lineRule="auto"/>
        <w:ind w:firstLine="480" w:firstLineChars="200"/>
        <w:jc w:val="left"/>
        <w:rPr>
          <w:color w:val="auto"/>
          <w:sz w:val="24"/>
        </w:rPr>
      </w:pPr>
      <w:r>
        <w:rPr>
          <w:color w:val="auto"/>
          <w:sz w:val="24"/>
        </w:rPr>
        <w:t>（3）R为设计燃料用量</w:t>
      </w:r>
    </w:p>
    <w:p>
      <w:pPr>
        <w:pStyle w:val="12"/>
        <w:shd w:val="clear"/>
        <w:spacing w:after="0" w:line="360" w:lineRule="auto"/>
        <w:ind w:left="0" w:leftChars="0" w:firstLine="480" w:firstLineChars="200"/>
        <w:rPr>
          <w:color w:val="auto"/>
          <w:szCs w:val="21"/>
        </w:rPr>
      </w:pPr>
      <w:r>
        <w:rPr>
          <w:bCs/>
          <w:color w:val="auto"/>
        </w:rPr>
        <w:t>本项目</w:t>
      </w:r>
      <w:r>
        <w:rPr>
          <w:rFonts w:hint="eastAsia"/>
          <w:color w:val="auto"/>
          <w:szCs w:val="21"/>
        </w:rPr>
        <w:t>生产用热</w:t>
      </w:r>
      <w:r>
        <w:rPr>
          <w:color w:val="auto"/>
          <w:szCs w:val="21"/>
        </w:rPr>
        <w:t>由</w:t>
      </w:r>
      <w:r>
        <w:rPr>
          <w:rFonts w:hint="eastAsia"/>
          <w:color w:val="auto"/>
          <w:szCs w:val="21"/>
          <w:lang w:val="en-US" w:eastAsia="zh-CN"/>
        </w:rPr>
        <w:t>1</w:t>
      </w:r>
      <w:r>
        <w:rPr>
          <w:color w:val="auto"/>
          <w:szCs w:val="21"/>
        </w:rPr>
        <w:t>台</w:t>
      </w:r>
      <w:r>
        <w:rPr>
          <w:rFonts w:hint="eastAsia"/>
          <w:color w:val="auto"/>
          <w:szCs w:val="21"/>
          <w:lang w:val="en-US" w:eastAsia="zh-CN"/>
        </w:rPr>
        <w:t>4</w:t>
      </w:r>
      <w:r>
        <w:rPr>
          <w:rFonts w:hint="eastAsia"/>
          <w:color w:val="auto"/>
          <w:szCs w:val="21"/>
        </w:rPr>
        <w:t>t/h</w:t>
      </w:r>
      <w:r>
        <w:rPr>
          <w:color w:val="auto"/>
          <w:szCs w:val="21"/>
        </w:rPr>
        <w:t>生物质</w:t>
      </w:r>
      <w:r>
        <w:rPr>
          <w:rFonts w:hint="eastAsia"/>
          <w:color w:val="auto"/>
          <w:szCs w:val="21"/>
        </w:rPr>
        <w:t>蒸汽</w:t>
      </w:r>
      <w:r>
        <w:rPr>
          <w:color w:val="auto"/>
          <w:szCs w:val="21"/>
        </w:rPr>
        <w:t>锅炉提供。本项目燃烧生物质颗粒为</w:t>
      </w:r>
      <w:r>
        <w:rPr>
          <w:rFonts w:hint="eastAsia"/>
          <w:color w:val="auto"/>
          <w:szCs w:val="21"/>
          <w:lang w:val="en-US" w:eastAsia="zh-CN"/>
        </w:rPr>
        <w:t>722.4</w:t>
      </w:r>
      <w:r>
        <w:rPr>
          <w:color w:val="auto"/>
          <w:szCs w:val="21"/>
        </w:rPr>
        <w:t>t/a。</w:t>
      </w:r>
    </w:p>
    <w:p>
      <w:pPr>
        <w:shd w:val="clear"/>
        <w:spacing w:line="360" w:lineRule="auto"/>
        <w:ind w:firstLine="480" w:firstLineChars="200"/>
        <w:jc w:val="left"/>
        <w:rPr>
          <w:color w:val="auto"/>
          <w:sz w:val="24"/>
        </w:rPr>
      </w:pPr>
      <w:r>
        <w:rPr>
          <w:color w:val="auto"/>
          <w:sz w:val="24"/>
        </w:rPr>
        <w:t>因此各污染物核定量计算过程如下：</w:t>
      </w:r>
    </w:p>
    <w:p>
      <w:pPr>
        <w:shd w:val="clear"/>
        <w:spacing w:line="360" w:lineRule="auto"/>
        <w:ind w:firstLine="482" w:firstLineChars="200"/>
        <w:jc w:val="left"/>
        <w:rPr>
          <w:b/>
          <w:color w:val="auto"/>
          <w:sz w:val="24"/>
        </w:rPr>
      </w:pPr>
      <w:r>
        <w:rPr>
          <w:b/>
          <w:color w:val="auto"/>
          <w:sz w:val="24"/>
        </w:rPr>
        <w:t>颗粒物=</w:t>
      </w:r>
      <w:r>
        <w:rPr>
          <w:rFonts w:hint="eastAsia"/>
          <w:b/>
          <w:color w:val="auto"/>
          <w:sz w:val="24"/>
        </w:rPr>
        <w:t>5</w:t>
      </w:r>
      <w:r>
        <w:rPr>
          <w:b/>
          <w:color w:val="auto"/>
          <w:sz w:val="24"/>
        </w:rPr>
        <w:t>0×</w:t>
      </w:r>
      <w:r>
        <w:rPr>
          <w:rFonts w:hint="eastAsia"/>
          <w:b/>
          <w:bCs/>
          <w:color w:val="auto"/>
          <w:sz w:val="24"/>
        </w:rPr>
        <w:t>4.55</w:t>
      </w:r>
      <w:r>
        <w:rPr>
          <w:rFonts w:hint="eastAsia"/>
          <w:b/>
          <w:bCs/>
          <w:color w:val="auto"/>
          <w:sz w:val="24"/>
          <w:lang w:val="en-US" w:eastAsia="zh-CN"/>
        </w:rPr>
        <w:t>4</w:t>
      </w:r>
      <w:r>
        <w:rPr>
          <w:b/>
          <w:color w:val="auto"/>
          <w:sz w:val="24"/>
        </w:rPr>
        <w:t>×</w:t>
      </w:r>
      <w:r>
        <w:rPr>
          <w:rFonts w:hint="eastAsia"/>
          <w:b/>
          <w:color w:val="auto"/>
          <w:sz w:val="24"/>
          <w:lang w:val="en-US" w:eastAsia="zh-CN"/>
        </w:rPr>
        <w:t>722.4</w:t>
      </w:r>
      <w:r>
        <w:rPr>
          <w:b/>
          <w:color w:val="auto"/>
          <w:sz w:val="24"/>
        </w:rPr>
        <w:t>×1×10</w:t>
      </w:r>
      <w:r>
        <w:rPr>
          <w:b/>
          <w:color w:val="auto"/>
          <w:sz w:val="24"/>
          <w:vertAlign w:val="superscript"/>
        </w:rPr>
        <w:t>-6</w:t>
      </w:r>
      <w:r>
        <w:rPr>
          <w:b/>
          <w:color w:val="auto"/>
          <w:sz w:val="24"/>
        </w:rPr>
        <w:t>=0.</w:t>
      </w:r>
      <w:r>
        <w:rPr>
          <w:rFonts w:hint="eastAsia"/>
          <w:b/>
          <w:color w:val="auto"/>
          <w:sz w:val="24"/>
          <w:lang w:val="en-US" w:eastAsia="zh-CN"/>
        </w:rPr>
        <w:t>164</w:t>
      </w:r>
      <w:r>
        <w:rPr>
          <w:b/>
          <w:color w:val="auto"/>
          <w:sz w:val="24"/>
        </w:rPr>
        <w:t>t/a</w:t>
      </w:r>
    </w:p>
    <w:p>
      <w:pPr>
        <w:shd w:val="clear"/>
        <w:spacing w:line="360" w:lineRule="auto"/>
        <w:ind w:firstLine="482" w:firstLineChars="200"/>
        <w:jc w:val="left"/>
        <w:rPr>
          <w:b/>
          <w:color w:val="auto"/>
          <w:sz w:val="24"/>
        </w:rPr>
      </w:pPr>
      <w:r>
        <w:rPr>
          <w:b/>
          <w:color w:val="auto"/>
          <w:sz w:val="24"/>
        </w:rPr>
        <w:t>SO</w:t>
      </w:r>
      <w:r>
        <w:rPr>
          <w:b/>
          <w:color w:val="auto"/>
          <w:sz w:val="24"/>
          <w:vertAlign w:val="subscript"/>
        </w:rPr>
        <w:t>2</w:t>
      </w:r>
      <w:r>
        <w:rPr>
          <w:b/>
          <w:color w:val="auto"/>
          <w:sz w:val="24"/>
        </w:rPr>
        <w:t>=</w:t>
      </w:r>
      <w:r>
        <w:rPr>
          <w:rFonts w:hint="eastAsia"/>
          <w:b/>
          <w:color w:val="auto"/>
          <w:sz w:val="24"/>
        </w:rPr>
        <w:t>3</w:t>
      </w:r>
      <w:r>
        <w:rPr>
          <w:b/>
          <w:color w:val="auto"/>
          <w:sz w:val="24"/>
        </w:rPr>
        <w:t>00×</w:t>
      </w:r>
      <w:r>
        <w:rPr>
          <w:rFonts w:hint="eastAsia"/>
          <w:b/>
          <w:bCs/>
          <w:color w:val="auto"/>
          <w:sz w:val="24"/>
        </w:rPr>
        <w:t>4.55</w:t>
      </w:r>
      <w:r>
        <w:rPr>
          <w:rFonts w:hint="eastAsia"/>
          <w:b/>
          <w:bCs/>
          <w:color w:val="auto"/>
          <w:sz w:val="24"/>
          <w:lang w:val="en-US" w:eastAsia="zh-CN"/>
        </w:rPr>
        <w:t>4</w:t>
      </w:r>
      <w:r>
        <w:rPr>
          <w:b/>
          <w:color w:val="auto"/>
          <w:sz w:val="24"/>
        </w:rPr>
        <w:t>×</w:t>
      </w:r>
      <w:r>
        <w:rPr>
          <w:rFonts w:hint="eastAsia"/>
          <w:b/>
          <w:color w:val="auto"/>
          <w:sz w:val="24"/>
          <w:lang w:val="en-US" w:eastAsia="zh-CN"/>
        </w:rPr>
        <w:t>722.4</w:t>
      </w:r>
      <w:r>
        <w:rPr>
          <w:b/>
          <w:bCs/>
          <w:color w:val="auto"/>
          <w:sz w:val="24"/>
        </w:rPr>
        <w:t>×</w:t>
      </w:r>
      <w:r>
        <w:rPr>
          <w:b/>
          <w:color w:val="auto"/>
          <w:sz w:val="24"/>
        </w:rPr>
        <w:t>0.8×10</w:t>
      </w:r>
      <w:r>
        <w:rPr>
          <w:b/>
          <w:color w:val="auto"/>
          <w:sz w:val="24"/>
          <w:vertAlign w:val="superscript"/>
        </w:rPr>
        <w:t>-6</w:t>
      </w:r>
      <w:r>
        <w:rPr>
          <w:b/>
          <w:color w:val="auto"/>
          <w:sz w:val="24"/>
        </w:rPr>
        <w:t>=</w:t>
      </w:r>
      <w:r>
        <w:rPr>
          <w:rFonts w:hint="eastAsia"/>
          <w:b/>
          <w:color w:val="auto"/>
          <w:sz w:val="24"/>
          <w:lang w:val="en-US" w:eastAsia="zh-CN"/>
        </w:rPr>
        <w:t>0.790</w:t>
      </w:r>
      <w:r>
        <w:rPr>
          <w:b/>
          <w:color w:val="auto"/>
          <w:sz w:val="24"/>
        </w:rPr>
        <w:t>t/a</w:t>
      </w:r>
    </w:p>
    <w:p>
      <w:pPr>
        <w:pStyle w:val="36"/>
        <w:shd w:val="clear"/>
        <w:spacing w:line="360" w:lineRule="auto"/>
        <w:ind w:firstLine="482" w:firstLineChars="200"/>
        <w:jc w:val="left"/>
        <w:rPr>
          <w:rFonts w:ascii="Times New Roman" w:hAnsi="Times New Roman" w:eastAsia="宋体" w:cs="Times New Roman"/>
          <w:b/>
          <w:color w:val="auto"/>
        </w:rPr>
      </w:pPr>
      <w:r>
        <w:rPr>
          <w:rFonts w:ascii="Times New Roman" w:hAnsi="Times New Roman" w:eastAsia="宋体" w:cs="Times New Roman"/>
          <w:b/>
          <w:color w:val="auto"/>
        </w:rPr>
        <w:t>NO</w:t>
      </w:r>
      <w:r>
        <w:rPr>
          <w:rFonts w:ascii="Times New Roman" w:hAnsi="Times New Roman" w:eastAsia="宋体" w:cs="Times New Roman"/>
          <w:b/>
          <w:color w:val="auto"/>
          <w:vertAlign w:val="subscript"/>
        </w:rPr>
        <w:t>X</w:t>
      </w:r>
      <w:r>
        <w:rPr>
          <w:rFonts w:ascii="Times New Roman" w:hAnsi="Times New Roman" w:eastAsia="宋体" w:cs="Times New Roman"/>
          <w:b/>
          <w:color w:val="auto"/>
        </w:rPr>
        <w:t>=</w:t>
      </w:r>
      <w:r>
        <w:rPr>
          <w:rFonts w:hint="eastAsia" w:ascii="Times New Roman" w:hAnsi="Times New Roman" w:eastAsia="宋体" w:cs="Times New Roman"/>
          <w:b/>
          <w:color w:val="auto"/>
        </w:rPr>
        <w:t>3</w:t>
      </w:r>
      <w:r>
        <w:rPr>
          <w:rFonts w:ascii="Times New Roman" w:hAnsi="Times New Roman" w:eastAsia="宋体" w:cs="Times New Roman"/>
          <w:b/>
          <w:color w:val="auto"/>
        </w:rPr>
        <w:t>00×</w:t>
      </w:r>
      <w:r>
        <w:rPr>
          <w:rFonts w:hint="eastAsia" w:ascii="Times New Roman" w:hAnsi="Times New Roman" w:eastAsia="宋体" w:cs="Times New Roman"/>
          <w:b/>
          <w:bCs/>
          <w:color w:val="auto"/>
        </w:rPr>
        <w:t>4.55</w:t>
      </w:r>
      <w:r>
        <w:rPr>
          <w:rFonts w:hint="eastAsia" w:ascii="Times New Roman" w:hAnsi="Times New Roman" w:eastAsia="宋体" w:cs="Times New Roman"/>
          <w:b/>
          <w:bCs/>
          <w:color w:val="auto"/>
          <w:lang w:val="en-US" w:eastAsia="zh-CN"/>
        </w:rPr>
        <w:t>4</w:t>
      </w:r>
      <w:r>
        <w:rPr>
          <w:rFonts w:ascii="Times New Roman" w:hAnsi="Times New Roman" w:eastAsia="宋体" w:cs="Times New Roman"/>
          <w:b/>
          <w:color w:val="auto"/>
        </w:rPr>
        <w:t>×</w:t>
      </w:r>
      <w:r>
        <w:rPr>
          <w:rFonts w:hint="eastAsia" w:ascii="Times New Roman" w:hAnsi="Times New Roman" w:eastAsia="宋体" w:cs="Times New Roman"/>
          <w:b/>
          <w:color w:val="auto"/>
          <w:lang w:val="en-US" w:eastAsia="zh-CN"/>
        </w:rPr>
        <w:t>722.4</w:t>
      </w:r>
      <w:r>
        <w:rPr>
          <w:rFonts w:ascii="Times New Roman" w:hAnsi="Times New Roman" w:eastAsia="宋体" w:cs="Times New Roman"/>
          <w:b/>
          <w:color w:val="auto"/>
        </w:rPr>
        <w:t>×1×10</w:t>
      </w:r>
      <w:r>
        <w:rPr>
          <w:rFonts w:ascii="Times New Roman" w:hAnsi="Times New Roman" w:eastAsia="宋体" w:cs="Times New Roman"/>
          <w:b/>
          <w:color w:val="auto"/>
          <w:vertAlign w:val="superscript"/>
        </w:rPr>
        <w:t>-6</w:t>
      </w:r>
      <w:r>
        <w:rPr>
          <w:rFonts w:ascii="Times New Roman" w:hAnsi="Times New Roman" w:eastAsia="宋体" w:cs="Times New Roman"/>
          <w:b/>
          <w:color w:val="auto"/>
        </w:rPr>
        <w:t>=</w:t>
      </w:r>
      <w:r>
        <w:rPr>
          <w:rFonts w:hint="eastAsia" w:ascii="Times New Roman" w:hAnsi="Times New Roman" w:eastAsia="宋体" w:cs="Times New Roman"/>
          <w:b/>
          <w:color w:val="auto"/>
          <w:lang w:val="en-US" w:eastAsia="zh-CN"/>
        </w:rPr>
        <w:t>0.987</w:t>
      </w:r>
      <w:r>
        <w:rPr>
          <w:rFonts w:ascii="Times New Roman" w:hAnsi="Times New Roman" w:eastAsia="宋体" w:cs="Times New Roman"/>
          <w:b/>
          <w:color w:val="auto"/>
        </w:rPr>
        <w:t>t/a</w:t>
      </w:r>
    </w:p>
    <w:p>
      <w:pPr>
        <w:pStyle w:val="65"/>
        <w:shd w:val="clear"/>
        <w:spacing w:line="360" w:lineRule="auto"/>
        <w:ind w:left="425" w:firstLine="0" w:firstLineChars="0"/>
        <w:jc w:val="left"/>
        <w:rPr>
          <w:b/>
          <w:color w:val="auto"/>
          <w:sz w:val="24"/>
        </w:rPr>
      </w:pPr>
      <w:r>
        <w:rPr>
          <w:rFonts w:hint="eastAsia"/>
          <w:b/>
          <w:bCs/>
          <w:color w:val="auto"/>
          <w:sz w:val="24"/>
        </w:rPr>
        <w:t>2、废水</w:t>
      </w:r>
      <w:r>
        <w:rPr>
          <w:b/>
          <w:color w:val="auto"/>
          <w:sz w:val="24"/>
        </w:rPr>
        <w:t>污染物核定总量</w:t>
      </w:r>
    </w:p>
    <w:p>
      <w:pPr>
        <w:shd w:val="clear"/>
        <w:spacing w:line="360" w:lineRule="auto"/>
        <w:ind w:firstLine="480" w:firstLineChars="200"/>
        <w:jc w:val="left"/>
        <w:rPr>
          <w:color w:val="auto"/>
          <w:kern w:val="0"/>
          <w:sz w:val="24"/>
          <w:szCs w:val="21"/>
        </w:rPr>
      </w:pPr>
      <w:r>
        <w:rPr>
          <w:rFonts w:hint="eastAsia"/>
          <w:color w:val="auto"/>
          <w:kern w:val="0"/>
          <w:sz w:val="24"/>
          <w:szCs w:val="21"/>
        </w:rPr>
        <w:t>本项目生活污水排入防渗旱厕定期清掏；</w:t>
      </w:r>
      <w:r>
        <w:rPr>
          <w:rFonts w:hint="eastAsia" w:ascii="Times New Roman" w:hAnsi="Times New Roman" w:eastAsia="宋体" w:cs="Times New Roman"/>
          <w:b w:val="0"/>
          <w:bCs w:val="0"/>
          <w:color w:val="auto"/>
          <w:sz w:val="24"/>
          <w:szCs w:val="24"/>
          <w:lang w:val="en-US" w:eastAsia="zh-CN"/>
        </w:rPr>
        <w:t>锅炉排污水、软化处理废水、</w:t>
      </w:r>
      <w:r>
        <w:rPr>
          <w:rFonts w:hint="default" w:ascii="Times New Roman" w:hAnsi="Times New Roman" w:eastAsia="宋体" w:cs="Times New Roman"/>
          <w:b w:val="0"/>
          <w:bCs w:val="0"/>
          <w:color w:val="auto"/>
          <w:sz w:val="24"/>
          <w:szCs w:val="24"/>
          <w:lang w:val="en-US" w:eastAsia="zh-CN"/>
        </w:rPr>
        <w:t>清洗废水、车间地面冲</w:t>
      </w:r>
      <w:r>
        <w:rPr>
          <w:rFonts w:hint="default" w:ascii="Times New Roman" w:hAnsi="Times New Roman" w:eastAsia="宋体" w:cs="Times New Roman"/>
          <w:b w:val="0"/>
          <w:bCs/>
          <w:color w:val="auto"/>
          <w:kern w:val="0"/>
          <w:sz w:val="24"/>
          <w:szCs w:val="24"/>
          <w:lang w:val="en-US" w:eastAsia="zh-CN" w:bidi="ar-SA"/>
        </w:rPr>
        <w:t>洗废水</w:t>
      </w:r>
      <w:r>
        <w:rPr>
          <w:rFonts w:hint="eastAsia"/>
          <w:color w:val="auto"/>
          <w:kern w:val="0"/>
          <w:sz w:val="24"/>
          <w:szCs w:val="21"/>
          <w:lang w:val="zh-CN"/>
        </w:rPr>
        <w:t>水量为</w:t>
      </w:r>
      <w:r>
        <w:rPr>
          <w:rFonts w:hint="eastAsia"/>
          <w:color w:val="auto"/>
          <w:kern w:val="0"/>
          <w:sz w:val="24"/>
          <w:szCs w:val="21"/>
          <w:lang w:val="en-US" w:eastAsia="zh-CN"/>
        </w:rPr>
        <w:t>3707.73</w:t>
      </w:r>
      <w:r>
        <w:rPr>
          <w:rFonts w:hint="eastAsia"/>
          <w:color w:val="auto"/>
          <w:kern w:val="0"/>
          <w:sz w:val="24"/>
          <w:szCs w:val="21"/>
          <w:lang w:val="zh-CN"/>
        </w:rPr>
        <w:t>t/a，</w:t>
      </w:r>
      <w:r>
        <w:rPr>
          <w:rFonts w:hint="eastAsia"/>
          <w:color w:val="auto"/>
          <w:kern w:val="0"/>
          <w:sz w:val="24"/>
          <w:szCs w:val="21"/>
        </w:rPr>
        <w:t>排入厂内30m</w:t>
      </w:r>
      <w:r>
        <w:rPr>
          <w:rFonts w:hint="eastAsia"/>
          <w:color w:val="auto"/>
          <w:kern w:val="0"/>
          <w:sz w:val="24"/>
          <w:szCs w:val="21"/>
          <w:vertAlign w:val="superscript"/>
        </w:rPr>
        <w:t>3</w:t>
      </w:r>
      <w:r>
        <w:rPr>
          <w:rFonts w:hint="eastAsia"/>
          <w:color w:val="auto"/>
          <w:kern w:val="0"/>
          <w:sz w:val="24"/>
          <w:szCs w:val="21"/>
        </w:rPr>
        <w:t>密闭储罐中储存，可以储存约1天的废水，日产日清，每日由专用罐车拉运至海伦市污水处理厂处理，废水排放浓度满足《污水综合排放标准》（GB8978-1996）三级标准及海伦市污水处理厂进水水质标准。</w:t>
      </w:r>
    </w:p>
    <w:p>
      <w:pPr>
        <w:shd w:val="clear"/>
        <w:spacing w:line="360" w:lineRule="auto"/>
        <w:ind w:firstLine="480" w:firstLineChars="200"/>
        <w:jc w:val="left"/>
        <w:rPr>
          <w:color w:val="auto"/>
          <w:sz w:val="24"/>
        </w:rPr>
      </w:pPr>
      <w:r>
        <w:rPr>
          <w:rFonts w:hint="eastAsia"/>
          <w:color w:val="auto"/>
          <w:sz w:val="24"/>
        </w:rPr>
        <w:t>COD核定排放量=</w:t>
      </w:r>
      <w:r>
        <w:rPr>
          <w:rFonts w:hint="eastAsia"/>
          <w:color w:val="auto"/>
          <w:kern w:val="0"/>
          <w:sz w:val="24"/>
          <w:szCs w:val="21"/>
          <w:lang w:val="en-US" w:eastAsia="zh-CN"/>
        </w:rPr>
        <w:t>3707.73</w:t>
      </w:r>
      <w:r>
        <w:rPr>
          <w:rFonts w:hint="eastAsia"/>
          <w:color w:val="auto"/>
          <w:sz w:val="24"/>
        </w:rPr>
        <w:t>t/a×500mg/L×10</w:t>
      </w:r>
      <w:r>
        <w:rPr>
          <w:rFonts w:hint="eastAsia"/>
          <w:color w:val="auto"/>
          <w:sz w:val="24"/>
          <w:vertAlign w:val="superscript"/>
        </w:rPr>
        <w:t>-6</w:t>
      </w:r>
      <w:r>
        <w:rPr>
          <w:rFonts w:hint="eastAsia"/>
          <w:color w:val="auto"/>
          <w:sz w:val="24"/>
        </w:rPr>
        <w:t>=</w:t>
      </w:r>
      <w:r>
        <w:rPr>
          <w:rFonts w:hint="eastAsia"/>
          <w:color w:val="auto"/>
          <w:sz w:val="24"/>
          <w:lang w:val="en-US" w:eastAsia="zh-CN"/>
        </w:rPr>
        <w:t>1.85</w:t>
      </w:r>
      <w:r>
        <w:rPr>
          <w:rFonts w:hint="eastAsia"/>
          <w:color w:val="auto"/>
          <w:sz w:val="24"/>
        </w:rPr>
        <w:t>t/a；</w:t>
      </w:r>
    </w:p>
    <w:p>
      <w:pPr>
        <w:shd w:val="clear"/>
        <w:spacing w:line="360" w:lineRule="auto"/>
        <w:ind w:firstLine="480" w:firstLineChars="200"/>
        <w:jc w:val="left"/>
        <w:rPr>
          <w:b/>
          <w:color w:val="auto"/>
          <w:sz w:val="24"/>
        </w:rPr>
      </w:pPr>
      <w:r>
        <w:rPr>
          <w:rFonts w:hint="eastAsia"/>
          <w:color w:val="auto"/>
          <w:sz w:val="24"/>
        </w:rPr>
        <w:t>氨氮核定排放量=</w:t>
      </w:r>
      <w:r>
        <w:rPr>
          <w:rFonts w:hint="eastAsia"/>
          <w:color w:val="auto"/>
          <w:kern w:val="0"/>
          <w:sz w:val="24"/>
          <w:szCs w:val="21"/>
          <w:lang w:val="en-US" w:eastAsia="zh-CN"/>
        </w:rPr>
        <w:t>3707.73</w:t>
      </w:r>
      <w:r>
        <w:rPr>
          <w:rFonts w:hint="eastAsia"/>
          <w:color w:val="auto"/>
          <w:sz w:val="24"/>
        </w:rPr>
        <w:t>t/a×55mg/L×10</w:t>
      </w:r>
      <w:r>
        <w:rPr>
          <w:rFonts w:hint="eastAsia"/>
          <w:color w:val="auto"/>
          <w:sz w:val="24"/>
          <w:vertAlign w:val="superscript"/>
        </w:rPr>
        <w:t>-6</w:t>
      </w:r>
      <w:r>
        <w:rPr>
          <w:rFonts w:hint="eastAsia"/>
          <w:color w:val="auto"/>
          <w:sz w:val="24"/>
        </w:rPr>
        <w:t>=</w:t>
      </w:r>
      <w:r>
        <w:rPr>
          <w:rFonts w:hint="eastAsia"/>
          <w:color w:val="auto"/>
          <w:sz w:val="24"/>
          <w:lang w:val="en-US" w:eastAsia="zh-CN"/>
        </w:rPr>
        <w:t>0.204</w:t>
      </w:r>
      <w:r>
        <w:rPr>
          <w:rFonts w:hint="eastAsia"/>
          <w:color w:val="auto"/>
          <w:sz w:val="24"/>
        </w:rPr>
        <w:t>t/a。</w:t>
      </w:r>
    </w:p>
    <w:p>
      <w:pPr>
        <w:pStyle w:val="53"/>
        <w:shd w:val="clear"/>
        <w:spacing w:line="480" w:lineRule="exact"/>
        <w:ind w:firstLine="480"/>
        <w:jc w:val="left"/>
        <w:rPr>
          <w:rFonts w:eastAsia="宋体"/>
          <w:b/>
          <w:color w:val="auto"/>
          <w:sz w:val="24"/>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shd w:val="clear"/>
        <w:jc w:val="left"/>
        <w:rPr>
          <w:rFonts w:hint="eastAsia"/>
          <w:b/>
          <w:bCs/>
          <w:color w:val="auto"/>
          <w:sz w:val="24"/>
        </w:rPr>
      </w:pPr>
      <w:r>
        <w:rPr>
          <w:rFonts w:hint="eastAsia"/>
          <w:b/>
          <w:bCs/>
          <w:color w:val="auto"/>
          <w:sz w:val="24"/>
        </w:rPr>
        <w:t>附件</w:t>
      </w:r>
      <w:r>
        <w:rPr>
          <w:rFonts w:hint="eastAsia"/>
          <w:b/>
          <w:bCs/>
          <w:color w:val="auto"/>
          <w:sz w:val="24"/>
          <w:lang w:val="en-US" w:eastAsia="zh-CN"/>
        </w:rPr>
        <w:t>6</w:t>
      </w:r>
      <w:r>
        <w:rPr>
          <w:rFonts w:hint="eastAsia"/>
          <w:b/>
          <w:bCs/>
          <w:color w:val="auto"/>
          <w:sz w:val="24"/>
        </w:rPr>
        <w:t>：检测报告</w:t>
      </w:r>
    </w:p>
    <w:p>
      <w:pPr>
        <w:pStyle w:val="9"/>
        <w:shd w:val="clear"/>
        <w:rPr>
          <w:rFonts w:hint="eastAsia"/>
          <w:color w:val="auto"/>
        </w:rPr>
      </w:pPr>
      <w:r>
        <w:rPr>
          <w:rFonts w:hint="eastAsia" w:eastAsia="宋体"/>
          <w:color w:val="auto"/>
          <w:lang w:eastAsia="zh-CN"/>
        </w:rPr>
        <w:drawing>
          <wp:inline distT="0" distB="0" distL="114300" distR="114300">
            <wp:extent cx="5356860" cy="7576820"/>
            <wp:effectExtent l="0" t="0" r="7620" b="12700"/>
            <wp:docPr id="15" name="图片 15" descr="福仁监测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福仁监测报告_00"/>
                    <pic:cNvPicPr>
                      <a:picLocks noChangeAspect="1"/>
                    </pic:cNvPicPr>
                  </pic:nvPicPr>
                  <pic:blipFill>
                    <a:blip r:embed="rId58"/>
                    <a:stretch>
                      <a:fillRect/>
                    </a:stretch>
                  </pic:blipFill>
                  <pic:spPr>
                    <a:xfrm>
                      <a:off x="0" y="0"/>
                      <a:ext cx="5356860" cy="7576820"/>
                    </a:xfrm>
                    <a:prstGeom prst="rect">
                      <a:avLst/>
                    </a:prstGeom>
                  </pic:spPr>
                </pic:pic>
              </a:graphicData>
            </a:graphic>
          </wp:inline>
        </w:drawing>
      </w:r>
    </w:p>
    <w:p>
      <w:pPr>
        <w:pStyle w:val="9"/>
        <w:shd w:val="clear"/>
        <w:rPr>
          <w:rFonts w:hint="eastAsia" w:eastAsia="宋体"/>
          <w:color w:val="auto"/>
          <w:lang w:eastAsia="zh-CN"/>
        </w:rPr>
      </w:pPr>
      <w:r>
        <w:rPr>
          <w:rFonts w:hint="eastAsia" w:eastAsia="宋体"/>
          <w:color w:val="auto"/>
          <w:lang w:eastAsia="zh-CN"/>
        </w:rPr>
        <w:drawing>
          <wp:inline distT="0" distB="0" distL="114300" distR="114300">
            <wp:extent cx="5610225" cy="7934325"/>
            <wp:effectExtent l="0" t="0" r="13335" b="5715"/>
            <wp:docPr id="13" name="图片 13" descr="福仁监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福仁监测报告_01"/>
                    <pic:cNvPicPr>
                      <a:picLocks noChangeAspect="1"/>
                    </pic:cNvPicPr>
                  </pic:nvPicPr>
                  <pic:blipFill>
                    <a:blip r:embed="rId59"/>
                    <a:stretch>
                      <a:fillRect/>
                    </a:stretch>
                  </pic:blipFill>
                  <pic:spPr>
                    <a:xfrm>
                      <a:off x="0" y="0"/>
                      <a:ext cx="5610225" cy="7934325"/>
                    </a:xfrm>
                    <a:prstGeom prst="rect">
                      <a:avLst/>
                    </a:prstGeom>
                  </pic:spPr>
                </pic:pic>
              </a:graphicData>
            </a:graphic>
          </wp:inline>
        </w:drawing>
      </w:r>
      <w:r>
        <w:rPr>
          <w:rFonts w:hint="eastAsia" w:eastAsia="宋体"/>
          <w:color w:val="auto"/>
          <w:lang w:eastAsia="zh-CN"/>
        </w:rPr>
        <w:drawing>
          <wp:inline distT="0" distB="0" distL="114300" distR="114300">
            <wp:extent cx="5610225" cy="7934325"/>
            <wp:effectExtent l="0" t="0" r="13335" b="5715"/>
            <wp:docPr id="12" name="图片 12" descr="福仁监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福仁监测报告_02"/>
                    <pic:cNvPicPr>
                      <a:picLocks noChangeAspect="1"/>
                    </pic:cNvPicPr>
                  </pic:nvPicPr>
                  <pic:blipFill>
                    <a:blip r:embed="rId60"/>
                    <a:stretch>
                      <a:fillRect/>
                    </a:stretch>
                  </pic:blipFill>
                  <pic:spPr>
                    <a:xfrm>
                      <a:off x="0" y="0"/>
                      <a:ext cx="5610225" cy="7934325"/>
                    </a:xfrm>
                    <a:prstGeom prst="rect">
                      <a:avLst/>
                    </a:prstGeom>
                  </pic:spPr>
                </pic:pic>
              </a:graphicData>
            </a:graphic>
          </wp:inline>
        </w:drawing>
      </w:r>
      <w:r>
        <w:rPr>
          <w:rFonts w:hint="eastAsia" w:eastAsia="宋体"/>
          <w:color w:val="auto"/>
          <w:lang w:eastAsia="zh-CN"/>
        </w:rPr>
        <w:drawing>
          <wp:inline distT="0" distB="0" distL="114300" distR="114300">
            <wp:extent cx="5610225" cy="7934325"/>
            <wp:effectExtent l="0" t="0" r="13335" b="5715"/>
            <wp:docPr id="11" name="图片 11" descr="福仁监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福仁监测报告_03"/>
                    <pic:cNvPicPr>
                      <a:picLocks noChangeAspect="1"/>
                    </pic:cNvPicPr>
                  </pic:nvPicPr>
                  <pic:blipFill>
                    <a:blip r:embed="rId61"/>
                    <a:stretch>
                      <a:fillRect/>
                    </a:stretch>
                  </pic:blipFill>
                  <pic:spPr>
                    <a:xfrm>
                      <a:off x="0" y="0"/>
                      <a:ext cx="5610225" cy="7934325"/>
                    </a:xfrm>
                    <a:prstGeom prst="rect">
                      <a:avLst/>
                    </a:prstGeom>
                  </pic:spPr>
                </pic:pic>
              </a:graphicData>
            </a:graphic>
          </wp:inline>
        </w:drawing>
      </w:r>
      <w:r>
        <w:rPr>
          <w:rFonts w:hint="eastAsia" w:eastAsia="宋体"/>
          <w:color w:val="auto"/>
          <w:lang w:eastAsia="zh-CN"/>
        </w:rPr>
        <w:drawing>
          <wp:inline distT="0" distB="0" distL="114300" distR="114300">
            <wp:extent cx="5610225" cy="7934325"/>
            <wp:effectExtent l="0" t="0" r="13335" b="5715"/>
            <wp:docPr id="10" name="图片 10" descr="福仁监测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福仁监测报告_04"/>
                    <pic:cNvPicPr>
                      <a:picLocks noChangeAspect="1"/>
                    </pic:cNvPicPr>
                  </pic:nvPicPr>
                  <pic:blipFill>
                    <a:blip r:embed="rId62"/>
                    <a:stretch>
                      <a:fillRect/>
                    </a:stretch>
                  </pic:blipFill>
                  <pic:spPr>
                    <a:xfrm>
                      <a:off x="0" y="0"/>
                      <a:ext cx="5610225" cy="7934325"/>
                    </a:xfrm>
                    <a:prstGeom prst="rect">
                      <a:avLst/>
                    </a:prstGeom>
                  </pic:spPr>
                </pic:pic>
              </a:graphicData>
            </a:graphic>
          </wp:inline>
        </w:drawing>
      </w:r>
    </w:p>
    <w:p>
      <w:pPr>
        <w:pStyle w:val="10"/>
        <w:rPr>
          <w:rFonts w:hint="eastAsia" w:eastAsia="宋体"/>
          <w:color w:val="auto"/>
          <w:lang w:eastAsia="zh-CN"/>
        </w:rPr>
      </w:pPr>
    </w:p>
    <w:p>
      <w:pPr>
        <w:pStyle w:val="11"/>
        <w:rPr>
          <w:rFonts w:hint="eastAsia" w:eastAsia="宋体"/>
          <w:color w:val="auto"/>
          <w:lang w:eastAsia="zh-CN"/>
        </w:rPr>
      </w:pPr>
    </w:p>
    <w:p>
      <w:pPr>
        <w:shd w:val="clear"/>
        <w:jc w:val="left"/>
        <w:rPr>
          <w:rFonts w:hint="eastAsia"/>
          <w:b/>
          <w:bCs/>
          <w:color w:val="auto"/>
          <w:sz w:val="24"/>
          <w:lang w:val="en-US" w:eastAsia="zh-CN"/>
        </w:rPr>
      </w:pPr>
      <w:r>
        <w:rPr>
          <w:rFonts w:hint="eastAsia"/>
          <w:b/>
          <w:bCs/>
          <w:color w:val="auto"/>
          <w:sz w:val="24"/>
          <w:lang w:val="en-US" w:eastAsia="zh-CN"/>
        </w:rPr>
        <w:t>附件7：污水接收处理委托协议</w:t>
      </w:r>
    </w:p>
    <w:p>
      <w:pPr>
        <w:shd w:val="clear"/>
        <w:jc w:val="left"/>
        <w:rPr>
          <w:rFonts w:hint="default"/>
          <w:b/>
          <w:bCs/>
          <w:color w:val="auto"/>
          <w:sz w:val="24"/>
          <w:lang w:val="en-US" w:eastAsia="zh-CN"/>
        </w:rPr>
      </w:pPr>
      <w:r>
        <w:drawing>
          <wp:inline distT="0" distB="0" distL="114300" distR="114300">
            <wp:extent cx="5532120" cy="8270240"/>
            <wp:effectExtent l="0" t="0" r="0" b="5080"/>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63"/>
                    <a:stretch>
                      <a:fillRect/>
                    </a:stretch>
                  </pic:blipFill>
                  <pic:spPr>
                    <a:xfrm>
                      <a:off x="0" y="0"/>
                      <a:ext cx="5532120" cy="8270240"/>
                    </a:xfrm>
                    <a:prstGeom prst="rect">
                      <a:avLst/>
                    </a:prstGeom>
                    <a:noFill/>
                    <a:ln>
                      <a:noFill/>
                    </a:ln>
                  </pic:spPr>
                </pic:pic>
              </a:graphicData>
            </a:graphic>
          </wp:inline>
        </w:drawing>
      </w:r>
      <w:r>
        <w:drawing>
          <wp:inline distT="0" distB="0" distL="114300" distR="114300">
            <wp:extent cx="5720715" cy="8397240"/>
            <wp:effectExtent l="0" t="0" r="9525" b="0"/>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64"/>
                    <a:stretch>
                      <a:fillRect/>
                    </a:stretch>
                  </pic:blipFill>
                  <pic:spPr>
                    <a:xfrm>
                      <a:off x="0" y="0"/>
                      <a:ext cx="5720715" cy="8397240"/>
                    </a:xfrm>
                    <a:prstGeom prst="rect">
                      <a:avLst/>
                    </a:prstGeom>
                    <a:noFill/>
                    <a:ln>
                      <a:noFill/>
                    </a:ln>
                  </pic:spPr>
                </pic:pic>
              </a:graphicData>
            </a:graphic>
          </wp:inline>
        </w:drawing>
      </w:r>
      <w:r>
        <w:drawing>
          <wp:inline distT="0" distB="0" distL="114300" distR="114300">
            <wp:extent cx="5356225" cy="8430895"/>
            <wp:effectExtent l="0" t="0" r="8255" b="12065"/>
            <wp:docPr id="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65"/>
                    <a:stretch>
                      <a:fillRect/>
                    </a:stretch>
                  </pic:blipFill>
                  <pic:spPr>
                    <a:xfrm>
                      <a:off x="0" y="0"/>
                      <a:ext cx="5356225" cy="8430895"/>
                    </a:xfrm>
                    <a:prstGeom prst="rect">
                      <a:avLst/>
                    </a:prstGeom>
                    <a:noFill/>
                    <a:ln>
                      <a:noFill/>
                    </a:ln>
                  </pic:spPr>
                </pic:pic>
              </a:graphicData>
            </a:graphic>
          </wp:inline>
        </w:drawing>
      </w: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panose1 w:val="020B0604020202020204"/>
    <w:charset w:val="86"/>
    <w:family w:val="swiss"/>
    <w:pitch w:val="default"/>
    <w:sig w:usb0="FFFFFFFF" w:usb1="E9FFFFFF" w:usb2="0000003F" w:usb3="00000000" w:csb0="603F01FF" w:csb1="FFFF0000"/>
  </w:font>
  <w:font w:name="仿宋_GB2312">
    <w:panose1 w:val="02010609030101010101"/>
    <w:charset w:val="86"/>
    <w:family w:val="modern"/>
    <w:pitch w:val="default"/>
    <w:sig w:usb0="00000001" w:usb1="080E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仿宋">
    <w:panose1 w:val="02010609060101010101"/>
    <w:charset w:val="86"/>
    <w:family w:val="auto"/>
    <w:pitch w:val="default"/>
    <w:sig w:usb0="800002BF" w:usb1="38CF7CFA" w:usb2="00000016" w:usb3="00000000" w:csb0="00040001" w:csb1="00000000"/>
  </w:font>
  <w:font w:name="MS Gothic">
    <w:panose1 w:val="020B0609070205080204"/>
    <w:charset w:val="80"/>
    <w:family w:val="modern"/>
    <w:pitch w:val="default"/>
    <w:sig w:usb0="E00002FF" w:usb1="6AC7FDFB" w:usb2="08000012" w:usb3="00000000" w:csb0="4002009F" w:csb1="DFD7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rPr>
        <w:rStyle w:val="30"/>
      </w:rPr>
    </w:pPr>
    <w:r>
      <w:fldChar w:fldCharType="begin"/>
    </w:r>
    <w:r>
      <w:rPr>
        <w:rStyle w:val="30"/>
      </w:rPr>
      <w:instrText xml:space="preserve">PAGE  </w:instrText>
    </w:r>
    <w:r>
      <w:fldChar w:fldCharType="end"/>
    </w:r>
  </w:p>
  <w:p>
    <w:pPr>
      <w:pStyle w:val="17"/>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posOffset>2740660</wp:posOffset>
              </wp:positionH>
              <wp:positionV relativeFrom="paragraph">
                <wp:posOffset>-80645</wp:posOffset>
              </wp:positionV>
              <wp:extent cx="341630" cy="142875"/>
              <wp:effectExtent l="0" t="0" r="0" b="0"/>
              <wp:wrapNone/>
              <wp:docPr id="60" name="文本框 107"/>
              <wp:cNvGraphicFramePr/>
              <a:graphic xmlns:a="http://schemas.openxmlformats.org/drawingml/2006/main">
                <a:graphicData uri="http://schemas.microsoft.com/office/word/2010/wordprocessingShape">
                  <wps:wsp>
                    <wps:cNvSpPr txBox="1"/>
                    <wps:spPr>
                      <a:xfrm>
                        <a:off x="0" y="0"/>
                        <a:ext cx="341907" cy="143124"/>
                      </a:xfrm>
                      <a:prstGeom prst="rect">
                        <a:avLst/>
                      </a:prstGeom>
                      <a:noFill/>
                      <a:ln>
                        <a:noFill/>
                      </a:ln>
                      <a:effectLst/>
                    </wps:spPr>
                    <wps:txbx>
                      <w:txbxContent>
                        <w:p>
                          <w:pPr>
                            <w:pStyle w:val="17"/>
                          </w:pPr>
                          <w:r>
                            <w:fldChar w:fldCharType="begin"/>
                          </w:r>
                          <w:r>
                            <w:instrText xml:space="preserve"> PAGE  \* MERGEFORMAT </w:instrText>
                          </w:r>
                          <w:r>
                            <w:fldChar w:fldCharType="separate"/>
                          </w:r>
                          <w:r>
                            <w:t>53</w:t>
                          </w:r>
                          <w:r>
                            <w:fldChar w:fldCharType="end"/>
                          </w:r>
                        </w:p>
                      </w:txbxContent>
                    </wps:txbx>
                    <wps:bodyPr wrap="square" lIns="0" tIns="0" rIns="0" bIns="0">
                      <a:noAutofit/>
                    </wps:bodyPr>
                  </wps:wsp>
                </a:graphicData>
              </a:graphic>
            </wp:anchor>
          </w:drawing>
        </mc:Choice>
        <mc:Fallback>
          <w:pict>
            <v:shape id="文本框 107" o:spid="_x0000_s1026" o:spt="202" type="#_x0000_t202" style="position:absolute;left:0pt;margin-left:215.8pt;margin-top:-6.35pt;height:11.25pt;width:26.9pt;mso-position-horizontal-relative:margin;z-index:251662336;mso-width-relative:page;mso-height-relative:page;" filled="f" stroked="f" coordsize="21600,21600" o:gfxdata="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FJkR2QAAAAkBAAAPAAAAAAAAAAEAIAAAACIA&#10;AABkcnMvZG93bnJldi54bWxQSwECFAAUAAAACACHTuJA5QBYBM8BAACeAwAADgAAAAAAAAABACAA&#10;AAAoAQAAZHJzL2Uyb0RvYy54bWxQSwUGAAAAAAYABgBZAQAAaQUAAAAA&#10;">
              <v:fill on="f" focussize="0,0"/>
              <v:stroke on="f"/>
              <v:imagedata o:title=""/>
              <o:lock v:ext="edit" aspectratio="f"/>
              <v:textbox inset="0mm,0mm,0mm,0mm">
                <w:txbxContent>
                  <w:p>
                    <w:pPr>
                      <w:pStyle w:val="17"/>
                    </w:pPr>
                    <w:r>
                      <w:fldChar w:fldCharType="begin"/>
                    </w:r>
                    <w:r>
                      <w:instrText xml:space="preserve"> PAGE  \* MERGEFORMAT </w:instrText>
                    </w:r>
                    <w:r>
                      <w:fldChar w:fldCharType="separate"/>
                    </w:r>
                    <w:r>
                      <w:t>53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C3C0CBE"/>
    <w:multiLevelType w:val="singleLevel"/>
    <w:tmpl w:val="9C3C0CBE"/>
    <w:lvl w:ilvl="0" w:tentative="0">
      <w:start w:val="5"/>
      <w:numFmt w:val="decimal"/>
      <w:pStyle w:val="58"/>
      <w:suff w:val="nothing"/>
      <w:lvlText w:val="%1、"/>
      <w:lvlJc w:val="left"/>
    </w:lvl>
  </w:abstractNum>
  <w:abstractNum w:abstractNumId="1">
    <w:nsid w:val="10204BAC"/>
    <w:multiLevelType w:val="singleLevel"/>
    <w:tmpl w:val="10204BAC"/>
    <w:lvl w:ilvl="0" w:tentative="0">
      <w:start w:val="2"/>
      <w:numFmt w:val="decimal"/>
      <w:suff w:val="nothing"/>
      <w:lvlText w:val="（%1）"/>
      <w:lvlJc w:val="left"/>
    </w:lvl>
  </w:abstractNum>
  <w:abstractNum w:abstractNumId="2">
    <w:nsid w:val="5212443C"/>
    <w:multiLevelType w:val="singleLevel"/>
    <w:tmpl w:val="5212443C"/>
    <w:lvl w:ilvl="0" w:tentative="0">
      <w:start w:val="4"/>
      <w:numFmt w:val="decimal"/>
      <w:suff w:val="nothing"/>
      <w:lvlText w:val="（%1）"/>
      <w:lvlJc w:val="left"/>
    </w:lvl>
  </w:abstractNum>
  <w:abstractNum w:abstractNumId="3">
    <w:nsid w:val="6B321051"/>
    <w:multiLevelType w:val="singleLevel"/>
    <w:tmpl w:val="6B321051"/>
    <w:lvl w:ilvl="0" w:tentative="0">
      <w:start w:val="1"/>
      <w:numFmt w:val="decimal"/>
      <w:suff w:val="nothing"/>
      <w:lvlText w:val="（%1）"/>
      <w:lvlJc w:val="left"/>
    </w:lvl>
  </w:abstractNum>
  <w:abstractNum w:abstractNumId="4">
    <w:nsid w:val="7F77B787"/>
    <w:multiLevelType w:val="singleLevel"/>
    <w:tmpl w:val="7F77B787"/>
    <w:lvl w:ilvl="0" w:tentative="0">
      <w:start w:val="2"/>
      <w:numFmt w:val="chineseCounting"/>
      <w:suff w:val="nothing"/>
      <w:lvlText w:val="%1、"/>
      <w:lvlJc w:val="left"/>
      <w:rPr>
        <w:rFonts w:hint="eastAsia"/>
      </w:r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QzZDFmNGNjMWI2MjFkYzRlMDVkZjNlMzk2ZGU3MDMifQ=="/>
    <w:docVar w:name="KSO_WPS_MARK_KEY" w:val="44c799f1-ace1-4cff-acb6-feb2afd12cac"/>
  </w:docVars>
  <w:rsids>
    <w:rsidRoot w:val="00854BE3"/>
    <w:rsid w:val="00000DF5"/>
    <w:rsid w:val="00021410"/>
    <w:rsid w:val="00025889"/>
    <w:rsid w:val="000272DB"/>
    <w:rsid w:val="00036457"/>
    <w:rsid w:val="00044139"/>
    <w:rsid w:val="0004496E"/>
    <w:rsid w:val="0005417A"/>
    <w:rsid w:val="0005540F"/>
    <w:rsid w:val="00066410"/>
    <w:rsid w:val="00066C0D"/>
    <w:rsid w:val="00072810"/>
    <w:rsid w:val="0007490B"/>
    <w:rsid w:val="00075F77"/>
    <w:rsid w:val="00077C20"/>
    <w:rsid w:val="000816CC"/>
    <w:rsid w:val="00086262"/>
    <w:rsid w:val="00090FBE"/>
    <w:rsid w:val="000929EE"/>
    <w:rsid w:val="00095C1E"/>
    <w:rsid w:val="00096515"/>
    <w:rsid w:val="000A4429"/>
    <w:rsid w:val="000A7635"/>
    <w:rsid w:val="000B4039"/>
    <w:rsid w:val="000B5BC5"/>
    <w:rsid w:val="000C372B"/>
    <w:rsid w:val="000D09CD"/>
    <w:rsid w:val="000F1F7F"/>
    <w:rsid w:val="000F6242"/>
    <w:rsid w:val="001150AE"/>
    <w:rsid w:val="00115E7A"/>
    <w:rsid w:val="00122A2B"/>
    <w:rsid w:val="00126255"/>
    <w:rsid w:val="001550D4"/>
    <w:rsid w:val="00155221"/>
    <w:rsid w:val="001555BB"/>
    <w:rsid w:val="001578AF"/>
    <w:rsid w:val="001631AF"/>
    <w:rsid w:val="00164F81"/>
    <w:rsid w:val="0016645D"/>
    <w:rsid w:val="00173690"/>
    <w:rsid w:val="00174536"/>
    <w:rsid w:val="00181D70"/>
    <w:rsid w:val="00190B84"/>
    <w:rsid w:val="00196CAD"/>
    <w:rsid w:val="001A3492"/>
    <w:rsid w:val="001A4BC3"/>
    <w:rsid w:val="001C3CA4"/>
    <w:rsid w:val="001C5FE0"/>
    <w:rsid w:val="001D1178"/>
    <w:rsid w:val="001F5674"/>
    <w:rsid w:val="00207385"/>
    <w:rsid w:val="00212893"/>
    <w:rsid w:val="0021565B"/>
    <w:rsid w:val="00215C86"/>
    <w:rsid w:val="00217F04"/>
    <w:rsid w:val="002208B0"/>
    <w:rsid w:val="00225C55"/>
    <w:rsid w:val="00227890"/>
    <w:rsid w:val="0023074D"/>
    <w:rsid w:val="002467F0"/>
    <w:rsid w:val="00246E43"/>
    <w:rsid w:val="00261771"/>
    <w:rsid w:val="00264344"/>
    <w:rsid w:val="0026557A"/>
    <w:rsid w:val="0026778F"/>
    <w:rsid w:val="00271001"/>
    <w:rsid w:val="00272F68"/>
    <w:rsid w:val="00274D49"/>
    <w:rsid w:val="00293305"/>
    <w:rsid w:val="002A4F59"/>
    <w:rsid w:val="002B05C1"/>
    <w:rsid w:val="002B1AB4"/>
    <w:rsid w:val="002B562B"/>
    <w:rsid w:val="002C08C1"/>
    <w:rsid w:val="002D1BD0"/>
    <w:rsid w:val="002E2EFF"/>
    <w:rsid w:val="002E4013"/>
    <w:rsid w:val="002E5B1C"/>
    <w:rsid w:val="002E6BF7"/>
    <w:rsid w:val="002E6C58"/>
    <w:rsid w:val="002E7BAB"/>
    <w:rsid w:val="002E7C15"/>
    <w:rsid w:val="002F20CA"/>
    <w:rsid w:val="002F6D74"/>
    <w:rsid w:val="00302A7C"/>
    <w:rsid w:val="00304556"/>
    <w:rsid w:val="00306233"/>
    <w:rsid w:val="003304D3"/>
    <w:rsid w:val="0033393B"/>
    <w:rsid w:val="00347E64"/>
    <w:rsid w:val="003500EC"/>
    <w:rsid w:val="00354445"/>
    <w:rsid w:val="00356121"/>
    <w:rsid w:val="00361C40"/>
    <w:rsid w:val="00364D4F"/>
    <w:rsid w:val="0038792B"/>
    <w:rsid w:val="00390B10"/>
    <w:rsid w:val="003A0CC7"/>
    <w:rsid w:val="003A275E"/>
    <w:rsid w:val="003A468A"/>
    <w:rsid w:val="003B4F5E"/>
    <w:rsid w:val="003C08E2"/>
    <w:rsid w:val="003C2379"/>
    <w:rsid w:val="003C4978"/>
    <w:rsid w:val="003C619B"/>
    <w:rsid w:val="003D44C9"/>
    <w:rsid w:val="00400F20"/>
    <w:rsid w:val="004077F0"/>
    <w:rsid w:val="00413168"/>
    <w:rsid w:val="00413590"/>
    <w:rsid w:val="00422360"/>
    <w:rsid w:val="0042594A"/>
    <w:rsid w:val="00426081"/>
    <w:rsid w:val="00427FAA"/>
    <w:rsid w:val="004405B7"/>
    <w:rsid w:val="00443911"/>
    <w:rsid w:val="0044592F"/>
    <w:rsid w:val="004459A7"/>
    <w:rsid w:val="00461018"/>
    <w:rsid w:val="00472057"/>
    <w:rsid w:val="00481767"/>
    <w:rsid w:val="00482206"/>
    <w:rsid w:val="00493D13"/>
    <w:rsid w:val="004A6BBA"/>
    <w:rsid w:val="004A7228"/>
    <w:rsid w:val="004A778D"/>
    <w:rsid w:val="004B355D"/>
    <w:rsid w:val="004B69A9"/>
    <w:rsid w:val="004C187D"/>
    <w:rsid w:val="004C71FD"/>
    <w:rsid w:val="004D2B85"/>
    <w:rsid w:val="004E5143"/>
    <w:rsid w:val="004F2199"/>
    <w:rsid w:val="00500621"/>
    <w:rsid w:val="00511E47"/>
    <w:rsid w:val="00517CAB"/>
    <w:rsid w:val="00524CA9"/>
    <w:rsid w:val="00532217"/>
    <w:rsid w:val="005348CA"/>
    <w:rsid w:val="005409FC"/>
    <w:rsid w:val="00544EED"/>
    <w:rsid w:val="00550048"/>
    <w:rsid w:val="00551CC4"/>
    <w:rsid w:val="00561D7A"/>
    <w:rsid w:val="00575166"/>
    <w:rsid w:val="005827B0"/>
    <w:rsid w:val="00587C5C"/>
    <w:rsid w:val="00587FA7"/>
    <w:rsid w:val="00591776"/>
    <w:rsid w:val="005A24E8"/>
    <w:rsid w:val="005A55FE"/>
    <w:rsid w:val="005A5C87"/>
    <w:rsid w:val="005C18A4"/>
    <w:rsid w:val="005C26F4"/>
    <w:rsid w:val="005D33C7"/>
    <w:rsid w:val="005D516B"/>
    <w:rsid w:val="005D5B4B"/>
    <w:rsid w:val="005D5DDD"/>
    <w:rsid w:val="005E5F6C"/>
    <w:rsid w:val="005F0C27"/>
    <w:rsid w:val="00600368"/>
    <w:rsid w:val="00600BA0"/>
    <w:rsid w:val="006021C4"/>
    <w:rsid w:val="00610BCB"/>
    <w:rsid w:val="00612B80"/>
    <w:rsid w:val="006375C4"/>
    <w:rsid w:val="00640F50"/>
    <w:rsid w:val="00641238"/>
    <w:rsid w:val="00645967"/>
    <w:rsid w:val="0065762B"/>
    <w:rsid w:val="0066340E"/>
    <w:rsid w:val="00665C33"/>
    <w:rsid w:val="006819D4"/>
    <w:rsid w:val="0068478F"/>
    <w:rsid w:val="00697D97"/>
    <w:rsid w:val="006A5683"/>
    <w:rsid w:val="006A7FC5"/>
    <w:rsid w:val="006B37B8"/>
    <w:rsid w:val="006B6EDE"/>
    <w:rsid w:val="006C116A"/>
    <w:rsid w:val="006C132E"/>
    <w:rsid w:val="006D0F17"/>
    <w:rsid w:val="006D4933"/>
    <w:rsid w:val="006D5FAB"/>
    <w:rsid w:val="006E1CD4"/>
    <w:rsid w:val="006E2357"/>
    <w:rsid w:val="006E6AC7"/>
    <w:rsid w:val="006F5B30"/>
    <w:rsid w:val="00700C9A"/>
    <w:rsid w:val="0071656B"/>
    <w:rsid w:val="007420A8"/>
    <w:rsid w:val="00750D09"/>
    <w:rsid w:val="007618A9"/>
    <w:rsid w:val="00762347"/>
    <w:rsid w:val="007656AE"/>
    <w:rsid w:val="007713B2"/>
    <w:rsid w:val="00775600"/>
    <w:rsid w:val="007820A2"/>
    <w:rsid w:val="00783327"/>
    <w:rsid w:val="00785648"/>
    <w:rsid w:val="0079017C"/>
    <w:rsid w:val="00793B69"/>
    <w:rsid w:val="00794DC3"/>
    <w:rsid w:val="007A32F9"/>
    <w:rsid w:val="007A3987"/>
    <w:rsid w:val="007B042C"/>
    <w:rsid w:val="007B075E"/>
    <w:rsid w:val="007B142A"/>
    <w:rsid w:val="007B20A2"/>
    <w:rsid w:val="007C2030"/>
    <w:rsid w:val="007C3638"/>
    <w:rsid w:val="007E5888"/>
    <w:rsid w:val="007F5954"/>
    <w:rsid w:val="007F5D23"/>
    <w:rsid w:val="00800161"/>
    <w:rsid w:val="00802AFE"/>
    <w:rsid w:val="008047A3"/>
    <w:rsid w:val="00805539"/>
    <w:rsid w:val="00814E69"/>
    <w:rsid w:val="00816A71"/>
    <w:rsid w:val="00825C5E"/>
    <w:rsid w:val="00826ADC"/>
    <w:rsid w:val="008304D8"/>
    <w:rsid w:val="0084378E"/>
    <w:rsid w:val="00846459"/>
    <w:rsid w:val="008465D4"/>
    <w:rsid w:val="00854BE3"/>
    <w:rsid w:val="00860B20"/>
    <w:rsid w:val="00862696"/>
    <w:rsid w:val="00896352"/>
    <w:rsid w:val="008B208B"/>
    <w:rsid w:val="008B72F2"/>
    <w:rsid w:val="008D554A"/>
    <w:rsid w:val="008E7078"/>
    <w:rsid w:val="008F58E5"/>
    <w:rsid w:val="008F7ED2"/>
    <w:rsid w:val="009026E7"/>
    <w:rsid w:val="00911D83"/>
    <w:rsid w:val="0091663A"/>
    <w:rsid w:val="00924EB4"/>
    <w:rsid w:val="0092684D"/>
    <w:rsid w:val="0093526B"/>
    <w:rsid w:val="00945108"/>
    <w:rsid w:val="00946FEF"/>
    <w:rsid w:val="00960463"/>
    <w:rsid w:val="00961397"/>
    <w:rsid w:val="00964DB4"/>
    <w:rsid w:val="009664E4"/>
    <w:rsid w:val="009773F0"/>
    <w:rsid w:val="00990663"/>
    <w:rsid w:val="0099412F"/>
    <w:rsid w:val="009B2DC8"/>
    <w:rsid w:val="009B572F"/>
    <w:rsid w:val="009E0018"/>
    <w:rsid w:val="009E32BF"/>
    <w:rsid w:val="009E69B1"/>
    <w:rsid w:val="009F747E"/>
    <w:rsid w:val="00A00135"/>
    <w:rsid w:val="00A03F4D"/>
    <w:rsid w:val="00A10D9D"/>
    <w:rsid w:val="00A15BB1"/>
    <w:rsid w:val="00A200C1"/>
    <w:rsid w:val="00A22600"/>
    <w:rsid w:val="00A23631"/>
    <w:rsid w:val="00A36028"/>
    <w:rsid w:val="00A6599D"/>
    <w:rsid w:val="00A81B97"/>
    <w:rsid w:val="00A84B4D"/>
    <w:rsid w:val="00A9073F"/>
    <w:rsid w:val="00A908BA"/>
    <w:rsid w:val="00AA4F1F"/>
    <w:rsid w:val="00AB0D32"/>
    <w:rsid w:val="00AB1DD4"/>
    <w:rsid w:val="00AB6607"/>
    <w:rsid w:val="00B01056"/>
    <w:rsid w:val="00B038BE"/>
    <w:rsid w:val="00B079E6"/>
    <w:rsid w:val="00B3016E"/>
    <w:rsid w:val="00B57699"/>
    <w:rsid w:val="00B95634"/>
    <w:rsid w:val="00BA7D09"/>
    <w:rsid w:val="00BB150B"/>
    <w:rsid w:val="00BC1D60"/>
    <w:rsid w:val="00BC2CDF"/>
    <w:rsid w:val="00BD7E88"/>
    <w:rsid w:val="00BE2722"/>
    <w:rsid w:val="00BE2C05"/>
    <w:rsid w:val="00BE404D"/>
    <w:rsid w:val="00BE61EB"/>
    <w:rsid w:val="00BE6EFF"/>
    <w:rsid w:val="00C100DD"/>
    <w:rsid w:val="00C12FAC"/>
    <w:rsid w:val="00C17EC3"/>
    <w:rsid w:val="00C22485"/>
    <w:rsid w:val="00C2289D"/>
    <w:rsid w:val="00C25DE7"/>
    <w:rsid w:val="00C272DE"/>
    <w:rsid w:val="00C335BD"/>
    <w:rsid w:val="00C35D1D"/>
    <w:rsid w:val="00C43A26"/>
    <w:rsid w:val="00C467C3"/>
    <w:rsid w:val="00C46809"/>
    <w:rsid w:val="00C618C6"/>
    <w:rsid w:val="00C66AC2"/>
    <w:rsid w:val="00C7101D"/>
    <w:rsid w:val="00C72A42"/>
    <w:rsid w:val="00C739DB"/>
    <w:rsid w:val="00C74D46"/>
    <w:rsid w:val="00C76D2B"/>
    <w:rsid w:val="00C8057B"/>
    <w:rsid w:val="00C82986"/>
    <w:rsid w:val="00CA7F77"/>
    <w:rsid w:val="00CB0623"/>
    <w:rsid w:val="00CB67BE"/>
    <w:rsid w:val="00CC08F3"/>
    <w:rsid w:val="00CC2A12"/>
    <w:rsid w:val="00CC47DF"/>
    <w:rsid w:val="00CC4DF9"/>
    <w:rsid w:val="00CC5209"/>
    <w:rsid w:val="00CD0269"/>
    <w:rsid w:val="00CD5E97"/>
    <w:rsid w:val="00CE12F3"/>
    <w:rsid w:val="00CE6861"/>
    <w:rsid w:val="00D01C89"/>
    <w:rsid w:val="00D038A5"/>
    <w:rsid w:val="00D04F18"/>
    <w:rsid w:val="00D32640"/>
    <w:rsid w:val="00D33C3C"/>
    <w:rsid w:val="00D33F3F"/>
    <w:rsid w:val="00D5465C"/>
    <w:rsid w:val="00D66A79"/>
    <w:rsid w:val="00D66DBA"/>
    <w:rsid w:val="00D73B32"/>
    <w:rsid w:val="00D81F89"/>
    <w:rsid w:val="00DA4093"/>
    <w:rsid w:val="00DA5C92"/>
    <w:rsid w:val="00DB58C9"/>
    <w:rsid w:val="00DB7DEB"/>
    <w:rsid w:val="00DC0EAD"/>
    <w:rsid w:val="00DD5F6C"/>
    <w:rsid w:val="00DE1F20"/>
    <w:rsid w:val="00DE3942"/>
    <w:rsid w:val="00DE64C0"/>
    <w:rsid w:val="00DF4059"/>
    <w:rsid w:val="00DF5A56"/>
    <w:rsid w:val="00E04D78"/>
    <w:rsid w:val="00E137A8"/>
    <w:rsid w:val="00E1385F"/>
    <w:rsid w:val="00E16FDA"/>
    <w:rsid w:val="00E30DBC"/>
    <w:rsid w:val="00E318E2"/>
    <w:rsid w:val="00E33821"/>
    <w:rsid w:val="00E34E64"/>
    <w:rsid w:val="00E44EBB"/>
    <w:rsid w:val="00E47556"/>
    <w:rsid w:val="00E565E3"/>
    <w:rsid w:val="00E60A9C"/>
    <w:rsid w:val="00E6238E"/>
    <w:rsid w:val="00E7062C"/>
    <w:rsid w:val="00E84F2A"/>
    <w:rsid w:val="00E851C6"/>
    <w:rsid w:val="00E85605"/>
    <w:rsid w:val="00E858AD"/>
    <w:rsid w:val="00EA241E"/>
    <w:rsid w:val="00EB4564"/>
    <w:rsid w:val="00EC77B1"/>
    <w:rsid w:val="00ED3D6D"/>
    <w:rsid w:val="00ED5905"/>
    <w:rsid w:val="00EE72AD"/>
    <w:rsid w:val="00F008AA"/>
    <w:rsid w:val="00F00E92"/>
    <w:rsid w:val="00F0103B"/>
    <w:rsid w:val="00F0579B"/>
    <w:rsid w:val="00F0642C"/>
    <w:rsid w:val="00F14069"/>
    <w:rsid w:val="00F155A2"/>
    <w:rsid w:val="00F27B70"/>
    <w:rsid w:val="00F30641"/>
    <w:rsid w:val="00F36DD7"/>
    <w:rsid w:val="00F46C89"/>
    <w:rsid w:val="00F509A0"/>
    <w:rsid w:val="00F50A7F"/>
    <w:rsid w:val="00F52243"/>
    <w:rsid w:val="00F60947"/>
    <w:rsid w:val="00F65EA3"/>
    <w:rsid w:val="00F76554"/>
    <w:rsid w:val="00F81936"/>
    <w:rsid w:val="00F86C6C"/>
    <w:rsid w:val="00FB647B"/>
    <w:rsid w:val="00FC28F1"/>
    <w:rsid w:val="00FC4471"/>
    <w:rsid w:val="00FC6B48"/>
    <w:rsid w:val="00FE6272"/>
    <w:rsid w:val="00FE672F"/>
    <w:rsid w:val="00FF3D81"/>
    <w:rsid w:val="011B61E8"/>
    <w:rsid w:val="015920E6"/>
    <w:rsid w:val="01A7680F"/>
    <w:rsid w:val="020411DA"/>
    <w:rsid w:val="02392DC6"/>
    <w:rsid w:val="024154D9"/>
    <w:rsid w:val="02CF62BD"/>
    <w:rsid w:val="032A4C70"/>
    <w:rsid w:val="03695046"/>
    <w:rsid w:val="03724869"/>
    <w:rsid w:val="038C112E"/>
    <w:rsid w:val="03A51DB6"/>
    <w:rsid w:val="03B27CA9"/>
    <w:rsid w:val="03DE67E9"/>
    <w:rsid w:val="03E05F19"/>
    <w:rsid w:val="03F80176"/>
    <w:rsid w:val="04121960"/>
    <w:rsid w:val="0446218D"/>
    <w:rsid w:val="046972A3"/>
    <w:rsid w:val="04A3553F"/>
    <w:rsid w:val="04DD5D12"/>
    <w:rsid w:val="05996C42"/>
    <w:rsid w:val="05B60DBB"/>
    <w:rsid w:val="0624009C"/>
    <w:rsid w:val="06240703"/>
    <w:rsid w:val="063D70CA"/>
    <w:rsid w:val="0659463C"/>
    <w:rsid w:val="068428E9"/>
    <w:rsid w:val="06B717BA"/>
    <w:rsid w:val="06C27188"/>
    <w:rsid w:val="06FC4B75"/>
    <w:rsid w:val="078D7EC3"/>
    <w:rsid w:val="07921036"/>
    <w:rsid w:val="07C37A90"/>
    <w:rsid w:val="07C4123F"/>
    <w:rsid w:val="07CB5949"/>
    <w:rsid w:val="07EE6482"/>
    <w:rsid w:val="07F27D26"/>
    <w:rsid w:val="0808579C"/>
    <w:rsid w:val="082D6309"/>
    <w:rsid w:val="084474DA"/>
    <w:rsid w:val="088017D6"/>
    <w:rsid w:val="088140D6"/>
    <w:rsid w:val="08BB45BC"/>
    <w:rsid w:val="098E172A"/>
    <w:rsid w:val="09BB6819"/>
    <w:rsid w:val="09D05E06"/>
    <w:rsid w:val="09F85419"/>
    <w:rsid w:val="0A010541"/>
    <w:rsid w:val="0A0322F1"/>
    <w:rsid w:val="0A3208AE"/>
    <w:rsid w:val="0A3F0EE6"/>
    <w:rsid w:val="0A4610D0"/>
    <w:rsid w:val="0A5C4FDE"/>
    <w:rsid w:val="0A6741D0"/>
    <w:rsid w:val="0AB14632"/>
    <w:rsid w:val="0ACD6770"/>
    <w:rsid w:val="0AE647F5"/>
    <w:rsid w:val="0B0B0FC6"/>
    <w:rsid w:val="0B1E7A8C"/>
    <w:rsid w:val="0B541169"/>
    <w:rsid w:val="0B8B64C8"/>
    <w:rsid w:val="0B941820"/>
    <w:rsid w:val="0B982374"/>
    <w:rsid w:val="0BA41210"/>
    <w:rsid w:val="0BA9624D"/>
    <w:rsid w:val="0BCE2D3F"/>
    <w:rsid w:val="0C076B26"/>
    <w:rsid w:val="0C1D7E79"/>
    <w:rsid w:val="0C2B0FB8"/>
    <w:rsid w:val="0C6C454B"/>
    <w:rsid w:val="0C8472F2"/>
    <w:rsid w:val="0C9376C2"/>
    <w:rsid w:val="0C9D268D"/>
    <w:rsid w:val="0D4E2A85"/>
    <w:rsid w:val="0D5A6BCC"/>
    <w:rsid w:val="0D7C33CD"/>
    <w:rsid w:val="0D8E4B87"/>
    <w:rsid w:val="0D960814"/>
    <w:rsid w:val="0DA8776A"/>
    <w:rsid w:val="0DAF6CC4"/>
    <w:rsid w:val="0DB756F3"/>
    <w:rsid w:val="0DBD12DE"/>
    <w:rsid w:val="0DC97863"/>
    <w:rsid w:val="0DDD00E0"/>
    <w:rsid w:val="0DE85EA4"/>
    <w:rsid w:val="0DF52A1E"/>
    <w:rsid w:val="0E63197E"/>
    <w:rsid w:val="0E7578CD"/>
    <w:rsid w:val="0EC41CF5"/>
    <w:rsid w:val="0EF02D78"/>
    <w:rsid w:val="0EF4154A"/>
    <w:rsid w:val="0EF425D6"/>
    <w:rsid w:val="0F3F7CF5"/>
    <w:rsid w:val="0F8E2A45"/>
    <w:rsid w:val="0F9C6EF5"/>
    <w:rsid w:val="0F9F5219"/>
    <w:rsid w:val="0FAD7DC9"/>
    <w:rsid w:val="0FE268D2"/>
    <w:rsid w:val="104345D2"/>
    <w:rsid w:val="104C34B8"/>
    <w:rsid w:val="109D794B"/>
    <w:rsid w:val="10C430FC"/>
    <w:rsid w:val="10DF372A"/>
    <w:rsid w:val="10FD5BD4"/>
    <w:rsid w:val="11113EA3"/>
    <w:rsid w:val="11467595"/>
    <w:rsid w:val="11824E2D"/>
    <w:rsid w:val="11AC50C5"/>
    <w:rsid w:val="11B31DBB"/>
    <w:rsid w:val="11D406F3"/>
    <w:rsid w:val="121D5567"/>
    <w:rsid w:val="12460AAC"/>
    <w:rsid w:val="12847AFA"/>
    <w:rsid w:val="128B6CF3"/>
    <w:rsid w:val="12C53B76"/>
    <w:rsid w:val="12D8564D"/>
    <w:rsid w:val="12E00561"/>
    <w:rsid w:val="13063124"/>
    <w:rsid w:val="131B6D21"/>
    <w:rsid w:val="13204395"/>
    <w:rsid w:val="138E3B68"/>
    <w:rsid w:val="13AF4599"/>
    <w:rsid w:val="13E21B52"/>
    <w:rsid w:val="14006A02"/>
    <w:rsid w:val="14032227"/>
    <w:rsid w:val="14172FEE"/>
    <w:rsid w:val="1418437E"/>
    <w:rsid w:val="141C52B7"/>
    <w:rsid w:val="1447533E"/>
    <w:rsid w:val="14602034"/>
    <w:rsid w:val="148A1AF0"/>
    <w:rsid w:val="14A30DE0"/>
    <w:rsid w:val="14A711E8"/>
    <w:rsid w:val="14AF761A"/>
    <w:rsid w:val="14F264A5"/>
    <w:rsid w:val="14F435C0"/>
    <w:rsid w:val="14FE0D34"/>
    <w:rsid w:val="150C0FE9"/>
    <w:rsid w:val="15175270"/>
    <w:rsid w:val="152C1539"/>
    <w:rsid w:val="1547668B"/>
    <w:rsid w:val="155D42CD"/>
    <w:rsid w:val="1575445F"/>
    <w:rsid w:val="15AC0E57"/>
    <w:rsid w:val="15C71A5C"/>
    <w:rsid w:val="15D6317E"/>
    <w:rsid w:val="16043761"/>
    <w:rsid w:val="165F165A"/>
    <w:rsid w:val="16A91EF8"/>
    <w:rsid w:val="16EC368E"/>
    <w:rsid w:val="171645FF"/>
    <w:rsid w:val="17870859"/>
    <w:rsid w:val="178C72EE"/>
    <w:rsid w:val="17B152BF"/>
    <w:rsid w:val="17E53404"/>
    <w:rsid w:val="17FE17D4"/>
    <w:rsid w:val="18310418"/>
    <w:rsid w:val="18915CCD"/>
    <w:rsid w:val="18AF4770"/>
    <w:rsid w:val="190365EA"/>
    <w:rsid w:val="1942468A"/>
    <w:rsid w:val="199B1FCC"/>
    <w:rsid w:val="19AA6617"/>
    <w:rsid w:val="1A392129"/>
    <w:rsid w:val="1A9A2283"/>
    <w:rsid w:val="1A9A516C"/>
    <w:rsid w:val="1AC07EA0"/>
    <w:rsid w:val="1B59770E"/>
    <w:rsid w:val="1B5E1503"/>
    <w:rsid w:val="1B907E95"/>
    <w:rsid w:val="1BA86C22"/>
    <w:rsid w:val="1BB83309"/>
    <w:rsid w:val="1BD34FD9"/>
    <w:rsid w:val="1BE67E3B"/>
    <w:rsid w:val="1BEC0C12"/>
    <w:rsid w:val="1C0A51E7"/>
    <w:rsid w:val="1C480BBE"/>
    <w:rsid w:val="1C6B38EC"/>
    <w:rsid w:val="1C6D6116"/>
    <w:rsid w:val="1C806382"/>
    <w:rsid w:val="1CA15140"/>
    <w:rsid w:val="1CE125B4"/>
    <w:rsid w:val="1CE819CC"/>
    <w:rsid w:val="1D206223"/>
    <w:rsid w:val="1D3125E7"/>
    <w:rsid w:val="1DB652FA"/>
    <w:rsid w:val="1DFC6EE8"/>
    <w:rsid w:val="1E6D7F0C"/>
    <w:rsid w:val="1ED027EE"/>
    <w:rsid w:val="1EFD2287"/>
    <w:rsid w:val="1EFE2C82"/>
    <w:rsid w:val="1F47793B"/>
    <w:rsid w:val="1F75660D"/>
    <w:rsid w:val="20301058"/>
    <w:rsid w:val="203902BE"/>
    <w:rsid w:val="210D5EA9"/>
    <w:rsid w:val="21155A9C"/>
    <w:rsid w:val="21162880"/>
    <w:rsid w:val="211801B7"/>
    <w:rsid w:val="211E4F23"/>
    <w:rsid w:val="214473ED"/>
    <w:rsid w:val="21A1039B"/>
    <w:rsid w:val="21E31682"/>
    <w:rsid w:val="221D658A"/>
    <w:rsid w:val="225E114A"/>
    <w:rsid w:val="227B3B03"/>
    <w:rsid w:val="229C1B61"/>
    <w:rsid w:val="22A049C8"/>
    <w:rsid w:val="22E52D69"/>
    <w:rsid w:val="22EE029A"/>
    <w:rsid w:val="22EE6857"/>
    <w:rsid w:val="232C1EE7"/>
    <w:rsid w:val="237D2742"/>
    <w:rsid w:val="23870273"/>
    <w:rsid w:val="23AD183D"/>
    <w:rsid w:val="23C80F5C"/>
    <w:rsid w:val="23E632CC"/>
    <w:rsid w:val="23F0560A"/>
    <w:rsid w:val="24561911"/>
    <w:rsid w:val="247578BD"/>
    <w:rsid w:val="249B7324"/>
    <w:rsid w:val="24D85589"/>
    <w:rsid w:val="250B76B6"/>
    <w:rsid w:val="251044FD"/>
    <w:rsid w:val="25214A07"/>
    <w:rsid w:val="2523453A"/>
    <w:rsid w:val="254257CF"/>
    <w:rsid w:val="255D4431"/>
    <w:rsid w:val="256B552A"/>
    <w:rsid w:val="25712A8C"/>
    <w:rsid w:val="259F607C"/>
    <w:rsid w:val="26091816"/>
    <w:rsid w:val="260C2ECE"/>
    <w:rsid w:val="26336953"/>
    <w:rsid w:val="263402D7"/>
    <w:rsid w:val="267C499F"/>
    <w:rsid w:val="268D1466"/>
    <w:rsid w:val="26DB269E"/>
    <w:rsid w:val="26E60E6C"/>
    <w:rsid w:val="26F33F39"/>
    <w:rsid w:val="26FE1F5C"/>
    <w:rsid w:val="270A00BE"/>
    <w:rsid w:val="27167CA1"/>
    <w:rsid w:val="271766E8"/>
    <w:rsid w:val="2734473F"/>
    <w:rsid w:val="27435029"/>
    <w:rsid w:val="27A33524"/>
    <w:rsid w:val="27AD15FF"/>
    <w:rsid w:val="28294933"/>
    <w:rsid w:val="289760F7"/>
    <w:rsid w:val="28D9083E"/>
    <w:rsid w:val="28D942F9"/>
    <w:rsid w:val="290F02E0"/>
    <w:rsid w:val="29310372"/>
    <w:rsid w:val="298E0230"/>
    <w:rsid w:val="29A86FFA"/>
    <w:rsid w:val="29C26A6D"/>
    <w:rsid w:val="29FD22B4"/>
    <w:rsid w:val="2A2C1C45"/>
    <w:rsid w:val="2A3907EE"/>
    <w:rsid w:val="2A5423D7"/>
    <w:rsid w:val="2A614432"/>
    <w:rsid w:val="2A9C185D"/>
    <w:rsid w:val="2AB52453"/>
    <w:rsid w:val="2AEB348E"/>
    <w:rsid w:val="2AF552CF"/>
    <w:rsid w:val="2B142ED6"/>
    <w:rsid w:val="2BB72A86"/>
    <w:rsid w:val="2BC51EC5"/>
    <w:rsid w:val="2C3C1B09"/>
    <w:rsid w:val="2C407531"/>
    <w:rsid w:val="2C5F332D"/>
    <w:rsid w:val="2C7F1990"/>
    <w:rsid w:val="2CB25DE5"/>
    <w:rsid w:val="2CCD473A"/>
    <w:rsid w:val="2CF03F85"/>
    <w:rsid w:val="2D31762B"/>
    <w:rsid w:val="2D447B5D"/>
    <w:rsid w:val="2D77079F"/>
    <w:rsid w:val="2D9C4EAA"/>
    <w:rsid w:val="2DD3033F"/>
    <w:rsid w:val="2DD50741"/>
    <w:rsid w:val="2E0736C4"/>
    <w:rsid w:val="2E323512"/>
    <w:rsid w:val="2E5C5D76"/>
    <w:rsid w:val="2E5F3BF1"/>
    <w:rsid w:val="2E621799"/>
    <w:rsid w:val="2E935510"/>
    <w:rsid w:val="2F5A7DDB"/>
    <w:rsid w:val="2F744749"/>
    <w:rsid w:val="2F813923"/>
    <w:rsid w:val="2FB2777A"/>
    <w:rsid w:val="2FD017B9"/>
    <w:rsid w:val="30105D0B"/>
    <w:rsid w:val="301A116C"/>
    <w:rsid w:val="307066A8"/>
    <w:rsid w:val="30E65DCB"/>
    <w:rsid w:val="314F3970"/>
    <w:rsid w:val="317E6A45"/>
    <w:rsid w:val="318A7558"/>
    <w:rsid w:val="31B934DF"/>
    <w:rsid w:val="32301039"/>
    <w:rsid w:val="32413A7B"/>
    <w:rsid w:val="3260395B"/>
    <w:rsid w:val="32717916"/>
    <w:rsid w:val="32821B23"/>
    <w:rsid w:val="32EB37A5"/>
    <w:rsid w:val="32FD1773"/>
    <w:rsid w:val="3305360E"/>
    <w:rsid w:val="333554DB"/>
    <w:rsid w:val="33A94453"/>
    <w:rsid w:val="33C67CCC"/>
    <w:rsid w:val="33EC1D49"/>
    <w:rsid w:val="34126ED7"/>
    <w:rsid w:val="341E1D1F"/>
    <w:rsid w:val="34213886"/>
    <w:rsid w:val="342F6D70"/>
    <w:rsid w:val="345179FF"/>
    <w:rsid w:val="34565B57"/>
    <w:rsid w:val="34574724"/>
    <w:rsid w:val="34AF0278"/>
    <w:rsid w:val="350371A3"/>
    <w:rsid w:val="355A4917"/>
    <w:rsid w:val="357240D1"/>
    <w:rsid w:val="35D07049"/>
    <w:rsid w:val="35DA1836"/>
    <w:rsid w:val="35DB59BD"/>
    <w:rsid w:val="36743B8F"/>
    <w:rsid w:val="36883480"/>
    <w:rsid w:val="36DA6958"/>
    <w:rsid w:val="37332FA6"/>
    <w:rsid w:val="37684B3E"/>
    <w:rsid w:val="376B4F0A"/>
    <w:rsid w:val="37700B05"/>
    <w:rsid w:val="37805539"/>
    <w:rsid w:val="378D7407"/>
    <w:rsid w:val="37AD6B92"/>
    <w:rsid w:val="37B7401D"/>
    <w:rsid w:val="382205E6"/>
    <w:rsid w:val="383A5ACC"/>
    <w:rsid w:val="384D2D8F"/>
    <w:rsid w:val="38743CBC"/>
    <w:rsid w:val="388A4B69"/>
    <w:rsid w:val="393429CB"/>
    <w:rsid w:val="3934354E"/>
    <w:rsid w:val="394029E1"/>
    <w:rsid w:val="39555F61"/>
    <w:rsid w:val="3A15488F"/>
    <w:rsid w:val="3A6705EE"/>
    <w:rsid w:val="3A8F78FD"/>
    <w:rsid w:val="3AAD149B"/>
    <w:rsid w:val="3ACF7033"/>
    <w:rsid w:val="3ADE5D64"/>
    <w:rsid w:val="3AE50A87"/>
    <w:rsid w:val="3AF416D5"/>
    <w:rsid w:val="3B011574"/>
    <w:rsid w:val="3B32665F"/>
    <w:rsid w:val="3B445DDE"/>
    <w:rsid w:val="3B453BBD"/>
    <w:rsid w:val="3B7A783B"/>
    <w:rsid w:val="3B977644"/>
    <w:rsid w:val="3BA66882"/>
    <w:rsid w:val="3BAE56FD"/>
    <w:rsid w:val="3BBC38B0"/>
    <w:rsid w:val="3BCE4492"/>
    <w:rsid w:val="3BD10080"/>
    <w:rsid w:val="3BD3659C"/>
    <w:rsid w:val="3BF44EDA"/>
    <w:rsid w:val="3C127CC8"/>
    <w:rsid w:val="3C240D8C"/>
    <w:rsid w:val="3C445712"/>
    <w:rsid w:val="3C7D6EEC"/>
    <w:rsid w:val="3CC35576"/>
    <w:rsid w:val="3D403F6B"/>
    <w:rsid w:val="3D4D50EF"/>
    <w:rsid w:val="3D5F13DF"/>
    <w:rsid w:val="3D9E0A2B"/>
    <w:rsid w:val="3DD86A9B"/>
    <w:rsid w:val="3DF13B86"/>
    <w:rsid w:val="3E391C30"/>
    <w:rsid w:val="3E4039A7"/>
    <w:rsid w:val="3E482FBD"/>
    <w:rsid w:val="3EAF44A2"/>
    <w:rsid w:val="3EB51F49"/>
    <w:rsid w:val="3EF77BA8"/>
    <w:rsid w:val="3F0C61E9"/>
    <w:rsid w:val="3F0D3947"/>
    <w:rsid w:val="3F3A10F4"/>
    <w:rsid w:val="3F41404F"/>
    <w:rsid w:val="3F815920"/>
    <w:rsid w:val="3F8B54E4"/>
    <w:rsid w:val="3FC103EA"/>
    <w:rsid w:val="3FD33028"/>
    <w:rsid w:val="3FEF0B07"/>
    <w:rsid w:val="400B3FC9"/>
    <w:rsid w:val="402130FA"/>
    <w:rsid w:val="404D427E"/>
    <w:rsid w:val="405C6D27"/>
    <w:rsid w:val="40770261"/>
    <w:rsid w:val="407A6794"/>
    <w:rsid w:val="408D0E45"/>
    <w:rsid w:val="40955054"/>
    <w:rsid w:val="40A904C2"/>
    <w:rsid w:val="40CC3C71"/>
    <w:rsid w:val="40E44DCB"/>
    <w:rsid w:val="41153DA1"/>
    <w:rsid w:val="41546D80"/>
    <w:rsid w:val="41A255F0"/>
    <w:rsid w:val="41AB745F"/>
    <w:rsid w:val="42406D89"/>
    <w:rsid w:val="42506620"/>
    <w:rsid w:val="429808C9"/>
    <w:rsid w:val="4298502E"/>
    <w:rsid w:val="42A82149"/>
    <w:rsid w:val="42B40748"/>
    <w:rsid w:val="42CA7D28"/>
    <w:rsid w:val="42CD47A6"/>
    <w:rsid w:val="42D53CC6"/>
    <w:rsid w:val="42D9325E"/>
    <w:rsid w:val="42E828C1"/>
    <w:rsid w:val="42F756E9"/>
    <w:rsid w:val="430146B6"/>
    <w:rsid w:val="43567F46"/>
    <w:rsid w:val="435C016E"/>
    <w:rsid w:val="437B2968"/>
    <w:rsid w:val="441445A5"/>
    <w:rsid w:val="44635CDA"/>
    <w:rsid w:val="44780FD8"/>
    <w:rsid w:val="447C11D1"/>
    <w:rsid w:val="44C839F7"/>
    <w:rsid w:val="44E2459E"/>
    <w:rsid w:val="44F56185"/>
    <w:rsid w:val="45091C30"/>
    <w:rsid w:val="456D319A"/>
    <w:rsid w:val="45CA4D26"/>
    <w:rsid w:val="45FE72BB"/>
    <w:rsid w:val="463C2323"/>
    <w:rsid w:val="46712460"/>
    <w:rsid w:val="46733CB9"/>
    <w:rsid w:val="46E43C37"/>
    <w:rsid w:val="46F74BFA"/>
    <w:rsid w:val="47022863"/>
    <w:rsid w:val="474D6929"/>
    <w:rsid w:val="477E196A"/>
    <w:rsid w:val="47834CED"/>
    <w:rsid w:val="47A4404E"/>
    <w:rsid w:val="47D74577"/>
    <w:rsid w:val="47DB321F"/>
    <w:rsid w:val="481132D5"/>
    <w:rsid w:val="48166B3E"/>
    <w:rsid w:val="48764A05"/>
    <w:rsid w:val="48912ABB"/>
    <w:rsid w:val="48967C7F"/>
    <w:rsid w:val="48C65603"/>
    <w:rsid w:val="48CB3DCC"/>
    <w:rsid w:val="49073D03"/>
    <w:rsid w:val="492207C6"/>
    <w:rsid w:val="49984C37"/>
    <w:rsid w:val="49C66341"/>
    <w:rsid w:val="4A163063"/>
    <w:rsid w:val="4A1672C9"/>
    <w:rsid w:val="4A437992"/>
    <w:rsid w:val="4A516D86"/>
    <w:rsid w:val="4B83273C"/>
    <w:rsid w:val="4B904460"/>
    <w:rsid w:val="4B991F60"/>
    <w:rsid w:val="4BCB5448"/>
    <w:rsid w:val="4BFF74B1"/>
    <w:rsid w:val="4C43613D"/>
    <w:rsid w:val="4C5F2FD3"/>
    <w:rsid w:val="4C82595A"/>
    <w:rsid w:val="4CC50B32"/>
    <w:rsid w:val="4CE74F4D"/>
    <w:rsid w:val="4D9A32B2"/>
    <w:rsid w:val="4D9C63D9"/>
    <w:rsid w:val="4DC13225"/>
    <w:rsid w:val="4DE764CC"/>
    <w:rsid w:val="4DEB281B"/>
    <w:rsid w:val="4E146458"/>
    <w:rsid w:val="4E251D8B"/>
    <w:rsid w:val="4E5C5D99"/>
    <w:rsid w:val="4E6D3230"/>
    <w:rsid w:val="4E7740AE"/>
    <w:rsid w:val="4EC07803"/>
    <w:rsid w:val="4EE44DBA"/>
    <w:rsid w:val="4EF401BD"/>
    <w:rsid w:val="4F1D0B8E"/>
    <w:rsid w:val="4F211C38"/>
    <w:rsid w:val="4F2E2317"/>
    <w:rsid w:val="4F35763D"/>
    <w:rsid w:val="4F7512F7"/>
    <w:rsid w:val="4FC8656E"/>
    <w:rsid w:val="4FFF25AD"/>
    <w:rsid w:val="50051D00"/>
    <w:rsid w:val="504862C3"/>
    <w:rsid w:val="505521CD"/>
    <w:rsid w:val="50B533DB"/>
    <w:rsid w:val="50C335DB"/>
    <w:rsid w:val="50CE6E9B"/>
    <w:rsid w:val="510E56E5"/>
    <w:rsid w:val="51A3539A"/>
    <w:rsid w:val="52566476"/>
    <w:rsid w:val="527275EF"/>
    <w:rsid w:val="52A42F98"/>
    <w:rsid w:val="52A66D10"/>
    <w:rsid w:val="52C163C2"/>
    <w:rsid w:val="52CD6A61"/>
    <w:rsid w:val="52D21D46"/>
    <w:rsid w:val="53394028"/>
    <w:rsid w:val="534504D2"/>
    <w:rsid w:val="53E52554"/>
    <w:rsid w:val="53EB70D0"/>
    <w:rsid w:val="54425B9D"/>
    <w:rsid w:val="549B187C"/>
    <w:rsid w:val="54C85664"/>
    <w:rsid w:val="550C7236"/>
    <w:rsid w:val="551C0EB7"/>
    <w:rsid w:val="55CB06D0"/>
    <w:rsid w:val="55D856D6"/>
    <w:rsid w:val="55DE4049"/>
    <w:rsid w:val="55E71B9C"/>
    <w:rsid w:val="563A433F"/>
    <w:rsid w:val="56DB4662"/>
    <w:rsid w:val="56E96783"/>
    <w:rsid w:val="56F31397"/>
    <w:rsid w:val="57091F6B"/>
    <w:rsid w:val="571A54AB"/>
    <w:rsid w:val="574761C3"/>
    <w:rsid w:val="5759574A"/>
    <w:rsid w:val="5802224E"/>
    <w:rsid w:val="580C1D0B"/>
    <w:rsid w:val="5831536C"/>
    <w:rsid w:val="586236D9"/>
    <w:rsid w:val="586F64AB"/>
    <w:rsid w:val="588565F7"/>
    <w:rsid w:val="589D5DA4"/>
    <w:rsid w:val="590E504B"/>
    <w:rsid w:val="59141EF7"/>
    <w:rsid w:val="5928363D"/>
    <w:rsid w:val="59835FFD"/>
    <w:rsid w:val="59D03A04"/>
    <w:rsid w:val="59D33E51"/>
    <w:rsid w:val="59D71162"/>
    <w:rsid w:val="59EE1697"/>
    <w:rsid w:val="5A216F7C"/>
    <w:rsid w:val="5B091F68"/>
    <w:rsid w:val="5B131281"/>
    <w:rsid w:val="5B3249B5"/>
    <w:rsid w:val="5B6F4A8B"/>
    <w:rsid w:val="5B8A3673"/>
    <w:rsid w:val="5B9A0FAF"/>
    <w:rsid w:val="5BB92041"/>
    <w:rsid w:val="5C3602C0"/>
    <w:rsid w:val="5CF66060"/>
    <w:rsid w:val="5D044C30"/>
    <w:rsid w:val="5DAD18E5"/>
    <w:rsid w:val="5E391B0F"/>
    <w:rsid w:val="5E536013"/>
    <w:rsid w:val="5E8F2D4E"/>
    <w:rsid w:val="5E9842F9"/>
    <w:rsid w:val="5EFA0B0F"/>
    <w:rsid w:val="5F0B3EA7"/>
    <w:rsid w:val="5F217255"/>
    <w:rsid w:val="5FA62770"/>
    <w:rsid w:val="5FB169D7"/>
    <w:rsid w:val="5FC66C44"/>
    <w:rsid w:val="600F2A18"/>
    <w:rsid w:val="60327E35"/>
    <w:rsid w:val="60361880"/>
    <w:rsid w:val="60676B62"/>
    <w:rsid w:val="609D4262"/>
    <w:rsid w:val="610E2650"/>
    <w:rsid w:val="613152CB"/>
    <w:rsid w:val="61390E11"/>
    <w:rsid w:val="61426602"/>
    <w:rsid w:val="616404C2"/>
    <w:rsid w:val="616A700F"/>
    <w:rsid w:val="6192502F"/>
    <w:rsid w:val="61F30652"/>
    <w:rsid w:val="620A72BB"/>
    <w:rsid w:val="622E49A1"/>
    <w:rsid w:val="623F10A0"/>
    <w:rsid w:val="624D71A8"/>
    <w:rsid w:val="62DC3850"/>
    <w:rsid w:val="62FC1D63"/>
    <w:rsid w:val="63316ACA"/>
    <w:rsid w:val="63350E03"/>
    <w:rsid w:val="634C0185"/>
    <w:rsid w:val="639F12C8"/>
    <w:rsid w:val="63B2152A"/>
    <w:rsid w:val="64906E31"/>
    <w:rsid w:val="64BE0021"/>
    <w:rsid w:val="64C3607C"/>
    <w:rsid w:val="65933761"/>
    <w:rsid w:val="65A6602B"/>
    <w:rsid w:val="65A71434"/>
    <w:rsid w:val="662F72F1"/>
    <w:rsid w:val="66961DF9"/>
    <w:rsid w:val="673F33D0"/>
    <w:rsid w:val="67760F4F"/>
    <w:rsid w:val="678D5B25"/>
    <w:rsid w:val="67BB4B45"/>
    <w:rsid w:val="67C60100"/>
    <w:rsid w:val="67D2452B"/>
    <w:rsid w:val="67DA1D03"/>
    <w:rsid w:val="67FC3439"/>
    <w:rsid w:val="68407D56"/>
    <w:rsid w:val="688D6550"/>
    <w:rsid w:val="68CF19BB"/>
    <w:rsid w:val="68EB3FDC"/>
    <w:rsid w:val="68F14CC4"/>
    <w:rsid w:val="690F7B9A"/>
    <w:rsid w:val="691E26C3"/>
    <w:rsid w:val="69536A8F"/>
    <w:rsid w:val="6A102F95"/>
    <w:rsid w:val="6A210852"/>
    <w:rsid w:val="6A2E5B11"/>
    <w:rsid w:val="6A507835"/>
    <w:rsid w:val="6A6D415F"/>
    <w:rsid w:val="6A7150BE"/>
    <w:rsid w:val="6A9E67F3"/>
    <w:rsid w:val="6AA208C4"/>
    <w:rsid w:val="6BA234A1"/>
    <w:rsid w:val="6BAE5658"/>
    <w:rsid w:val="6BB80628"/>
    <w:rsid w:val="6BE83DCB"/>
    <w:rsid w:val="6BF41297"/>
    <w:rsid w:val="6BF44568"/>
    <w:rsid w:val="6BFC528A"/>
    <w:rsid w:val="6C467142"/>
    <w:rsid w:val="6C535850"/>
    <w:rsid w:val="6C555C03"/>
    <w:rsid w:val="6C6347C6"/>
    <w:rsid w:val="6C723F2C"/>
    <w:rsid w:val="6CA80A78"/>
    <w:rsid w:val="6CBF479C"/>
    <w:rsid w:val="6CC0584F"/>
    <w:rsid w:val="6CC31CC6"/>
    <w:rsid w:val="6CE4695B"/>
    <w:rsid w:val="6CF748AE"/>
    <w:rsid w:val="6D10469A"/>
    <w:rsid w:val="6D416019"/>
    <w:rsid w:val="6D66091F"/>
    <w:rsid w:val="6D90343D"/>
    <w:rsid w:val="6DE44E65"/>
    <w:rsid w:val="6DFB21AE"/>
    <w:rsid w:val="6E622EEB"/>
    <w:rsid w:val="6E827279"/>
    <w:rsid w:val="6E8B2C58"/>
    <w:rsid w:val="6E93669D"/>
    <w:rsid w:val="6EA168B2"/>
    <w:rsid w:val="6ECE6145"/>
    <w:rsid w:val="6ED21161"/>
    <w:rsid w:val="6EED1EB8"/>
    <w:rsid w:val="6F045E30"/>
    <w:rsid w:val="6F27407F"/>
    <w:rsid w:val="6F7C0CF2"/>
    <w:rsid w:val="6F930C58"/>
    <w:rsid w:val="6FD76303"/>
    <w:rsid w:val="70005170"/>
    <w:rsid w:val="70707902"/>
    <w:rsid w:val="71090DF2"/>
    <w:rsid w:val="713543AB"/>
    <w:rsid w:val="714D4ED2"/>
    <w:rsid w:val="71500A63"/>
    <w:rsid w:val="7185070D"/>
    <w:rsid w:val="71A96764"/>
    <w:rsid w:val="71DA1A49"/>
    <w:rsid w:val="72842772"/>
    <w:rsid w:val="72B041C6"/>
    <w:rsid w:val="72B54D6E"/>
    <w:rsid w:val="72D47DE3"/>
    <w:rsid w:val="73410838"/>
    <w:rsid w:val="73495686"/>
    <w:rsid w:val="735B092C"/>
    <w:rsid w:val="735E5D89"/>
    <w:rsid w:val="73662F1A"/>
    <w:rsid w:val="7370719A"/>
    <w:rsid w:val="737E6683"/>
    <w:rsid w:val="739B4217"/>
    <w:rsid w:val="73EA4857"/>
    <w:rsid w:val="743807B7"/>
    <w:rsid w:val="7469779F"/>
    <w:rsid w:val="74C83D9C"/>
    <w:rsid w:val="75322959"/>
    <w:rsid w:val="75A90742"/>
    <w:rsid w:val="75FA2D4B"/>
    <w:rsid w:val="76AA29C3"/>
    <w:rsid w:val="76AC2485"/>
    <w:rsid w:val="77266A18"/>
    <w:rsid w:val="776713D1"/>
    <w:rsid w:val="77AA6A0E"/>
    <w:rsid w:val="77B5149F"/>
    <w:rsid w:val="77E87C01"/>
    <w:rsid w:val="780F0D30"/>
    <w:rsid w:val="784F0475"/>
    <w:rsid w:val="78591EF0"/>
    <w:rsid w:val="78773AC6"/>
    <w:rsid w:val="787B0EF3"/>
    <w:rsid w:val="78D11EA5"/>
    <w:rsid w:val="78D93B08"/>
    <w:rsid w:val="78EF13EB"/>
    <w:rsid w:val="794B64C2"/>
    <w:rsid w:val="795C61F7"/>
    <w:rsid w:val="79792F3A"/>
    <w:rsid w:val="79884643"/>
    <w:rsid w:val="79960FDD"/>
    <w:rsid w:val="79B853F7"/>
    <w:rsid w:val="79BE0434"/>
    <w:rsid w:val="79EC1032"/>
    <w:rsid w:val="7A7E7DD2"/>
    <w:rsid w:val="7AD45792"/>
    <w:rsid w:val="7AFE32DE"/>
    <w:rsid w:val="7B0C66D1"/>
    <w:rsid w:val="7B1E60FD"/>
    <w:rsid w:val="7B225B86"/>
    <w:rsid w:val="7B4D62F2"/>
    <w:rsid w:val="7B6D6EFF"/>
    <w:rsid w:val="7B7A5941"/>
    <w:rsid w:val="7C457806"/>
    <w:rsid w:val="7C833DC2"/>
    <w:rsid w:val="7C8D09A0"/>
    <w:rsid w:val="7CB95179"/>
    <w:rsid w:val="7CEE1A8D"/>
    <w:rsid w:val="7D345A0F"/>
    <w:rsid w:val="7D867418"/>
    <w:rsid w:val="7D9D2041"/>
    <w:rsid w:val="7DA526B0"/>
    <w:rsid w:val="7DD1015E"/>
    <w:rsid w:val="7DDD17D2"/>
    <w:rsid w:val="7E282C17"/>
    <w:rsid w:val="7E2E3EDA"/>
    <w:rsid w:val="7E3C65F7"/>
    <w:rsid w:val="7E447259"/>
    <w:rsid w:val="7E5356EF"/>
    <w:rsid w:val="7E7127D3"/>
    <w:rsid w:val="7E732406"/>
    <w:rsid w:val="7E81400A"/>
    <w:rsid w:val="7EB20667"/>
    <w:rsid w:val="7F121122"/>
    <w:rsid w:val="7F40356B"/>
    <w:rsid w:val="7F8D20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0" w:semiHidden="0" w:name="toc 1"/>
    <w:lsdException w:qFormat="1" w:unhideWhenUsed="0" w:uiPriority="39" w:semiHidden="0" w:name="toc 2"/>
    <w:lsdException w:uiPriority="0" w:name="toc 3"/>
    <w:lsdException w:uiPriority="0" w:name="toc 4"/>
    <w:lsdException w:uiPriority="0" w:name="toc 5"/>
    <w:lsdException w:qFormat="1" w:unhideWhenUsed="0" w:uiPriority="0" w:semiHidden="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uiPriority="0" w:name="footnote reference"/>
    <w:lsdException w:qFormat="1" w:uiPriority="0" w:name="annotation reference"/>
    <w:lsdException w:uiPriority="0" w:name="line number"/>
    <w:lsdException w:qFormat="1" w:unhideWhenUsed="0" w:uiPriority="0" w:semiHidden="0" w:name="page number"/>
    <w:lsdException w:uiPriority="0" w:name="endnote reference"/>
    <w:lsdException w:uiPriority="0" w:name="endnote text"/>
    <w:lsdException w:qFormat="1"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iPriority="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qFormat="1" w:unhideWhenUsed="0" w:uiPriority="0" w:semiHidden="0" w:name="Body Text Indent 2"/>
    <w:lsdException w:uiPriority="0" w:name="Body Text Indent 3"/>
    <w:lsdException w:uiPriority="0" w:name="Block Text"/>
    <w:lsdException w:qFormat="1" w:unhideWhenUsed="0" w:uiPriority="0"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2"/>
    <w:basedOn w:val="1"/>
    <w:next w:val="1"/>
    <w:autoRedefine/>
    <w:unhideWhenUsed/>
    <w:qFormat/>
    <w:uiPriority w:val="0"/>
    <w:pPr>
      <w:keepNext/>
      <w:keepLines/>
      <w:spacing w:before="140" w:after="20"/>
      <w:jc w:val="center"/>
      <w:outlineLvl w:val="1"/>
    </w:pPr>
    <w:rPr>
      <w:rFonts w:ascii="Arial" w:hAnsi="Arial" w:eastAsia="黑体"/>
      <w:b/>
      <w:sz w:val="32"/>
    </w:rPr>
  </w:style>
  <w:style w:type="paragraph" w:styleId="3">
    <w:name w:val="heading 3"/>
    <w:next w:val="1"/>
    <w:autoRedefine/>
    <w:unhideWhenUsed/>
    <w:qFormat/>
    <w:uiPriority w:val="0"/>
    <w:pPr>
      <w:keepNext/>
      <w:keepLines/>
      <w:widowControl w:val="0"/>
      <w:spacing w:line="360" w:lineRule="auto"/>
      <w:ind w:firstLine="1040" w:firstLineChars="200"/>
      <w:jc w:val="both"/>
      <w:outlineLvl w:val="2"/>
    </w:pPr>
    <w:rPr>
      <w:rFonts w:ascii="Times New Roman" w:hAnsi="Times New Roman" w:eastAsia="黑体" w:cs="Times New Roman"/>
      <w:kern w:val="2"/>
      <w:sz w:val="28"/>
      <w:szCs w:val="24"/>
      <w:lang w:val="en-US" w:eastAsia="zh-CN" w:bidi="ar-SA"/>
    </w:rPr>
  </w:style>
  <w:style w:type="paragraph" w:styleId="4">
    <w:name w:val="heading 4"/>
    <w:basedOn w:val="1"/>
    <w:next w:val="1"/>
    <w:autoRedefine/>
    <w:qFormat/>
    <w:uiPriority w:val="0"/>
    <w:pPr>
      <w:keepNext/>
      <w:keepLines/>
      <w:spacing w:line="480" w:lineRule="exact"/>
      <w:outlineLvl w:val="3"/>
    </w:pPr>
    <w:rPr>
      <w:b/>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5">
    <w:name w:val="table of authorities"/>
    <w:basedOn w:val="1"/>
    <w:next w:val="1"/>
    <w:autoRedefine/>
    <w:qFormat/>
    <w:uiPriority w:val="0"/>
    <w:pPr>
      <w:spacing w:line="360" w:lineRule="auto"/>
      <w:ind w:left="420" w:leftChars="200" w:firstLine="640" w:firstLineChars="200"/>
    </w:pPr>
    <w:rPr>
      <w:sz w:val="24"/>
    </w:rPr>
  </w:style>
  <w:style w:type="paragraph" w:styleId="6">
    <w:name w:val="Normal Indent"/>
    <w:basedOn w:val="1"/>
    <w:autoRedefine/>
    <w:qFormat/>
    <w:uiPriority w:val="0"/>
    <w:pPr>
      <w:spacing w:line="460" w:lineRule="atLeast"/>
      <w:ind w:firstLine="420"/>
    </w:pPr>
    <w:rPr>
      <w:sz w:val="24"/>
    </w:rPr>
  </w:style>
  <w:style w:type="paragraph" w:styleId="7">
    <w:name w:val="caption"/>
    <w:basedOn w:val="1"/>
    <w:next w:val="1"/>
    <w:link w:val="73"/>
    <w:autoRedefine/>
    <w:unhideWhenUsed/>
    <w:qFormat/>
    <w:uiPriority w:val="0"/>
    <w:rPr>
      <w:rFonts w:ascii="Arial" w:hAnsi="Arial" w:eastAsia="黑体" w:cs="Arial"/>
      <w:szCs w:val="22"/>
    </w:rPr>
  </w:style>
  <w:style w:type="paragraph" w:styleId="8">
    <w:name w:val="annotation text"/>
    <w:basedOn w:val="1"/>
    <w:link w:val="91"/>
    <w:autoRedefine/>
    <w:qFormat/>
    <w:uiPriority w:val="0"/>
    <w:pPr>
      <w:jc w:val="left"/>
    </w:pPr>
    <w:rPr>
      <w:kern w:val="0"/>
      <w:sz w:val="24"/>
      <w:szCs w:val="20"/>
    </w:rPr>
  </w:style>
  <w:style w:type="paragraph" w:styleId="9">
    <w:name w:val="Body Text"/>
    <w:basedOn w:val="1"/>
    <w:next w:val="10"/>
    <w:autoRedefine/>
    <w:qFormat/>
    <w:uiPriority w:val="0"/>
    <w:pPr>
      <w:widowControl/>
      <w:snapToGrid w:val="0"/>
      <w:spacing w:before="60" w:after="160" w:line="259" w:lineRule="auto"/>
      <w:ind w:right="113"/>
    </w:pPr>
    <w:rPr>
      <w:kern w:val="0"/>
      <w:sz w:val="18"/>
      <w:szCs w:val="20"/>
    </w:rPr>
  </w:style>
  <w:style w:type="paragraph" w:customStyle="1" w:styleId="10">
    <w:name w:val="Normal (Web)1"/>
    <w:basedOn w:val="1"/>
    <w:next w:val="11"/>
    <w:autoRedefine/>
    <w:qFormat/>
    <w:uiPriority w:val="0"/>
    <w:pPr>
      <w:widowControl/>
      <w:jc w:val="left"/>
    </w:pPr>
    <w:rPr>
      <w:rFonts w:ascii="宋体"/>
      <w:kern w:val="0"/>
      <w:sz w:val="24"/>
      <w:szCs w:val="21"/>
    </w:rPr>
  </w:style>
  <w:style w:type="paragraph" w:customStyle="1" w:styleId="11">
    <w:name w:val="Date1"/>
    <w:basedOn w:val="1"/>
    <w:next w:val="1"/>
    <w:autoRedefine/>
    <w:qFormat/>
    <w:uiPriority w:val="0"/>
    <w:pPr>
      <w:ind w:left="2500" w:leftChars="2500"/>
    </w:pPr>
  </w:style>
  <w:style w:type="paragraph" w:styleId="12">
    <w:name w:val="Body Text Indent"/>
    <w:basedOn w:val="1"/>
    <w:next w:val="1"/>
    <w:link w:val="63"/>
    <w:autoRedefine/>
    <w:qFormat/>
    <w:uiPriority w:val="0"/>
    <w:pPr>
      <w:spacing w:after="120"/>
      <w:ind w:left="420" w:leftChars="200"/>
    </w:pPr>
    <w:rPr>
      <w:kern w:val="0"/>
      <w:sz w:val="24"/>
      <w:szCs w:val="20"/>
    </w:rPr>
  </w:style>
  <w:style w:type="paragraph" w:styleId="13">
    <w:name w:val="Plain Text"/>
    <w:basedOn w:val="1"/>
    <w:link w:val="84"/>
    <w:autoRedefine/>
    <w:qFormat/>
    <w:uiPriority w:val="0"/>
    <w:rPr>
      <w:rFonts w:hAnsi="Courier New" w:cs="Courier New" w:asciiTheme="minorEastAsia" w:eastAsiaTheme="minorEastAsia"/>
    </w:rPr>
  </w:style>
  <w:style w:type="paragraph" w:styleId="14">
    <w:name w:val="Date"/>
    <w:basedOn w:val="1"/>
    <w:next w:val="1"/>
    <w:link w:val="70"/>
    <w:autoRedefine/>
    <w:qFormat/>
    <w:uiPriority w:val="0"/>
    <w:pPr>
      <w:ind w:left="100" w:leftChars="2500"/>
    </w:pPr>
    <w:rPr>
      <w:rFonts w:cstheme="minorBidi"/>
      <w:kern w:val="0"/>
      <w:sz w:val="24"/>
      <w:szCs w:val="20"/>
    </w:rPr>
  </w:style>
  <w:style w:type="paragraph" w:styleId="15">
    <w:name w:val="Body Text Indent 2"/>
    <w:next w:val="1"/>
    <w:autoRedefine/>
    <w:qFormat/>
    <w:uiPriority w:val="0"/>
    <w:pPr>
      <w:widowControl w:val="0"/>
      <w:spacing w:after="120" w:line="480" w:lineRule="auto"/>
      <w:ind w:left="420" w:leftChars="200"/>
      <w:jc w:val="both"/>
    </w:pPr>
    <w:rPr>
      <w:rFonts w:ascii="Calibri" w:hAnsi="Calibri" w:eastAsia="宋体" w:cs="Times New Roman"/>
      <w:kern w:val="2"/>
      <w:sz w:val="21"/>
      <w:lang w:val="en-US" w:eastAsia="zh-CN" w:bidi="ar-SA"/>
    </w:rPr>
  </w:style>
  <w:style w:type="paragraph" w:styleId="16">
    <w:name w:val="Balloon Text"/>
    <w:basedOn w:val="1"/>
    <w:link w:val="85"/>
    <w:autoRedefine/>
    <w:qFormat/>
    <w:uiPriority w:val="0"/>
    <w:rPr>
      <w:sz w:val="18"/>
      <w:szCs w:val="18"/>
    </w:rPr>
  </w:style>
  <w:style w:type="paragraph" w:styleId="17">
    <w:name w:val="footer"/>
    <w:basedOn w:val="1"/>
    <w:next w:val="1"/>
    <w:autoRedefine/>
    <w:qFormat/>
    <w:uiPriority w:val="99"/>
    <w:pPr>
      <w:tabs>
        <w:tab w:val="center" w:pos="4153"/>
        <w:tab w:val="right" w:pos="8306"/>
      </w:tabs>
      <w:snapToGrid w:val="0"/>
      <w:jc w:val="left"/>
    </w:pPr>
    <w:rPr>
      <w:kern w:val="0"/>
      <w:sz w:val="18"/>
      <w:szCs w:val="20"/>
    </w:rPr>
  </w:style>
  <w:style w:type="paragraph" w:styleId="18">
    <w:name w:val="header"/>
    <w:basedOn w:val="1"/>
    <w:link w:val="74"/>
    <w:autoRedefine/>
    <w:qFormat/>
    <w:uiPriority w:val="0"/>
    <w:pPr>
      <w:pBdr>
        <w:bottom w:val="single" w:color="auto" w:sz="6" w:space="1"/>
      </w:pBdr>
      <w:tabs>
        <w:tab w:val="center" w:pos="4153"/>
        <w:tab w:val="right" w:pos="8306"/>
      </w:tabs>
      <w:snapToGrid w:val="0"/>
      <w:jc w:val="center"/>
    </w:pPr>
    <w:rPr>
      <w:sz w:val="18"/>
      <w:szCs w:val="18"/>
    </w:rPr>
  </w:style>
  <w:style w:type="paragraph" w:styleId="19">
    <w:name w:val="toc 1"/>
    <w:basedOn w:val="1"/>
    <w:next w:val="1"/>
    <w:autoRedefine/>
    <w:qFormat/>
    <w:uiPriority w:val="0"/>
  </w:style>
  <w:style w:type="paragraph" w:styleId="20">
    <w:name w:val="toc 6"/>
    <w:next w:val="1"/>
    <w:autoRedefine/>
    <w:qFormat/>
    <w:uiPriority w:val="0"/>
    <w:pPr>
      <w:widowControl w:val="0"/>
      <w:ind w:left="2100" w:leftChars="1000"/>
      <w:jc w:val="both"/>
    </w:pPr>
    <w:rPr>
      <w:rFonts w:hint="eastAsia" w:ascii="Times New Roman" w:hAnsi="Times New Roman" w:eastAsia="宋体" w:cs="Times New Roman"/>
      <w:kern w:val="2"/>
      <w:sz w:val="21"/>
      <w:lang w:val="en-US" w:eastAsia="zh-CN" w:bidi="ar-SA"/>
    </w:rPr>
  </w:style>
  <w:style w:type="paragraph" w:styleId="21">
    <w:name w:val="toc 2"/>
    <w:basedOn w:val="1"/>
    <w:next w:val="1"/>
    <w:autoRedefine/>
    <w:qFormat/>
    <w:uiPriority w:val="39"/>
    <w:pPr>
      <w:ind w:left="210"/>
      <w:jc w:val="left"/>
    </w:pPr>
    <w:rPr>
      <w:smallCaps/>
      <w:sz w:val="20"/>
      <w:szCs w:val="20"/>
    </w:rPr>
  </w:style>
  <w:style w:type="paragraph" w:styleId="22">
    <w:name w:val="Message Header"/>
    <w:basedOn w:val="1"/>
    <w:autoRedefine/>
    <w:qFormat/>
    <w:uiPriority w:val="0"/>
    <w:pPr>
      <w:widowControl w:val="0"/>
      <w:pBdr>
        <w:top w:val="single" w:color="auto" w:sz="6" w:space="1"/>
        <w:left w:val="single" w:color="auto" w:sz="6" w:space="1"/>
        <w:bottom w:val="single" w:color="auto" w:sz="6" w:space="1"/>
        <w:right w:val="single" w:color="auto" w:sz="6" w:space="1"/>
      </w:pBdr>
      <w:shd w:val="pct20" w:color="auto" w:fill="auto"/>
      <w:ind w:left="1080" w:leftChars="500" w:hanging="1080" w:hangingChars="500"/>
      <w:jc w:val="both"/>
    </w:pPr>
    <w:rPr>
      <w:rFonts w:ascii="Arial" w:hAnsi="Arial" w:eastAsia="宋体" w:cs="Arial"/>
      <w:kern w:val="2"/>
      <w:sz w:val="21"/>
      <w:szCs w:val="24"/>
      <w:shd w:val="pct20" w:color="auto" w:fill="auto"/>
      <w:lang w:val="en-US" w:eastAsia="zh-CN" w:bidi="ar-SA"/>
    </w:rPr>
  </w:style>
  <w:style w:type="paragraph" w:styleId="23">
    <w:name w:val="Normal (Web)"/>
    <w:basedOn w:val="1"/>
    <w:link w:val="66"/>
    <w:autoRedefine/>
    <w:qFormat/>
    <w:uiPriority w:val="0"/>
    <w:pPr>
      <w:widowControl/>
      <w:spacing w:before="100" w:beforeAutospacing="1" w:after="100" w:afterAutospacing="1"/>
      <w:jc w:val="left"/>
    </w:pPr>
    <w:rPr>
      <w:rFonts w:ascii="宋体" w:hAnsi="宋体"/>
      <w:kern w:val="0"/>
      <w:sz w:val="24"/>
      <w:szCs w:val="20"/>
    </w:rPr>
  </w:style>
  <w:style w:type="paragraph" w:styleId="24">
    <w:name w:val="annotation subject"/>
    <w:basedOn w:val="8"/>
    <w:next w:val="8"/>
    <w:link w:val="92"/>
    <w:autoRedefine/>
    <w:semiHidden/>
    <w:unhideWhenUsed/>
    <w:qFormat/>
    <w:uiPriority w:val="0"/>
    <w:rPr>
      <w:b/>
      <w:bCs/>
      <w:kern w:val="2"/>
      <w:sz w:val="21"/>
      <w:szCs w:val="24"/>
    </w:rPr>
  </w:style>
  <w:style w:type="paragraph" w:styleId="25">
    <w:name w:val="Body Text First Indent"/>
    <w:basedOn w:val="9"/>
    <w:autoRedefine/>
    <w:qFormat/>
    <w:uiPriority w:val="0"/>
    <w:pPr>
      <w:widowControl w:val="0"/>
      <w:snapToGrid/>
      <w:spacing w:before="0" w:after="120" w:line="240" w:lineRule="auto"/>
      <w:ind w:right="0" w:firstLine="420" w:firstLineChars="100"/>
    </w:pPr>
    <w:rPr>
      <w:kern w:val="2"/>
      <w:sz w:val="21"/>
      <w:szCs w:val="24"/>
    </w:rPr>
  </w:style>
  <w:style w:type="paragraph" w:styleId="26">
    <w:name w:val="Body Text First Indent 2"/>
    <w:basedOn w:val="12"/>
    <w:link w:val="64"/>
    <w:autoRedefine/>
    <w:qFormat/>
    <w:uiPriority w:val="0"/>
    <w:pPr>
      <w:ind w:firstLine="420" w:firstLineChars="200"/>
    </w:pPr>
    <w:rPr>
      <w:kern w:val="2"/>
      <w:sz w:val="21"/>
      <w:szCs w:val="24"/>
    </w:rPr>
  </w:style>
  <w:style w:type="table" w:styleId="28">
    <w:name w:val="Table Grid"/>
    <w:basedOn w:val="27"/>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autoRedefine/>
    <w:qFormat/>
    <w:uiPriority w:val="0"/>
  </w:style>
  <w:style w:type="character" w:styleId="31">
    <w:name w:val="Emphasis"/>
    <w:autoRedefine/>
    <w:qFormat/>
    <w:uiPriority w:val="0"/>
    <w:rPr>
      <w:color w:val="CC0000"/>
    </w:rPr>
  </w:style>
  <w:style w:type="character" w:styleId="32">
    <w:name w:val="Hyperlink"/>
    <w:basedOn w:val="29"/>
    <w:autoRedefine/>
    <w:qFormat/>
    <w:uiPriority w:val="0"/>
    <w:rPr>
      <w:color w:val="0563C1" w:themeColor="hyperlink"/>
      <w:u w:val="single"/>
      <w14:textFill>
        <w14:solidFill>
          <w14:schemeClr w14:val="hlink"/>
        </w14:solidFill>
      </w14:textFill>
    </w:rPr>
  </w:style>
  <w:style w:type="character" w:styleId="33">
    <w:name w:val="annotation reference"/>
    <w:basedOn w:val="29"/>
    <w:autoRedefine/>
    <w:semiHidden/>
    <w:unhideWhenUsed/>
    <w:qFormat/>
    <w:uiPriority w:val="0"/>
    <w:rPr>
      <w:sz w:val="21"/>
      <w:szCs w:val="21"/>
    </w:rPr>
  </w:style>
  <w:style w:type="paragraph" w:customStyle="1" w:styleId="34">
    <w:name w:val="样式 正文首行缩进 + 首行缩进:  2 字符1"/>
    <w:next w:val="19"/>
    <w:autoRedefine/>
    <w:qFormat/>
    <w:uiPriority w:val="0"/>
    <w:pPr>
      <w:widowControl w:val="0"/>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paragraph" w:customStyle="1" w:styleId="35">
    <w:name w:val="xl27"/>
    <w:autoRedefine/>
    <w:qFormat/>
    <w:uiPriority w:val="0"/>
    <w:pPr>
      <w:pBdr>
        <w:top w:val="single" w:color="auto" w:sz="8" w:space="0"/>
        <w:left w:val="single" w:color="auto" w:sz="8" w:space="0"/>
        <w:right w:val="single" w:color="auto" w:sz="8" w:space="0"/>
      </w:pBdr>
      <w:spacing w:before="100" w:beforeAutospacing="1" w:after="100" w:afterAutospacing="1" w:line="520" w:lineRule="exact"/>
      <w:ind w:firstLine="640" w:firstLineChars="200"/>
      <w:jc w:val="center"/>
      <w:textAlignment w:val="center"/>
    </w:pPr>
    <w:rPr>
      <w:rFonts w:ascii="Arial Unicode MS" w:hAnsi="Arial Unicode MS" w:eastAsia="Arial Unicode MS" w:cs="Times New Roman"/>
      <w:sz w:val="22"/>
      <w:szCs w:val="28"/>
      <w:lang w:val="en-US" w:eastAsia="zh-CN" w:bidi="ar-SA"/>
    </w:rPr>
  </w:style>
  <w:style w:type="paragraph" w:customStyle="1" w:styleId="36">
    <w:name w:val="Default"/>
    <w:basedOn w:val="37"/>
    <w:next w:val="1"/>
    <w:link w:val="72"/>
    <w:autoRedefine/>
    <w:qFormat/>
    <w:uiPriority w:val="0"/>
    <w:pPr>
      <w:widowControl w:val="0"/>
      <w:autoSpaceDE w:val="0"/>
      <w:autoSpaceDN w:val="0"/>
    </w:pPr>
    <w:rPr>
      <w:rFonts w:ascii="黑体" w:hAnsi="Calibri" w:eastAsia="黑体" w:cs="黑体"/>
      <w:color w:val="000000"/>
      <w:szCs w:val="24"/>
    </w:rPr>
  </w:style>
  <w:style w:type="paragraph" w:customStyle="1" w:styleId="37">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38">
    <w:name w:val="11111"/>
    <w:basedOn w:val="1"/>
    <w:next w:val="1"/>
    <w:autoRedefine/>
    <w:qFormat/>
    <w:uiPriority w:val="99"/>
    <w:pPr>
      <w:spacing w:line="360" w:lineRule="auto"/>
      <w:ind w:firstLine="200" w:firstLineChars="200"/>
    </w:pPr>
    <w:rPr>
      <w:rFonts w:hAnsi="宋体" w:cs="宋体"/>
    </w:rPr>
  </w:style>
  <w:style w:type="paragraph" w:customStyle="1" w:styleId="39">
    <w:name w:val="【正文】"/>
    <w:basedOn w:val="1"/>
    <w:next w:val="22"/>
    <w:link w:val="76"/>
    <w:autoRedefine/>
    <w:qFormat/>
    <w:uiPriority w:val="0"/>
    <w:pPr>
      <w:spacing w:line="360" w:lineRule="auto"/>
      <w:ind w:firstLine="480" w:firstLineChars="200"/>
    </w:pPr>
    <w:rPr>
      <w:rFonts w:ascii="宋体" w:hAnsi="宋体"/>
      <w:sz w:val="24"/>
    </w:rPr>
  </w:style>
  <w:style w:type="paragraph" w:customStyle="1" w:styleId="40">
    <w:name w:val="Table Paragraph"/>
    <w:basedOn w:val="1"/>
    <w:autoRedefine/>
    <w:unhideWhenUsed/>
    <w:qFormat/>
    <w:uiPriority w:val="1"/>
  </w:style>
  <w:style w:type="paragraph" w:customStyle="1" w:styleId="41">
    <w:name w:val="内容"/>
    <w:basedOn w:val="1"/>
    <w:autoRedefine/>
    <w:qFormat/>
    <w:uiPriority w:val="0"/>
    <w:pPr>
      <w:spacing w:beforeLines="50" w:afterLines="50"/>
      <w:ind w:firstLine="200" w:firstLineChars="200"/>
    </w:pPr>
    <w:rPr>
      <w:color w:val="000000"/>
      <w:kern w:val="0"/>
      <w:sz w:val="24"/>
      <w:szCs w:val="20"/>
    </w:rPr>
  </w:style>
  <w:style w:type="paragraph" w:customStyle="1" w:styleId="42">
    <w:name w:val="表格文字"/>
    <w:basedOn w:val="43"/>
    <w:autoRedefine/>
    <w:qFormat/>
    <w:uiPriority w:val="0"/>
    <w:pPr>
      <w:jc w:val="center"/>
    </w:pPr>
    <w:rPr>
      <w:rFonts w:ascii="宋体" w:hAnsi="宋体"/>
      <w:bCs/>
      <w:szCs w:val="21"/>
    </w:rPr>
  </w:style>
  <w:style w:type="paragraph" w:customStyle="1" w:styleId="43">
    <w:name w:val="我的正文"/>
    <w:basedOn w:val="1"/>
    <w:link w:val="81"/>
    <w:autoRedefine/>
    <w:qFormat/>
    <w:uiPriority w:val="0"/>
    <w:pPr>
      <w:ind w:firstLine="538"/>
    </w:pPr>
    <w:rPr>
      <w:sz w:val="28"/>
      <w:szCs w:val="20"/>
    </w:rPr>
  </w:style>
  <w:style w:type="paragraph" w:customStyle="1" w:styleId="44">
    <w:name w:val="C首行缩进正文"/>
    <w:basedOn w:val="39"/>
    <w:autoRedefine/>
    <w:qFormat/>
    <w:uiPriority w:val="0"/>
    <w:rPr>
      <w:sz w:val="21"/>
    </w:rPr>
  </w:style>
  <w:style w:type="character" w:customStyle="1" w:styleId="45">
    <w:name w:val="【正文】 Char1"/>
    <w:autoRedefine/>
    <w:qFormat/>
    <w:uiPriority w:val="0"/>
    <w:rPr>
      <w:rFonts w:ascii="Times New Roman" w:hAnsi="Times New Roman" w:eastAsia="宋体"/>
      <w:sz w:val="24"/>
    </w:rPr>
  </w:style>
  <w:style w:type="paragraph" w:customStyle="1" w:styleId="46">
    <w:name w:val="C【表头】"/>
    <w:basedOn w:val="1"/>
    <w:autoRedefine/>
    <w:qFormat/>
    <w:uiPriority w:val="0"/>
    <w:pPr>
      <w:widowControl/>
      <w:adjustRightInd w:val="0"/>
      <w:snapToGrid w:val="0"/>
      <w:jc w:val="center"/>
    </w:pPr>
    <w:rPr>
      <w:rFonts w:eastAsia="黑体" w:cs="宋体"/>
      <w:kern w:val="0"/>
      <w:szCs w:val="20"/>
    </w:rPr>
  </w:style>
  <w:style w:type="paragraph" w:customStyle="1" w:styleId="47">
    <w:name w:val="C【表中文字】-"/>
    <w:basedOn w:val="1"/>
    <w:autoRedefine/>
    <w:qFormat/>
    <w:uiPriority w:val="0"/>
    <w:pPr>
      <w:adjustRightInd w:val="0"/>
      <w:snapToGrid w:val="0"/>
      <w:jc w:val="center"/>
    </w:pPr>
    <w:rPr>
      <w:kern w:val="0"/>
      <w:sz w:val="18"/>
      <w:szCs w:val="20"/>
    </w:rPr>
  </w:style>
  <w:style w:type="paragraph" w:customStyle="1" w:styleId="48">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49">
    <w:name w:val="正文样式1"/>
    <w:basedOn w:val="1"/>
    <w:autoRedefine/>
    <w:qFormat/>
    <w:uiPriority w:val="0"/>
    <w:pPr>
      <w:adjustRightInd w:val="0"/>
      <w:spacing w:line="288" w:lineRule="auto"/>
      <w:ind w:firstLine="360" w:firstLineChars="150"/>
      <w:textAlignment w:val="baseline"/>
    </w:pPr>
    <w:rPr>
      <w:kern w:val="0"/>
      <w:sz w:val="24"/>
      <w:szCs w:val="20"/>
    </w:rPr>
  </w:style>
  <w:style w:type="paragraph" w:customStyle="1" w:styleId="50">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51">
    <w:name w:val="报告书表格"/>
    <w:basedOn w:val="1"/>
    <w:autoRedefine/>
    <w:qFormat/>
    <w:uiPriority w:val="0"/>
    <w:pPr>
      <w:adjustRightInd w:val="0"/>
      <w:spacing w:before="60" w:after="60" w:line="240" w:lineRule="atLeast"/>
      <w:jc w:val="center"/>
      <w:textAlignment w:val="baseline"/>
    </w:pPr>
    <w:rPr>
      <w:kern w:val="0"/>
      <w:szCs w:val="20"/>
    </w:rPr>
  </w:style>
  <w:style w:type="paragraph" w:customStyle="1" w:styleId="52">
    <w:name w:val="环评正文"/>
    <w:basedOn w:val="1"/>
    <w:autoRedefine/>
    <w:qFormat/>
    <w:uiPriority w:val="0"/>
    <w:pPr>
      <w:spacing w:line="440" w:lineRule="exact"/>
      <w:ind w:firstLine="1440" w:firstLineChars="200"/>
    </w:pPr>
    <w:rPr>
      <w:kern w:val="0"/>
      <w:sz w:val="24"/>
      <w:szCs w:val="20"/>
    </w:rPr>
  </w:style>
  <w:style w:type="paragraph" w:customStyle="1" w:styleId="53">
    <w:name w:val="【表头】"/>
    <w:basedOn w:val="1"/>
    <w:autoRedefine/>
    <w:qFormat/>
    <w:uiPriority w:val="0"/>
    <w:pPr>
      <w:jc w:val="center"/>
    </w:pPr>
    <w:rPr>
      <w:rFonts w:eastAsia="黑体"/>
      <w:kern w:val="0"/>
      <w:szCs w:val="20"/>
    </w:rPr>
  </w:style>
  <w:style w:type="paragraph" w:customStyle="1" w:styleId="54">
    <w:name w:val="表格正文"/>
    <w:next w:val="55"/>
    <w:autoRedefine/>
    <w:qFormat/>
    <w:uiPriority w:val="0"/>
    <w:pPr>
      <w:jc w:val="center"/>
    </w:pPr>
    <w:rPr>
      <w:rFonts w:ascii="Times New Roman" w:hAnsi="Times New Roman" w:eastAsia="仿宋_GB2312" w:cs="Times New Roman"/>
      <w:kern w:val="2"/>
      <w:sz w:val="21"/>
      <w:lang w:val="en-US" w:eastAsia="zh-CN" w:bidi="ar-SA"/>
    </w:rPr>
  </w:style>
  <w:style w:type="paragraph" w:customStyle="1" w:styleId="55">
    <w:name w:val="正"/>
    <w:basedOn w:val="1"/>
    <w:autoRedefine/>
    <w:qFormat/>
    <w:uiPriority w:val="0"/>
    <w:pPr>
      <w:spacing w:line="360" w:lineRule="auto"/>
      <w:ind w:firstLine="200" w:firstLineChars="200"/>
    </w:pPr>
    <w:rPr>
      <w:sz w:val="24"/>
    </w:rPr>
  </w:style>
  <w:style w:type="paragraph" w:customStyle="1" w:styleId="56">
    <w:name w:val="报告表正文"/>
    <w:basedOn w:val="1"/>
    <w:link w:val="57"/>
    <w:autoRedefine/>
    <w:qFormat/>
    <w:uiPriority w:val="0"/>
    <w:pPr>
      <w:spacing w:line="360" w:lineRule="auto"/>
      <w:ind w:firstLine="420" w:firstLineChars="200"/>
    </w:pPr>
    <w:rPr>
      <w:rFonts w:ascii="Calibri" w:hAnsi="Calibri"/>
      <w:kern w:val="0"/>
      <w:sz w:val="24"/>
      <w:szCs w:val="22"/>
      <w:lang w:val="zh-CN"/>
    </w:rPr>
  </w:style>
  <w:style w:type="character" w:customStyle="1" w:styleId="57">
    <w:name w:val="表中字 Char"/>
    <w:link w:val="56"/>
    <w:autoRedefine/>
    <w:qFormat/>
    <w:uiPriority w:val="0"/>
    <w:rPr>
      <w:rFonts w:ascii="Calibri" w:hAnsi="Calibri" w:eastAsia="宋体" w:cs="Times New Roman"/>
      <w:sz w:val="24"/>
      <w:szCs w:val="22"/>
      <w:lang w:val="zh-CN"/>
    </w:rPr>
  </w:style>
  <w:style w:type="paragraph" w:customStyle="1" w:styleId="58">
    <w:name w:val="表格标题"/>
    <w:basedOn w:val="56"/>
    <w:next w:val="56"/>
    <w:autoRedefine/>
    <w:qFormat/>
    <w:uiPriority w:val="0"/>
    <w:pPr>
      <w:numPr>
        <w:ilvl w:val="0"/>
        <w:numId w:val="1"/>
      </w:numPr>
      <w:tabs>
        <w:tab w:val="left" w:pos="0"/>
      </w:tabs>
      <w:spacing w:line="240" w:lineRule="auto"/>
      <w:ind w:firstLine="0" w:firstLineChars="0"/>
      <w:jc w:val="center"/>
    </w:pPr>
    <w:rPr>
      <w:rFonts w:ascii="Times New Roman" w:hAnsi="Times New Roman"/>
      <w:b/>
      <w:sz w:val="21"/>
      <w:szCs w:val="20"/>
      <w:lang w:val="en-US"/>
    </w:rPr>
  </w:style>
  <w:style w:type="paragraph" w:customStyle="1" w:styleId="59">
    <w:name w:val="首行缩进表格正文"/>
    <w:basedOn w:val="1"/>
    <w:autoRedefine/>
    <w:qFormat/>
    <w:uiPriority w:val="0"/>
    <w:pPr>
      <w:spacing w:line="360" w:lineRule="auto"/>
      <w:ind w:firstLine="720" w:firstLineChars="200"/>
      <w:jc w:val="left"/>
    </w:pPr>
    <w:rPr>
      <w:rFonts w:hint="eastAsia"/>
      <w:szCs w:val="20"/>
    </w:rPr>
  </w:style>
  <w:style w:type="character" w:customStyle="1" w:styleId="60">
    <w:name w:val="正文文本缩进B Char"/>
    <w:link w:val="61"/>
    <w:autoRedefine/>
    <w:qFormat/>
    <w:uiPriority w:val="0"/>
    <w:rPr>
      <w:rFonts w:ascii="宋体" w:hAnsi="宋体" w:eastAsia="宋体"/>
      <w:kern w:val="2"/>
      <w:sz w:val="24"/>
      <w:szCs w:val="24"/>
    </w:rPr>
  </w:style>
  <w:style w:type="paragraph" w:customStyle="1" w:styleId="61">
    <w:name w:val="正文文本缩进B"/>
    <w:basedOn w:val="12"/>
    <w:link w:val="60"/>
    <w:autoRedefine/>
    <w:qFormat/>
    <w:uiPriority w:val="0"/>
    <w:pPr>
      <w:spacing w:after="0" w:line="360" w:lineRule="auto"/>
      <w:ind w:left="0" w:leftChars="0" w:firstLine="480" w:firstLineChars="200"/>
    </w:pPr>
    <w:rPr>
      <w:rFonts w:ascii="宋体" w:hAnsi="宋体" w:cstheme="minorBidi"/>
      <w:kern w:val="2"/>
      <w:szCs w:val="24"/>
    </w:rPr>
  </w:style>
  <w:style w:type="character" w:customStyle="1" w:styleId="62">
    <w:name w:val="未处理的提及1"/>
    <w:basedOn w:val="29"/>
    <w:autoRedefine/>
    <w:semiHidden/>
    <w:unhideWhenUsed/>
    <w:qFormat/>
    <w:uiPriority w:val="99"/>
    <w:rPr>
      <w:color w:val="605E5C"/>
      <w:shd w:val="clear" w:color="auto" w:fill="E1DFDD"/>
    </w:rPr>
  </w:style>
  <w:style w:type="character" w:customStyle="1" w:styleId="63">
    <w:name w:val="正文文本缩进 字符"/>
    <w:basedOn w:val="29"/>
    <w:link w:val="12"/>
    <w:autoRedefine/>
    <w:qFormat/>
    <w:uiPriority w:val="0"/>
    <w:rPr>
      <w:rFonts w:ascii="Times New Roman" w:hAnsi="Times New Roman" w:eastAsia="宋体" w:cs="Times New Roman"/>
      <w:sz w:val="24"/>
    </w:rPr>
  </w:style>
  <w:style w:type="character" w:customStyle="1" w:styleId="64">
    <w:name w:val="正文文本首行缩进 2 字符"/>
    <w:basedOn w:val="63"/>
    <w:link w:val="26"/>
    <w:autoRedefine/>
    <w:qFormat/>
    <w:uiPriority w:val="0"/>
    <w:rPr>
      <w:rFonts w:ascii="Times New Roman" w:hAnsi="Times New Roman" w:eastAsia="宋体" w:cs="Times New Roman"/>
      <w:kern w:val="2"/>
      <w:sz w:val="21"/>
      <w:szCs w:val="24"/>
    </w:rPr>
  </w:style>
  <w:style w:type="paragraph" w:styleId="65">
    <w:name w:val="List Paragraph"/>
    <w:basedOn w:val="1"/>
    <w:autoRedefine/>
    <w:qFormat/>
    <w:uiPriority w:val="99"/>
    <w:pPr>
      <w:ind w:firstLine="420" w:firstLineChars="200"/>
    </w:pPr>
  </w:style>
  <w:style w:type="character" w:customStyle="1" w:styleId="66">
    <w:name w:val="普通(网站) 字符"/>
    <w:link w:val="23"/>
    <w:autoRedefine/>
    <w:qFormat/>
    <w:locked/>
    <w:uiPriority w:val="0"/>
    <w:rPr>
      <w:rFonts w:ascii="宋体" w:hAnsi="宋体" w:eastAsia="宋体" w:cs="Times New Roman"/>
      <w:sz w:val="24"/>
    </w:rPr>
  </w:style>
  <w:style w:type="paragraph" w:customStyle="1" w:styleId="67">
    <w:name w:val="表中文字"/>
    <w:basedOn w:val="1"/>
    <w:link w:val="68"/>
    <w:autoRedefine/>
    <w:qFormat/>
    <w:uiPriority w:val="0"/>
    <w:pPr>
      <w:jc w:val="center"/>
    </w:pPr>
    <w:rPr>
      <w:szCs w:val="20"/>
      <w:lang w:val="zh-CN"/>
    </w:rPr>
  </w:style>
  <w:style w:type="character" w:customStyle="1" w:styleId="68">
    <w:name w:val="表中文字 Char"/>
    <w:link w:val="67"/>
    <w:autoRedefine/>
    <w:qFormat/>
    <w:locked/>
    <w:uiPriority w:val="0"/>
    <w:rPr>
      <w:rFonts w:ascii="Times New Roman" w:hAnsi="Times New Roman" w:eastAsia="宋体" w:cs="Times New Roman"/>
      <w:kern w:val="2"/>
      <w:sz w:val="21"/>
      <w:lang w:val="zh-CN" w:eastAsia="zh-CN"/>
    </w:rPr>
  </w:style>
  <w:style w:type="paragraph" w:customStyle="1" w:styleId="69">
    <w:name w:val="居中表格内容"/>
    <w:basedOn w:val="1"/>
    <w:autoRedefine/>
    <w:qFormat/>
    <w:uiPriority w:val="0"/>
    <w:pPr>
      <w:jc w:val="center"/>
    </w:pPr>
    <w:rPr>
      <w:rFonts w:hint="eastAsia"/>
      <w:szCs w:val="20"/>
    </w:rPr>
  </w:style>
  <w:style w:type="character" w:customStyle="1" w:styleId="70">
    <w:name w:val="日期 字符1"/>
    <w:link w:val="14"/>
    <w:autoRedefine/>
    <w:qFormat/>
    <w:locked/>
    <w:uiPriority w:val="0"/>
    <w:rPr>
      <w:rFonts w:ascii="Times New Roman" w:hAnsi="Times New Roman" w:eastAsia="宋体"/>
      <w:sz w:val="24"/>
    </w:rPr>
  </w:style>
  <w:style w:type="character" w:customStyle="1" w:styleId="71">
    <w:name w:val="日期 字符"/>
    <w:basedOn w:val="29"/>
    <w:autoRedefine/>
    <w:qFormat/>
    <w:uiPriority w:val="0"/>
    <w:rPr>
      <w:rFonts w:ascii="Times New Roman" w:hAnsi="Times New Roman" w:eastAsia="宋体" w:cs="Times New Roman"/>
      <w:kern w:val="2"/>
      <w:sz w:val="21"/>
      <w:szCs w:val="24"/>
    </w:rPr>
  </w:style>
  <w:style w:type="character" w:customStyle="1" w:styleId="72">
    <w:name w:val="Default Char"/>
    <w:link w:val="36"/>
    <w:autoRedefine/>
    <w:qFormat/>
    <w:uiPriority w:val="0"/>
    <w:rPr>
      <w:rFonts w:ascii="黑体" w:hAnsi="Calibri" w:eastAsia="黑体" w:cs="黑体"/>
      <w:color w:val="000000"/>
      <w:sz w:val="24"/>
      <w:szCs w:val="24"/>
    </w:rPr>
  </w:style>
  <w:style w:type="character" w:customStyle="1" w:styleId="73">
    <w:name w:val="题注 字符"/>
    <w:basedOn w:val="29"/>
    <w:link w:val="7"/>
    <w:autoRedefine/>
    <w:qFormat/>
    <w:locked/>
    <w:uiPriority w:val="0"/>
    <w:rPr>
      <w:rFonts w:ascii="Arial" w:hAnsi="Arial" w:eastAsia="黑体" w:cs="Arial"/>
      <w:kern w:val="2"/>
      <w:sz w:val="21"/>
      <w:szCs w:val="22"/>
    </w:rPr>
  </w:style>
  <w:style w:type="character" w:customStyle="1" w:styleId="74">
    <w:name w:val="页眉 字符"/>
    <w:basedOn w:val="29"/>
    <w:link w:val="18"/>
    <w:autoRedefine/>
    <w:qFormat/>
    <w:uiPriority w:val="0"/>
    <w:rPr>
      <w:rFonts w:ascii="Times New Roman" w:hAnsi="Times New Roman" w:eastAsia="宋体" w:cs="Times New Roman"/>
      <w:kern w:val="2"/>
      <w:sz w:val="18"/>
      <w:szCs w:val="18"/>
    </w:rPr>
  </w:style>
  <w:style w:type="paragraph" w:customStyle="1" w:styleId="75">
    <w:name w:val="Char1"/>
    <w:basedOn w:val="1"/>
    <w:autoRedefine/>
    <w:qFormat/>
    <w:uiPriority w:val="0"/>
    <w:rPr>
      <w:sz w:val="28"/>
      <w:szCs w:val="21"/>
    </w:rPr>
  </w:style>
  <w:style w:type="character" w:customStyle="1" w:styleId="76">
    <w:name w:val="【正文】 Char"/>
    <w:link w:val="39"/>
    <w:autoRedefine/>
    <w:qFormat/>
    <w:locked/>
    <w:uiPriority w:val="0"/>
    <w:rPr>
      <w:rFonts w:ascii="宋体" w:hAnsi="宋体" w:eastAsia="宋体" w:cs="Times New Roman"/>
      <w:kern w:val="2"/>
      <w:sz w:val="24"/>
      <w:szCs w:val="24"/>
    </w:rPr>
  </w:style>
  <w:style w:type="paragraph" w:customStyle="1" w:styleId="77">
    <w:name w:val="列表段落1"/>
    <w:basedOn w:val="1"/>
    <w:autoRedefine/>
    <w:qFormat/>
    <w:uiPriority w:val="34"/>
    <w:pPr>
      <w:ind w:firstLine="420" w:firstLineChars="200"/>
    </w:pPr>
  </w:style>
  <w:style w:type="character" w:customStyle="1" w:styleId="78">
    <w:name w:val="未处理的提及2"/>
    <w:basedOn w:val="29"/>
    <w:autoRedefine/>
    <w:semiHidden/>
    <w:unhideWhenUsed/>
    <w:qFormat/>
    <w:uiPriority w:val="99"/>
    <w:rPr>
      <w:color w:val="605E5C"/>
      <w:shd w:val="clear" w:color="auto" w:fill="E1DFDD"/>
    </w:rPr>
  </w:style>
  <w:style w:type="character" w:customStyle="1" w:styleId="79">
    <w:name w:val="表头和图片 Char"/>
    <w:link w:val="80"/>
    <w:autoRedefine/>
    <w:qFormat/>
    <w:uiPriority w:val="0"/>
    <w:rPr>
      <w:rFonts w:ascii="Times New Roman" w:hAnsi="Times New Roman" w:eastAsia="黑体"/>
      <w:b/>
    </w:rPr>
  </w:style>
  <w:style w:type="paragraph" w:customStyle="1" w:styleId="80">
    <w:name w:val="表头和图片"/>
    <w:basedOn w:val="13"/>
    <w:next w:val="1"/>
    <w:link w:val="79"/>
    <w:autoRedefine/>
    <w:qFormat/>
    <w:uiPriority w:val="0"/>
    <w:pPr>
      <w:spacing w:line="480" w:lineRule="exact"/>
      <w:jc w:val="center"/>
    </w:pPr>
    <w:rPr>
      <w:rFonts w:ascii="Times New Roman" w:hAnsi="Times New Roman" w:eastAsia="黑体" w:cstheme="minorBidi"/>
      <w:b/>
      <w:kern w:val="0"/>
      <w:sz w:val="20"/>
      <w:szCs w:val="20"/>
    </w:rPr>
  </w:style>
  <w:style w:type="character" w:customStyle="1" w:styleId="81">
    <w:name w:val="我的正文 Char"/>
    <w:link w:val="43"/>
    <w:autoRedefine/>
    <w:qFormat/>
    <w:uiPriority w:val="0"/>
    <w:rPr>
      <w:rFonts w:ascii="Times New Roman" w:hAnsi="Times New Roman" w:eastAsia="宋体" w:cs="Times New Roman"/>
      <w:kern w:val="2"/>
      <w:sz w:val="28"/>
    </w:rPr>
  </w:style>
  <w:style w:type="character" w:customStyle="1" w:styleId="82">
    <w:name w:val="表格 Char"/>
    <w:link w:val="83"/>
    <w:autoRedefine/>
    <w:qFormat/>
    <w:locked/>
    <w:uiPriority w:val="0"/>
    <w:rPr>
      <w:rFonts w:ascii="Times New Roman" w:hAnsi="Times New Roman" w:eastAsia="宋体"/>
      <w:sz w:val="21"/>
    </w:rPr>
  </w:style>
  <w:style w:type="paragraph" w:customStyle="1" w:styleId="83">
    <w:name w:val="我的表格"/>
    <w:basedOn w:val="1"/>
    <w:next w:val="1"/>
    <w:link w:val="82"/>
    <w:autoRedefine/>
    <w:qFormat/>
    <w:uiPriority w:val="0"/>
    <w:pPr>
      <w:adjustRightInd w:val="0"/>
      <w:snapToGrid w:val="0"/>
      <w:spacing w:beforeLines="10" w:afterLines="10" w:line="240" w:lineRule="atLeast"/>
      <w:jc w:val="center"/>
    </w:pPr>
    <w:rPr>
      <w:rFonts w:cstheme="minorBidi"/>
      <w:kern w:val="0"/>
      <w:szCs w:val="20"/>
    </w:rPr>
  </w:style>
  <w:style w:type="character" w:customStyle="1" w:styleId="84">
    <w:name w:val="纯文本 字符"/>
    <w:basedOn w:val="29"/>
    <w:link w:val="13"/>
    <w:autoRedefine/>
    <w:qFormat/>
    <w:uiPriority w:val="0"/>
    <w:rPr>
      <w:rFonts w:hAnsi="Courier New" w:cs="Courier New" w:asciiTheme="minorEastAsia"/>
      <w:kern w:val="2"/>
      <w:sz w:val="21"/>
      <w:szCs w:val="24"/>
    </w:rPr>
  </w:style>
  <w:style w:type="character" w:customStyle="1" w:styleId="85">
    <w:name w:val="批注框文本 字符"/>
    <w:basedOn w:val="29"/>
    <w:link w:val="16"/>
    <w:autoRedefine/>
    <w:qFormat/>
    <w:uiPriority w:val="0"/>
    <w:rPr>
      <w:rFonts w:ascii="Times New Roman" w:hAnsi="Times New Roman" w:eastAsia="宋体" w:cs="Times New Roman"/>
      <w:kern w:val="2"/>
      <w:sz w:val="18"/>
      <w:szCs w:val="18"/>
    </w:rPr>
  </w:style>
  <w:style w:type="paragraph" w:customStyle="1" w:styleId="86">
    <w:name w:val="- 页码 -"/>
    <w:autoRedefine/>
    <w:qFormat/>
    <w:uiPriority w:val="0"/>
    <w:pPr>
      <w:widowControl w:val="0"/>
      <w:spacing w:line="360" w:lineRule="auto"/>
      <w:ind w:firstLine="200" w:firstLineChars="200"/>
      <w:jc w:val="both"/>
    </w:pPr>
    <w:rPr>
      <w:rFonts w:ascii="Calibri" w:hAnsi="Calibri" w:eastAsia="宋体" w:cs="Times New Roman"/>
      <w:kern w:val="2"/>
      <w:sz w:val="24"/>
      <w:lang w:val="en-US" w:eastAsia="zh-CN" w:bidi="ar-SA"/>
    </w:rPr>
  </w:style>
  <w:style w:type="paragraph" w:customStyle="1" w:styleId="87">
    <w:name w:val="FL正文"/>
    <w:autoRedefine/>
    <w:qFormat/>
    <w:uiPriority w:val="0"/>
    <w:pPr>
      <w:widowControl w:val="0"/>
      <w:ind w:firstLine="425" w:firstLineChars="177"/>
      <w:jc w:val="both"/>
    </w:pPr>
    <w:rPr>
      <w:rFonts w:ascii="Calibri" w:hAnsi="Calibri" w:eastAsia="宋体" w:cs="Times New Roman"/>
      <w:kern w:val="2"/>
      <w:sz w:val="21"/>
      <w:szCs w:val="22"/>
      <w:lang w:val="en-US" w:eastAsia="zh-CN" w:bidi="ar-SA"/>
    </w:rPr>
  </w:style>
  <w:style w:type="paragraph" w:customStyle="1" w:styleId="88">
    <w:name w:val="表中的文字"/>
    <w:autoRedefine/>
    <w:qFormat/>
    <w:uiPriority w:val="0"/>
    <w:pPr>
      <w:widowControl w:val="0"/>
      <w:snapToGrid w:val="0"/>
      <w:jc w:val="center"/>
    </w:pPr>
    <w:rPr>
      <w:rFonts w:ascii="Times New Roman" w:hAnsi="Times New Roman" w:eastAsia="宋体" w:cs="Times New Roman"/>
      <w:bCs/>
      <w:color w:val="FF0000"/>
      <w:kern w:val="2"/>
      <w:sz w:val="24"/>
      <w:szCs w:val="21"/>
      <w:lang w:val="en-US" w:eastAsia="zh-CN" w:bidi="ar-SA"/>
    </w:rPr>
  </w:style>
  <w:style w:type="paragraph" w:customStyle="1" w:styleId="89">
    <w:name w:val="表格题目"/>
    <w:basedOn w:val="1"/>
    <w:autoRedefine/>
    <w:qFormat/>
    <w:uiPriority w:val="0"/>
    <w:pPr>
      <w:spacing w:line="240" w:lineRule="atLeast"/>
      <w:jc w:val="center"/>
    </w:pPr>
    <w:rPr>
      <w:rFonts w:ascii="黑体" w:hAnsi="宋体" w:eastAsia="黑体"/>
      <w:sz w:val="24"/>
    </w:rPr>
  </w:style>
  <w:style w:type="paragraph" w:customStyle="1" w:styleId="90">
    <w:name w:val="1、大表格内"/>
    <w:basedOn w:val="1"/>
    <w:autoRedefine/>
    <w:qFormat/>
    <w:uiPriority w:val="0"/>
    <w:pPr>
      <w:keepNext/>
      <w:keepLines/>
      <w:widowControl/>
      <w:autoSpaceDE w:val="0"/>
      <w:autoSpaceDN w:val="0"/>
      <w:adjustRightInd w:val="0"/>
      <w:spacing w:line="360" w:lineRule="auto"/>
      <w:ind w:firstLine="480" w:firstLineChars="200"/>
      <w:jc w:val="left"/>
      <w:textAlignment w:val="bottom"/>
    </w:pPr>
    <w:rPr>
      <w:kern w:val="0"/>
      <w:szCs w:val="20"/>
    </w:rPr>
  </w:style>
  <w:style w:type="character" w:customStyle="1" w:styleId="91">
    <w:name w:val="批注文字 字符"/>
    <w:basedOn w:val="29"/>
    <w:link w:val="8"/>
    <w:autoRedefine/>
    <w:qFormat/>
    <w:uiPriority w:val="0"/>
    <w:rPr>
      <w:sz w:val="24"/>
    </w:rPr>
  </w:style>
  <w:style w:type="character" w:customStyle="1" w:styleId="92">
    <w:name w:val="批注主题 字符"/>
    <w:basedOn w:val="91"/>
    <w:link w:val="24"/>
    <w:autoRedefine/>
    <w:semiHidden/>
    <w:qFormat/>
    <w:uiPriority w:val="0"/>
    <w:rPr>
      <w:b/>
      <w:bCs/>
      <w:kern w:val="2"/>
      <w:sz w:val="21"/>
      <w:szCs w:val="24"/>
    </w:rPr>
  </w:style>
  <w:style w:type="paragraph" w:customStyle="1" w:styleId="93">
    <w:name w:val="样式 黑体 居中 行距: 1.5 倍行距"/>
    <w:basedOn w:val="1"/>
    <w:autoRedefine/>
    <w:qFormat/>
    <w:uiPriority w:val="0"/>
    <w:pPr>
      <w:spacing w:line="360" w:lineRule="auto"/>
      <w:jc w:val="center"/>
    </w:pPr>
    <w:rPr>
      <w:rFonts w:ascii="黑体" w:hAnsi="黑体" w:eastAsia="黑体" w:cs="宋体"/>
    </w:rPr>
  </w:style>
  <w:style w:type="paragraph" w:customStyle="1" w:styleId="94">
    <w:name w:val="【表中文字】"/>
    <w:basedOn w:val="1"/>
    <w:autoRedefine/>
    <w:qFormat/>
    <w:uiPriority w:val="0"/>
    <w:pPr>
      <w:jc w:val="center"/>
    </w:pPr>
    <w:rPr>
      <w:rFonts w:ascii="Calibri" w:hAnsi="Calibri" w:cs="黑体"/>
      <w:kern w:val="0"/>
      <w:sz w:val="20"/>
      <w:szCs w:val="20"/>
    </w:rPr>
  </w:style>
  <w:style w:type="paragraph" w:customStyle="1" w:styleId="95">
    <w:name w:val="正文缩进2"/>
    <w:basedOn w:val="1"/>
    <w:autoRedefine/>
    <w:qFormat/>
    <w:uiPriority w:val="0"/>
    <w:pPr>
      <w:spacing w:line="520" w:lineRule="exact"/>
      <w:ind w:firstLine="624"/>
    </w:pPr>
    <w:rPr>
      <w:rFonts w:ascii="Calibri" w:hAnsi="Calibri"/>
      <w:sz w:val="28"/>
      <w:szCs w:val="20"/>
    </w:rPr>
  </w:style>
  <w:style w:type="paragraph" w:customStyle="1" w:styleId="96">
    <w:name w:val="填表样式"/>
    <w:autoRedefine/>
    <w:qFormat/>
    <w:uiPriority w:val="0"/>
    <w:pPr>
      <w:widowControl w:val="0"/>
      <w:adjustRightInd w:val="0"/>
      <w:snapToGrid w:val="0"/>
      <w:spacing w:line="360" w:lineRule="auto"/>
      <w:ind w:firstLine="720" w:firstLineChars="200"/>
      <w:jc w:val="both"/>
    </w:pPr>
    <w:rPr>
      <w:rFonts w:hint="default" w:ascii="Times New Roman" w:hAnsi="Times New Roman" w:eastAsia="宋体" w:cs="Times New Roman"/>
      <w:kern w:val="2"/>
      <w:sz w:val="21"/>
      <w:szCs w:val="24"/>
      <w:lang w:val="en-US" w:eastAsia="zh-CN" w:bidi="ar-SA"/>
    </w:rPr>
  </w:style>
  <w:style w:type="paragraph" w:customStyle="1" w:styleId="97">
    <w:name w:val="No Spacing1"/>
    <w:autoRedefine/>
    <w:qFormat/>
    <w:uiPriority w:val="99"/>
    <w:pPr>
      <w:widowControl w:val="0"/>
      <w:jc w:val="both"/>
    </w:pPr>
    <w:rPr>
      <w:rFonts w:ascii="Calibri" w:hAnsi="Calibri" w:eastAsia="宋体" w:cs="Times New Roman"/>
      <w:kern w:val="2"/>
      <w:sz w:val="32"/>
      <w:szCs w:val="3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9" Type="http://schemas.openxmlformats.org/officeDocument/2006/relationships/fontTable" Target="fontTable.xml"/><Relationship Id="rId68" Type="http://schemas.openxmlformats.org/officeDocument/2006/relationships/customXml" Target="../customXml/item2.xml"/><Relationship Id="rId67" Type="http://schemas.openxmlformats.org/officeDocument/2006/relationships/numbering" Target="numbering.xml"/><Relationship Id="rId66" Type="http://schemas.openxmlformats.org/officeDocument/2006/relationships/customXml" Target="../customXml/item1.xml"/><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footer" Target="footer4.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oleObject" Target="embeddings/oleObject14.bin"/><Relationship Id="rId56" Type="http://schemas.openxmlformats.org/officeDocument/2006/relationships/oleObject" Target="embeddings/oleObject13.bin"/><Relationship Id="rId55" Type="http://schemas.openxmlformats.org/officeDocument/2006/relationships/oleObject" Target="embeddings/oleObject12.bin"/><Relationship Id="rId54" Type="http://schemas.openxmlformats.org/officeDocument/2006/relationships/oleObject" Target="embeddings/oleObject11.bin"/><Relationship Id="rId53" Type="http://schemas.openxmlformats.org/officeDocument/2006/relationships/oleObject" Target="embeddings/oleObject10.bin"/><Relationship Id="rId52" Type="http://schemas.openxmlformats.org/officeDocument/2006/relationships/oleObject" Target="embeddings/oleObject9.bin"/><Relationship Id="rId51" Type="http://schemas.openxmlformats.org/officeDocument/2006/relationships/image" Target="media/image35.png"/><Relationship Id="rId50" Type="http://schemas.openxmlformats.org/officeDocument/2006/relationships/image" Target="media/image34.jpeg"/><Relationship Id="rId5" Type="http://schemas.openxmlformats.org/officeDocument/2006/relationships/footer" Target="footer3.xml"/><Relationship Id="rId49" Type="http://schemas.openxmlformats.org/officeDocument/2006/relationships/image" Target="media/image33.jpe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jpeg"/><Relationship Id="rId4" Type="http://schemas.openxmlformats.org/officeDocument/2006/relationships/footer" Target="foot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jpeg"/><Relationship Id="rId31" Type="http://schemas.openxmlformats.org/officeDocument/2006/relationships/image" Target="media/image15.wmf"/><Relationship Id="rId30" Type="http://schemas.openxmlformats.org/officeDocument/2006/relationships/oleObject" Target="embeddings/oleObject8.bin"/><Relationship Id="rId3" Type="http://schemas.openxmlformats.org/officeDocument/2006/relationships/footer" Target="footer1.xml"/><Relationship Id="rId29" Type="http://schemas.openxmlformats.org/officeDocument/2006/relationships/image" Target="media/image14.wmf"/><Relationship Id="rId28" Type="http://schemas.openxmlformats.org/officeDocument/2006/relationships/oleObject" Target="embeddings/oleObject7.bin"/><Relationship Id="rId27" Type="http://schemas.openxmlformats.org/officeDocument/2006/relationships/image" Target="media/image13.wmf"/><Relationship Id="rId26" Type="http://schemas.openxmlformats.org/officeDocument/2006/relationships/oleObject" Target="embeddings/oleObject6.bin"/><Relationship Id="rId25" Type="http://schemas.openxmlformats.org/officeDocument/2006/relationships/image" Target="media/image12.wmf"/><Relationship Id="rId24" Type="http://schemas.openxmlformats.org/officeDocument/2006/relationships/oleObject" Target="embeddings/oleObject5.bin"/><Relationship Id="rId23" Type="http://schemas.openxmlformats.org/officeDocument/2006/relationships/image" Target="media/image11.wmf"/><Relationship Id="rId22" Type="http://schemas.openxmlformats.org/officeDocument/2006/relationships/oleObject" Target="embeddings/oleObject4.bin"/><Relationship Id="rId21" Type="http://schemas.openxmlformats.org/officeDocument/2006/relationships/image" Target="media/image10.w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9.wmf"/><Relationship Id="rId18" Type="http://schemas.openxmlformats.org/officeDocument/2006/relationships/oleObject" Target="embeddings/oleObject2.bin"/><Relationship Id="rId17" Type="http://schemas.openxmlformats.org/officeDocument/2006/relationships/image" Target="media/image8.wmf"/><Relationship Id="rId16" Type="http://schemas.openxmlformats.org/officeDocument/2006/relationships/oleObject" Target="embeddings/oleObject1.bin"/><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62A6320-9284-4376-92F0-D7B6C9139BF3}">
  <ds:schemaRefs/>
</ds:datastoreItem>
</file>

<file path=docProps/app.xml><?xml version="1.0" encoding="utf-8"?>
<Properties xmlns="http://schemas.openxmlformats.org/officeDocument/2006/extended-properties" xmlns:vt="http://schemas.openxmlformats.org/officeDocument/2006/docPropsVTypes">
  <Template>Normal</Template>
  <Pages>67</Pages>
  <Words>24964</Words>
  <Characters>29915</Characters>
  <Lines>232</Lines>
  <Paragraphs>65</Paragraphs>
  <TotalTime>28</TotalTime>
  <ScaleCrop>false</ScaleCrop>
  <LinksUpToDate>false</LinksUpToDate>
  <CharactersWithSpaces>30147</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2022-05-09T07:32:00Z</dcterms:created>
  <dc:creator>Administrator</dc:creator>
  <cp:lastModifiedBy>mm</cp:lastModifiedBy>
  <cp:lastPrinted>2022-06-09T07:34:00Z</cp:lastPrinted>
  <dcterms:modified xsi:type="dcterms:W3CDTF">2024-02-04T00:53:24Z</dcterms:modified>
  <cp:revision>104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A6557639CB9142768A6214CF64BACB3C</vt:lpwstr>
  </property>
</Properties>
</file>